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600" w:lineRule="exact"/>
        <w:ind w:firstLine="0" w:firstLineChars="0"/>
        <w:jc w:val="both"/>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pPr>
      <w:bookmarkStart w:id="0" w:name="_GoBack"/>
      <w:bookmarkEnd w:id="0"/>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附件1</w:t>
      </w:r>
    </w:p>
    <w:p>
      <w:pPr>
        <w:spacing w:beforeLines="0" w:afterLines="0" w:line="600" w:lineRule="exact"/>
        <w:ind w:firstLine="0" w:firstLineChars="0"/>
        <w:jc w:val="center"/>
        <w:rPr>
          <w:rFonts w:hint="default" w:ascii="Times New Roman" w:hAnsi="Times New Roman" w:eastAsia="方正小标宋简体" w:cs="Nimbus Roman"/>
          <w:b w:val="0"/>
          <w:bCs w:val="0"/>
          <w:color w:val="000000" w:themeColor="text1"/>
          <w:kern w:val="0"/>
          <w:sz w:val="44"/>
          <w:szCs w:val="44"/>
          <w:highlight w:val="none"/>
          <w:u w:val="none"/>
          <w14:textFill>
            <w14:solidFill>
              <w14:schemeClr w14:val="tx1"/>
            </w14:solidFill>
          </w14:textFill>
        </w:rPr>
      </w:pPr>
      <w:r>
        <w:rPr>
          <w:rFonts w:hint="eastAsia" w:ascii="Times New Roman" w:hAnsi="Times New Roman" w:eastAsia="方正小标宋简体" w:cs="Nimbus Roman"/>
          <w:b w:val="0"/>
          <w:bCs w:val="0"/>
          <w:color w:val="000000" w:themeColor="text1"/>
          <w:kern w:val="0"/>
          <w:sz w:val="44"/>
          <w:szCs w:val="44"/>
          <w:highlight w:val="none"/>
          <w:u w:val="none"/>
          <w:lang w:val="en-US" w:eastAsia="zh-CN"/>
          <w14:textFill>
            <w14:solidFill>
              <w14:schemeClr w14:val="tx1"/>
            </w14:solidFill>
          </w14:textFill>
        </w:rPr>
        <w:t xml:space="preserve">   </w:t>
      </w:r>
      <w:r>
        <w:rPr>
          <w:rFonts w:hint="default" w:ascii="Times New Roman" w:hAnsi="Times New Roman" w:eastAsia="方正小标宋简体" w:cs="Nimbus Roman"/>
          <w:b w:val="0"/>
          <w:bCs w:val="0"/>
          <w:color w:val="000000" w:themeColor="text1"/>
          <w:kern w:val="0"/>
          <w:sz w:val="44"/>
          <w:szCs w:val="44"/>
          <w:highlight w:val="none"/>
          <w:u w:val="none"/>
          <w14:textFill>
            <w14:solidFill>
              <w14:schemeClr w14:val="tx1"/>
            </w14:solidFill>
          </w14:textFill>
        </w:rPr>
        <w:t>广东省</w:t>
      </w:r>
      <w:r>
        <w:rPr>
          <w:rFonts w:hint="eastAsia" w:ascii="Times New Roman" w:hAnsi="Times New Roman" w:eastAsia="方正小标宋简体" w:cs="Nimbus Roman"/>
          <w:b w:val="0"/>
          <w:bCs w:val="0"/>
          <w:color w:val="000000" w:themeColor="text1"/>
          <w:kern w:val="0"/>
          <w:sz w:val="44"/>
          <w:szCs w:val="44"/>
          <w:highlight w:val="none"/>
          <w:u w:val="none"/>
          <w:lang w:eastAsia="zh-CN"/>
          <w14:textFill>
            <w14:solidFill>
              <w14:schemeClr w14:val="tx1"/>
            </w14:solidFill>
          </w14:textFill>
        </w:rPr>
        <w:t>公立医疗机构</w:t>
      </w:r>
      <w:r>
        <w:rPr>
          <w:rFonts w:hint="default" w:ascii="Times New Roman" w:hAnsi="Times New Roman" w:eastAsia="方正小标宋简体" w:cs="Nimbus Roman"/>
          <w:b w:val="0"/>
          <w:bCs w:val="0"/>
          <w:color w:val="000000" w:themeColor="text1"/>
          <w:kern w:val="0"/>
          <w:sz w:val="44"/>
          <w:szCs w:val="44"/>
          <w:highlight w:val="none"/>
          <w:u w:val="none"/>
          <w14:textFill>
            <w14:solidFill>
              <w14:schemeClr w14:val="tx1"/>
            </w14:solidFill>
          </w14:textFill>
        </w:rPr>
        <w:t>特需医疗服务</w:t>
      </w:r>
    </w:p>
    <w:p>
      <w:pPr>
        <w:spacing w:beforeLines="0" w:afterLines="0" w:line="600" w:lineRule="exact"/>
        <w:ind w:firstLine="0" w:firstLineChars="0"/>
        <w:jc w:val="center"/>
        <w:rPr>
          <w:rFonts w:hint="default" w:ascii="Times New Roman" w:hAnsi="Times New Roman" w:eastAsia="方正小标宋简体" w:cs="Nimbus Roman"/>
          <w:b w:val="0"/>
          <w:bCs w:val="0"/>
          <w:color w:val="000000" w:themeColor="text1"/>
          <w:kern w:val="0"/>
          <w:sz w:val="44"/>
          <w:szCs w:val="44"/>
          <w:highlight w:val="none"/>
          <w:u w:val="none"/>
          <w14:textFill>
            <w14:solidFill>
              <w14:schemeClr w14:val="tx1"/>
            </w14:solidFill>
          </w14:textFill>
        </w:rPr>
      </w:pPr>
      <w:r>
        <w:rPr>
          <w:rFonts w:hint="eastAsia" w:ascii="Times New Roman" w:hAnsi="Times New Roman" w:eastAsia="方正小标宋简体" w:cs="Nimbus Roman"/>
          <w:b w:val="0"/>
          <w:bCs w:val="0"/>
          <w:color w:val="000000" w:themeColor="text1"/>
          <w:kern w:val="0"/>
          <w:sz w:val="44"/>
          <w:szCs w:val="44"/>
          <w:highlight w:val="none"/>
          <w:u w:val="none"/>
          <w:lang w:eastAsia="zh-CN"/>
          <w14:textFill>
            <w14:solidFill>
              <w14:schemeClr w14:val="tx1"/>
            </w14:solidFill>
          </w14:textFill>
        </w:rPr>
        <w:t>项目和价格</w:t>
      </w:r>
      <w:r>
        <w:rPr>
          <w:rFonts w:hint="default" w:ascii="Times New Roman" w:hAnsi="Times New Roman" w:eastAsia="方正小标宋简体" w:cs="Nimbus Roman"/>
          <w:b w:val="0"/>
          <w:bCs w:val="0"/>
          <w:color w:val="000000" w:themeColor="text1"/>
          <w:kern w:val="0"/>
          <w:sz w:val="44"/>
          <w:szCs w:val="44"/>
          <w:highlight w:val="none"/>
          <w:u w:val="none"/>
          <w14:textFill>
            <w14:solidFill>
              <w14:schemeClr w14:val="tx1"/>
            </w14:solidFill>
          </w14:textFill>
        </w:rPr>
        <w:t>管理暂行办法</w:t>
      </w:r>
    </w:p>
    <w:p>
      <w:pPr>
        <w:spacing w:beforeLines="0" w:afterLines="0" w:line="600" w:lineRule="exact"/>
        <w:ind w:firstLine="0" w:firstLineChars="0"/>
        <w:jc w:val="center"/>
        <w:rPr>
          <w:rFonts w:hint="eastAsia" w:ascii="方正楷体_GBK" w:hAnsi="方正楷体_GBK" w:eastAsia="方正楷体_GBK" w:cs="方正楷体_GBK"/>
          <w:b w:val="0"/>
          <w:bCs w:val="0"/>
          <w:color w:val="000000" w:themeColor="text1"/>
          <w:kern w:val="0"/>
          <w:sz w:val="32"/>
          <w:szCs w:val="32"/>
          <w:highlight w:val="none"/>
          <w:u w:val="none"/>
          <w:lang w:eastAsia="zh-CN"/>
          <w14:textFill>
            <w14:solidFill>
              <w14:schemeClr w14:val="tx1"/>
            </w14:solidFill>
          </w14:textFill>
        </w:rPr>
      </w:pPr>
      <w:r>
        <w:rPr>
          <w:rFonts w:hint="eastAsia" w:ascii="方正楷体_GBK" w:hAnsi="方正楷体_GBK" w:eastAsia="方正楷体_GBK" w:cs="方正楷体_GBK"/>
          <w:b w:val="0"/>
          <w:bCs w:val="0"/>
          <w:color w:val="000000" w:themeColor="text1"/>
          <w:kern w:val="0"/>
          <w:sz w:val="32"/>
          <w:szCs w:val="32"/>
          <w:highlight w:val="none"/>
          <w:u w:val="none"/>
          <w:lang w:eastAsia="zh-CN"/>
          <w14:textFill>
            <w14:solidFill>
              <w14:schemeClr w14:val="tx1"/>
            </w14:solidFill>
          </w14:textFill>
        </w:rPr>
        <w:t>（</w:t>
      </w:r>
      <w:r>
        <w:rPr>
          <w:rFonts w:hint="eastAsia" w:ascii="方正楷体_GBK" w:hAnsi="方正楷体_GBK" w:eastAsia="方正楷体_GBK" w:cs="方正楷体_GBK"/>
          <w:b w:val="0"/>
          <w:bCs w:val="0"/>
          <w:color w:val="000000" w:themeColor="text1"/>
          <w:kern w:val="0"/>
          <w:sz w:val="32"/>
          <w:szCs w:val="32"/>
          <w:highlight w:val="none"/>
          <w:u w:val="none"/>
          <w:lang w:val="en-US" w:eastAsia="zh-CN"/>
          <w14:textFill>
            <w14:solidFill>
              <w14:schemeClr w14:val="tx1"/>
            </w14:solidFill>
          </w14:textFill>
        </w:rPr>
        <w:t>公开征求意见稿</w:t>
      </w:r>
      <w:r>
        <w:rPr>
          <w:rFonts w:hint="eastAsia" w:ascii="方正楷体_GBK" w:hAnsi="方正楷体_GBK" w:eastAsia="方正楷体_GBK" w:cs="方正楷体_GBK"/>
          <w:b w:val="0"/>
          <w:bCs w:val="0"/>
          <w:color w:val="000000" w:themeColor="text1"/>
          <w:kern w:val="0"/>
          <w:sz w:val="32"/>
          <w:szCs w:val="32"/>
          <w:highlight w:val="none"/>
          <w:u w:val="none"/>
          <w:lang w:eastAsia="zh-CN"/>
          <w14:textFill>
            <w14:solidFill>
              <w14:schemeClr w14:val="tx1"/>
            </w14:solidFill>
          </w14:textFill>
        </w:rPr>
        <w:t>）</w:t>
      </w:r>
    </w:p>
    <w:p>
      <w:pPr>
        <w:spacing w:beforeLines="0" w:afterLines="0" w:line="600" w:lineRule="exact"/>
        <w:jc w:val="center"/>
        <w:rPr>
          <w:rFonts w:hint="eastAsia" w:ascii="Times New Roman" w:hAnsi="Times New Roman" w:eastAsia="方正小标宋简体" w:cs="方正小标宋简体"/>
          <w:b w:val="0"/>
          <w:bCs w:val="0"/>
          <w:color w:val="000000" w:themeColor="text1"/>
          <w:kern w:val="0"/>
          <w:sz w:val="32"/>
          <w:szCs w:val="32"/>
          <w:highlight w:val="none"/>
          <w:u w:val="none"/>
          <w14:textFill>
            <w14:solidFill>
              <w14:schemeClr w14:val="tx1"/>
            </w14:solidFill>
          </w14:textFill>
        </w:rPr>
      </w:pPr>
    </w:p>
    <w:p>
      <w:pPr>
        <w:spacing w:beforeLines="0" w:afterLines="0" w:line="600" w:lineRule="exact"/>
        <w:jc w:val="center"/>
        <w:rPr>
          <w:rFonts w:hint="eastAsia" w:ascii="Times New Roman" w:hAnsi="Times New Roman" w:eastAsia="方正小标宋简体" w:cs="方正小标宋简体"/>
          <w:b w:val="0"/>
          <w:bCs w:val="0"/>
          <w:color w:val="000000" w:themeColor="text1"/>
          <w:kern w:val="0"/>
          <w:sz w:val="32"/>
          <w:szCs w:val="32"/>
          <w:highlight w:val="none"/>
          <w:u w:val="none"/>
          <w14:textFill>
            <w14:solidFill>
              <w14:schemeClr w14:val="tx1"/>
            </w14:solidFill>
          </w14:textFill>
        </w:rPr>
      </w:pPr>
      <w:r>
        <w:rPr>
          <w:rFonts w:hint="eastAsia" w:ascii="Times New Roman" w:hAnsi="Times New Roman" w:eastAsia="方正小标宋简体" w:cs="方正小标宋简体"/>
          <w:b w:val="0"/>
          <w:bCs w:val="0"/>
          <w:color w:val="000000" w:themeColor="text1"/>
          <w:kern w:val="0"/>
          <w:sz w:val="32"/>
          <w:szCs w:val="32"/>
          <w:highlight w:val="none"/>
          <w:u w:val="none"/>
          <w14:textFill>
            <w14:solidFill>
              <w14:schemeClr w14:val="tx1"/>
            </w14:solidFill>
          </w14:textFill>
        </w:rPr>
        <w:t>第一章 总则</w:t>
      </w:r>
    </w:p>
    <w:p>
      <w:pPr>
        <w:spacing w:beforeLines="0" w:afterLines="0" w:line="600" w:lineRule="exact"/>
        <w:jc w:val="center"/>
        <w:rPr>
          <w:rFonts w:hint="default" w:ascii="Times New Roman" w:hAnsi="Times New Roman" w:eastAsia="黑体" w:cs="Nimbus Roman"/>
          <w:b w:val="0"/>
          <w:bCs w:val="0"/>
          <w:color w:val="000000" w:themeColor="text1"/>
          <w:kern w:val="0"/>
          <w:sz w:val="32"/>
          <w:szCs w:val="32"/>
          <w:highlight w:val="none"/>
          <w:u w:val="none"/>
          <w14:textFill>
            <w14:solidFill>
              <w14:schemeClr w14:val="tx1"/>
            </w14:solidFill>
          </w14:textFill>
        </w:rPr>
      </w:pPr>
    </w:p>
    <w:p>
      <w:pPr>
        <w:pStyle w:val="6"/>
        <w:widowControl/>
        <w:numPr>
          <w:ilvl w:val="0"/>
          <w:numId w:val="0"/>
        </w:numPr>
        <w:spacing w:before="0" w:beforeLines="0" w:beforeAutospacing="0" w:after="0" w:afterLines="0" w:afterAutospacing="0" w:line="600" w:lineRule="exact"/>
        <w:ind w:right="0" w:rightChars="0" w:firstLine="640" w:firstLineChars="200"/>
        <w:jc w:val="both"/>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val="en-US" w:eastAsia="zh-CN"/>
          <w14:textFill>
            <w14:solidFill>
              <w14:schemeClr w14:val="tx1"/>
            </w14:solidFill>
          </w14:textFill>
        </w:rPr>
        <w:t>第一条</w:t>
      </w:r>
      <w:r>
        <w:rPr>
          <w:rFonts w:hint="eastAsia" w:ascii="Times New Roman" w:hAnsi="Times New Roman" w:eastAsia="黑体" w:cs="Nimbus Roman"/>
          <w:b w:val="0"/>
          <w:bCs w:val="0"/>
          <w:color w:val="000000" w:themeColor="text1"/>
          <w:kern w:val="0"/>
          <w:sz w:val="32"/>
          <w:szCs w:val="32"/>
          <w:highlight w:val="none"/>
          <w:u w:val="none"/>
          <w:lang w:val="en-US" w:eastAsia="zh-CN"/>
          <w14:textFill>
            <w14:solidFill>
              <w14:schemeClr w14:val="tx1"/>
            </w14:solidFill>
          </w14:textFill>
        </w:rPr>
        <w:t xml:space="preserve">  </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为规范</w:t>
      </w:r>
      <w:r>
        <w:rPr>
          <w:rFonts w:hint="eastAsia" w:ascii="Times New Roman" w:hAnsi="Times New Roman" w:eastAsia="仿宋" w:cs="Nimbus Roman"/>
          <w:b w:val="0"/>
          <w:bCs w:val="0"/>
          <w:color w:val="000000" w:themeColor="text1"/>
          <w:kern w:val="0"/>
          <w:sz w:val="32"/>
          <w:szCs w:val="32"/>
          <w:highlight w:val="none"/>
          <w:u w:val="none"/>
          <w:lang w:eastAsia="zh-CN"/>
          <w14:textFill>
            <w14:solidFill>
              <w14:schemeClr w14:val="tx1"/>
            </w14:solidFill>
          </w14:textFill>
        </w:rPr>
        <w:t>公立</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医疗机构特需医疗服务行为，</w:t>
      </w:r>
      <w:r>
        <w:rPr>
          <w:rFonts w:hint="default" w:ascii="Times New Roman" w:hAnsi="Times New Roman" w:eastAsia="仿宋" w:cs="Nimbus Roman"/>
          <w:b w:val="0"/>
          <w:bCs w:val="0"/>
          <w:color w:val="000000" w:themeColor="text1"/>
          <w:sz w:val="32"/>
          <w:szCs w:val="32"/>
          <w:highlight w:val="none"/>
          <w:u w:val="none"/>
          <w14:textFill>
            <w14:solidFill>
              <w14:schemeClr w14:val="tx1"/>
            </w14:solidFill>
          </w14:textFill>
        </w:rPr>
        <w:t>充分发挥市场资源配置作用，</w:t>
      </w:r>
      <w:r>
        <w:rPr>
          <w:rFonts w:hint="default" w:ascii="Times New Roman" w:hAnsi="Times New Roman" w:eastAsia="仿宋" w:cs="Nimbus Roman"/>
          <w:b w:val="0"/>
          <w:bCs w:val="0"/>
          <w:color w:val="000000" w:themeColor="text1"/>
          <w:sz w:val="32"/>
          <w:szCs w:val="32"/>
          <w:highlight w:val="none"/>
          <w:u w:val="none"/>
          <w:lang w:val="en-US" w:eastAsia="zh-CN"/>
          <w14:textFill>
            <w14:solidFill>
              <w14:schemeClr w14:val="tx1"/>
            </w14:solidFill>
          </w14:textFill>
        </w:rPr>
        <w:t>提升医疗卫生服务水平</w:t>
      </w:r>
      <w:r>
        <w:rPr>
          <w:rFonts w:hint="default" w:ascii="Times New Roman" w:hAnsi="Times New Roman" w:eastAsia="仿宋" w:cs="Nimbus Roman"/>
          <w:b w:val="0"/>
          <w:bCs w:val="0"/>
          <w:color w:val="000000" w:themeColor="text1"/>
          <w:sz w:val="32"/>
          <w:szCs w:val="32"/>
          <w:highlight w:val="none"/>
          <w:u w:val="none"/>
          <w14:textFill>
            <w14:solidFill>
              <w14:schemeClr w14:val="tx1"/>
            </w14:solidFill>
          </w14:textFill>
        </w:rPr>
        <w:t>，更好地满足患者不同层次的医疗服务需求</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，根据</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国务院办公厅《关于推动公立医院高质量发展的意见》（国办发</w:t>
      </w:r>
      <w:r>
        <w:rPr>
          <w:rFonts w:hint="default" w:ascii="Times New Roman" w:hAnsi="Times New Roman" w:eastAsia="仿宋_GB2312" w:cs="Nimbus Roman"/>
          <w:b w:val="0"/>
          <w:bCs w:val="0"/>
          <w:i w:val="0"/>
          <w:snapToGrid/>
          <w:color w:val="000000" w:themeColor="text1"/>
          <w:sz w:val="32"/>
          <w:szCs w:val="32"/>
          <w:highlight w:val="none"/>
          <w:u w:val="none"/>
          <w:lang w:val="en-US" w:eastAsia="zh-CN"/>
          <w14:textFill>
            <w14:solidFill>
              <w14:schemeClr w14:val="tx1"/>
            </w14:solidFill>
          </w14:textFill>
        </w:rPr>
        <w:t>〔2021〕</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18号）和</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国家医疗保障局等八部</w:t>
      </w:r>
      <w:r>
        <w:rPr>
          <w:rFonts w:hint="eastAsia" w:ascii="Times New Roman" w:hAnsi="Times New Roman" w:eastAsia="仿宋" w:cs="Nimbus Roman"/>
          <w:b w:val="0"/>
          <w:bCs w:val="0"/>
          <w:color w:val="000000" w:themeColor="text1"/>
          <w:kern w:val="0"/>
          <w:sz w:val="32"/>
          <w:szCs w:val="32"/>
          <w:highlight w:val="none"/>
          <w:u w:val="none"/>
          <w:lang w:eastAsia="zh-CN"/>
          <w14:textFill>
            <w14:solidFill>
              <w14:schemeClr w14:val="tx1"/>
            </w14:solidFill>
          </w14:textFill>
        </w:rPr>
        <w:t>门</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印发的《深化医疗服务价格改革试点方案》（医保发</w:t>
      </w:r>
      <w:r>
        <w:rPr>
          <w:rFonts w:hint="default" w:ascii="Times New Roman" w:hAnsi="Times New Roman" w:eastAsia="仿宋_GB2312" w:cs="Nimbus Roman"/>
          <w:b w:val="0"/>
          <w:bCs w:val="0"/>
          <w:i w:val="0"/>
          <w:snapToGrid/>
          <w:color w:val="000000" w:themeColor="text1"/>
          <w:sz w:val="32"/>
          <w:szCs w:val="32"/>
          <w:highlight w:val="none"/>
          <w:u w:val="none"/>
          <w:lang w:val="en-US" w:eastAsia="zh-CN"/>
          <w14:textFill>
            <w14:solidFill>
              <w14:schemeClr w14:val="tx1"/>
            </w14:solidFill>
          </w14:textFill>
        </w:rPr>
        <w:t>〔2021〕</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41号）</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等文件精神，制定本办法。</w:t>
      </w:r>
    </w:p>
    <w:p>
      <w:pPr>
        <w:numPr>
          <w:ilvl w:val="0"/>
          <w:numId w:val="0"/>
        </w:numPr>
        <w:tabs>
          <w:tab w:val="left" w:pos="0"/>
        </w:tabs>
        <w:spacing w:beforeLines="0" w:afterLines="0" w:line="600" w:lineRule="exact"/>
        <w:ind w:firstLine="640" w:firstLineChars="200"/>
        <w:jc w:val="both"/>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eastAsia="zh-CN"/>
          <w14:textFill>
            <w14:solidFill>
              <w14:schemeClr w14:val="tx1"/>
            </w14:solidFill>
          </w14:textFill>
        </w:rPr>
        <w:t>第</w:t>
      </w:r>
      <w:r>
        <w:rPr>
          <w:rFonts w:hint="eastAsia" w:ascii="Times New Roman" w:hAnsi="Times New Roman" w:eastAsia="黑体" w:cs="Nimbus Roman"/>
          <w:b w:val="0"/>
          <w:bCs w:val="0"/>
          <w:color w:val="000000" w:themeColor="text1"/>
          <w:kern w:val="0"/>
          <w:sz w:val="32"/>
          <w:szCs w:val="32"/>
          <w:highlight w:val="none"/>
          <w:u w:val="none"/>
          <w:lang w:eastAsia="zh-CN"/>
          <w14:textFill>
            <w14:solidFill>
              <w14:schemeClr w14:val="tx1"/>
            </w14:solidFill>
          </w14:textFill>
        </w:rPr>
        <w:t>二</w:t>
      </w:r>
      <w:r>
        <w:rPr>
          <w:rFonts w:hint="default" w:ascii="Times New Roman" w:hAnsi="Times New Roman" w:eastAsia="黑体" w:cs="Nimbus Roman"/>
          <w:b w:val="0"/>
          <w:bCs w:val="0"/>
          <w:color w:val="000000" w:themeColor="text1"/>
          <w:kern w:val="0"/>
          <w:sz w:val="32"/>
          <w:szCs w:val="32"/>
          <w:highlight w:val="none"/>
          <w:u w:val="none"/>
          <w:lang w:eastAsia="zh-CN"/>
          <w14:textFill>
            <w14:solidFill>
              <w14:schemeClr w14:val="tx1"/>
            </w14:solidFill>
          </w14:textFill>
        </w:rPr>
        <w:t>条</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 xml:space="preserve"> 本办法所称</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特需医疗服务是指</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公立</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医疗机构在保证基本医疗服务的前提下，在服务设施、诊疗环境、服务时间、医护队伍、</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就医体验</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等方面提供的优质、便利、</w:t>
      </w:r>
      <w:r>
        <w:rPr>
          <w:rFonts w:hint="eastAsia" w:ascii="Times New Roman" w:hAnsi="Times New Roman" w:eastAsia="仿宋" w:cs="Nimbus Roman"/>
          <w:b w:val="0"/>
          <w:bCs w:val="0"/>
          <w:color w:val="000000" w:themeColor="text1"/>
          <w:kern w:val="0"/>
          <w:sz w:val="32"/>
          <w:szCs w:val="32"/>
          <w:highlight w:val="none"/>
          <w:u w:val="none"/>
          <w:lang w:eastAsia="zh-CN"/>
          <w14:textFill>
            <w14:solidFill>
              <w14:schemeClr w14:val="tx1"/>
            </w14:solidFill>
          </w14:textFill>
        </w:rPr>
        <w:t>满足患者多层次需求、由患者</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自愿选择的医疗服务</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p>
    <w:p>
      <w:pPr>
        <w:numPr>
          <w:ilvl w:val="-1"/>
          <w:numId w:val="0"/>
        </w:numPr>
        <w:tabs>
          <w:tab w:val="left" w:pos="0"/>
        </w:tabs>
        <w:spacing w:beforeLines="0" w:afterLines="0" w:line="600" w:lineRule="exact"/>
        <w:ind w:firstLine="640" w:firstLineChars="200"/>
        <w:jc w:val="both"/>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eastAsia="zh-CN"/>
          <w14:textFill>
            <w14:solidFill>
              <w14:schemeClr w14:val="tx1"/>
            </w14:solidFill>
          </w14:textFill>
        </w:rPr>
        <w:t>第</w:t>
      </w:r>
      <w:r>
        <w:rPr>
          <w:rFonts w:hint="eastAsia" w:ascii="Times New Roman" w:hAnsi="Times New Roman" w:eastAsia="黑体" w:cs="Nimbus Roman"/>
          <w:b w:val="0"/>
          <w:bCs w:val="0"/>
          <w:color w:val="000000" w:themeColor="text1"/>
          <w:kern w:val="0"/>
          <w:sz w:val="32"/>
          <w:szCs w:val="32"/>
          <w:highlight w:val="none"/>
          <w:u w:val="none"/>
          <w:lang w:eastAsia="zh-CN"/>
          <w14:textFill>
            <w14:solidFill>
              <w14:schemeClr w14:val="tx1"/>
            </w14:solidFill>
          </w14:textFill>
        </w:rPr>
        <w:t>三</w:t>
      </w:r>
      <w:r>
        <w:rPr>
          <w:rFonts w:hint="default" w:ascii="Times New Roman" w:hAnsi="Times New Roman" w:eastAsia="黑体" w:cs="Nimbus Roman"/>
          <w:b w:val="0"/>
          <w:bCs w:val="0"/>
          <w:color w:val="000000" w:themeColor="text1"/>
          <w:kern w:val="0"/>
          <w:sz w:val="32"/>
          <w:szCs w:val="32"/>
          <w:highlight w:val="none"/>
          <w:u w:val="none"/>
          <w:lang w:eastAsia="zh-CN"/>
          <w14:textFill>
            <w14:solidFill>
              <w14:schemeClr w14:val="tx1"/>
            </w14:solidFill>
          </w14:textFill>
        </w:rPr>
        <w:t>条</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 xml:space="preserve"> 本办法适用于</w:t>
      </w:r>
      <w:r>
        <w:rPr>
          <w:rFonts w:hint="eastAsia"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广东省内</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具备独立法</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人资格和独立核算的</w:t>
      </w:r>
      <w:r>
        <w:rPr>
          <w:rFonts w:hint="eastAsia"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二</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级</w:t>
      </w:r>
      <w:r>
        <w:rPr>
          <w:rFonts w:hint="eastAsia"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以上</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公立医疗机构</w:t>
      </w:r>
      <w:r>
        <w:rPr>
          <w:rFonts w:hint="default" w:ascii="Times New Roman" w:hAnsi="Times New Roman" w:eastAsia="仿宋" w:cs="Nimbus Roman"/>
          <w:b w:val="0"/>
          <w:bCs w:val="0"/>
          <w:color w:val="000000" w:themeColor="text1"/>
          <w:kern w:val="0"/>
          <w:sz w:val="32"/>
          <w:szCs w:val="32"/>
          <w:highlight w:val="none"/>
          <w:u w:val="none"/>
          <w:lang w:eastAsia="zh-CN"/>
          <w14:textFill>
            <w14:solidFill>
              <w14:schemeClr w14:val="tx1"/>
            </w14:solidFill>
          </w14:textFill>
        </w:rPr>
        <w:t>开展</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医疗</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服务的备案</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管</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理、组织实施</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和指导监督</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p>
    <w:p>
      <w:pPr>
        <w:pStyle w:val="6"/>
        <w:widowControl/>
        <w:spacing w:before="0" w:beforeLines="0" w:beforeAutospacing="0" w:after="0" w:afterLines="0" w:afterAutospacing="0" w:line="600" w:lineRule="exact"/>
        <w:ind w:firstLine="640" w:firstLineChars="200"/>
        <w:jc w:val="both"/>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eastAsia="zh-CN"/>
          <w14:textFill>
            <w14:solidFill>
              <w14:schemeClr w14:val="tx1"/>
            </w14:solidFill>
          </w14:textFill>
        </w:rPr>
        <w:t>第</w:t>
      </w:r>
      <w:r>
        <w:rPr>
          <w:rFonts w:hint="eastAsia" w:ascii="Times New Roman" w:hAnsi="Times New Roman" w:eastAsia="黑体" w:cs="Nimbus Roman"/>
          <w:b w:val="0"/>
          <w:bCs w:val="0"/>
          <w:color w:val="000000" w:themeColor="text1"/>
          <w:kern w:val="0"/>
          <w:sz w:val="32"/>
          <w:szCs w:val="32"/>
          <w:highlight w:val="none"/>
          <w:u w:val="none"/>
          <w:lang w:eastAsia="zh-CN"/>
          <w14:textFill>
            <w14:solidFill>
              <w14:schemeClr w14:val="tx1"/>
            </w14:solidFill>
          </w14:textFill>
        </w:rPr>
        <w:t>四</w:t>
      </w:r>
      <w:r>
        <w:rPr>
          <w:rFonts w:hint="default" w:ascii="Times New Roman" w:hAnsi="Times New Roman" w:eastAsia="黑体" w:cs="Nimbus Roman"/>
          <w:b w:val="0"/>
          <w:bCs w:val="0"/>
          <w:color w:val="000000" w:themeColor="text1"/>
          <w:kern w:val="0"/>
          <w:sz w:val="32"/>
          <w:szCs w:val="32"/>
          <w:highlight w:val="none"/>
          <w:u w:val="none"/>
          <w:lang w:eastAsia="zh-CN"/>
          <w14:textFill>
            <w14:solidFill>
              <w14:schemeClr w14:val="tx1"/>
            </w14:solidFill>
          </w14:textFill>
        </w:rPr>
        <w:t>条</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 xml:space="preserve"> </w:t>
      </w:r>
      <w:r>
        <w:rPr>
          <w:rFonts w:hint="eastAsia"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广东省公立医疗机构</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特需医疗服务</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实施清单式管理</w:t>
      </w:r>
      <w:r>
        <w:rPr>
          <w:rFonts w:hint="default" w:ascii="Times New Roman" w:hAnsi="Times New Roman" w:eastAsia="仿宋" w:cs="Nimbus Roman"/>
          <w:b w:val="0"/>
          <w:bCs w:val="0"/>
          <w:color w:val="000000" w:themeColor="text1"/>
          <w:kern w:val="0"/>
          <w:sz w:val="32"/>
          <w:szCs w:val="32"/>
          <w:highlight w:val="none"/>
          <w:u w:val="none"/>
          <w:lang w:eastAsia="zh-CN"/>
          <w14:textFill>
            <w14:solidFill>
              <w14:schemeClr w14:val="tx1"/>
            </w14:solidFill>
          </w14:textFill>
        </w:rPr>
        <w:t>。</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各</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地</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医疗保障部门</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指导、监督辖区公立医疗机构</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在</w:t>
      </w:r>
      <w:r>
        <w:rPr>
          <w:rFonts w:hint="eastAsia" w:ascii="Times New Roman" w:hAnsi="Times New Roman" w:eastAsia="仿宋" w:cs="Nimbus Roman"/>
          <w:b w:val="0"/>
          <w:bCs w:val="0"/>
          <w:color w:val="000000" w:themeColor="text1"/>
          <w:sz w:val="32"/>
          <w:szCs w:val="32"/>
          <w:highlight w:val="none"/>
          <w:u w:val="none"/>
          <w14:textFill>
            <w14:solidFill>
              <w14:schemeClr w14:val="tx1"/>
            </w14:solidFill>
          </w14:textFill>
        </w:rPr>
        <w:t>省规定</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的</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特需医疗服务价格项目（以下简称“</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特需服务项目</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eastAsia" w:ascii="Times New Roman" w:hAnsi="Times New Roman" w:eastAsia="仿宋" w:cs="Nimbus Roman"/>
          <w:b w:val="0"/>
          <w:bCs w:val="0"/>
          <w:color w:val="000000" w:themeColor="text1"/>
          <w:sz w:val="32"/>
          <w:szCs w:val="32"/>
          <w:highlight w:val="none"/>
          <w:u w:val="none"/>
          <w14:textFill>
            <w14:solidFill>
              <w14:schemeClr w14:val="tx1"/>
            </w14:solidFill>
          </w14:textFill>
        </w:rPr>
        <w:t>范围</w:t>
      </w:r>
      <w:r>
        <w:rPr>
          <w:rFonts w:hint="eastAsia" w:ascii="Times New Roman" w:hAnsi="Times New Roman" w:eastAsia="仿宋" w:cs="Nimbus Roman"/>
          <w:b w:val="0"/>
          <w:bCs w:val="0"/>
          <w:color w:val="000000" w:themeColor="text1"/>
          <w:sz w:val="32"/>
          <w:szCs w:val="32"/>
          <w:highlight w:val="none"/>
          <w:u w:val="none"/>
          <w:lang w:val="en-US" w:eastAsia="zh-CN"/>
          <w14:textFill>
            <w14:solidFill>
              <w14:schemeClr w14:val="tx1"/>
            </w14:solidFill>
          </w14:textFill>
        </w:rPr>
        <w:t>内</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，制定并</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按附件的格式</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公开本</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医疗机构</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特需服务项目清单。</w:t>
      </w:r>
    </w:p>
    <w:p>
      <w:pPr>
        <w:numPr>
          <w:ilvl w:val="0"/>
          <w:numId w:val="0"/>
        </w:numPr>
        <w:spacing w:beforeLines="0" w:afterLines="0" w:line="600" w:lineRule="exact"/>
        <w:ind w:firstLine="640" w:firstLineChars="200"/>
        <w:jc w:val="both"/>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eastAsia" w:ascii="Times New Roman" w:hAnsi="Times New Roman" w:eastAsia="黑体" w:cs="Nimbus Roman"/>
          <w:b w:val="0"/>
          <w:bCs w:val="0"/>
          <w:color w:val="000000" w:themeColor="text1"/>
          <w:kern w:val="0"/>
          <w:sz w:val="32"/>
          <w:szCs w:val="32"/>
          <w:highlight w:val="none"/>
          <w:u w:val="none"/>
          <w:lang w:eastAsia="zh-CN"/>
          <w14:textFill>
            <w14:solidFill>
              <w14:schemeClr w14:val="tx1"/>
            </w14:solidFill>
          </w14:textFill>
        </w:rPr>
        <w:t>第五条</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 xml:space="preserve"> 特需医疗服务</w:t>
      </w:r>
      <w:r>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t>应体现对基本医疗服务的反哺作用，</w:t>
      </w:r>
      <w:r>
        <w:rPr>
          <w:rFonts w:hint="eastAsia" w:ascii="华文仿宋" w:hAnsi="华文仿宋" w:eastAsia="华文仿宋" w:cs="华文仿宋"/>
          <w:b w:val="0"/>
          <w:bCs w:val="0"/>
          <w:color w:val="000000" w:themeColor="text1"/>
          <w:kern w:val="2"/>
          <w:sz w:val="32"/>
          <w:szCs w:val="32"/>
          <w:highlight w:val="none"/>
          <w:u w:val="none"/>
          <w:lang w:val="en-US" w:eastAsia="zh-CN" w:bidi="ar-SA"/>
          <w14:textFill>
            <w14:solidFill>
              <w14:schemeClr w14:val="tx1"/>
            </w14:solidFill>
          </w14:textFill>
        </w:rPr>
        <w:t>落实我省公立医院薪酬制度有关</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要求，</w:t>
      </w:r>
      <w:r>
        <w:rPr>
          <w:rFonts w:hint="default" w:ascii="Times New Roman" w:hAnsi="Times New Roman" w:eastAsia="仿宋_GB2312" w:cs="Times New Roman"/>
          <w:color w:val="000000" w:themeColor="text1"/>
          <w:sz w:val="32"/>
          <w:szCs w:val="32"/>
          <w14:textFill>
            <w14:solidFill>
              <w14:schemeClr w14:val="tx1"/>
            </w14:solidFill>
          </w14:textFill>
        </w:rPr>
        <w:t>主要用于相关人员绩效</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t>体现基本医疗服务医护人员的技术劳务价值</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w:t>
      </w:r>
    </w:p>
    <w:p>
      <w:pPr>
        <w:pStyle w:val="6"/>
        <w:widowControl/>
        <w:numPr>
          <w:ilvl w:val="-1"/>
          <w:numId w:val="0"/>
        </w:numPr>
        <w:spacing w:before="0" w:beforeLines="0" w:beforeAutospacing="0" w:after="0" w:afterLines="0" w:afterAutospacing="0" w:line="600" w:lineRule="exact"/>
        <w:ind w:firstLine="0" w:firstLineChars="0"/>
        <w:jc w:val="both"/>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p>
    <w:p>
      <w:pPr>
        <w:numPr>
          <w:ilvl w:val="0"/>
          <w:numId w:val="1"/>
        </w:numPr>
        <w:spacing w:beforeLines="0" w:afterLines="0" w:line="600" w:lineRule="exact"/>
        <w:ind w:leftChars="0" w:firstLine="0" w:firstLineChars="0"/>
        <w:jc w:val="center"/>
        <w:rPr>
          <w:rFonts w:hint="eastAsia" w:ascii="Times New Roman" w:hAnsi="Times New Roman" w:eastAsia="方正小标宋简体" w:cs="方正小标宋简体"/>
          <w:b w:val="0"/>
          <w:bCs w:val="0"/>
          <w:color w:val="000000" w:themeColor="text1"/>
          <w:kern w:val="0"/>
          <w:sz w:val="32"/>
          <w:szCs w:val="32"/>
          <w:highlight w:val="none"/>
          <w:u w:val="none"/>
          <w:lang w:val="en-US" w:eastAsia="zh-CN"/>
          <w14:textFill>
            <w14:solidFill>
              <w14:schemeClr w14:val="tx1"/>
            </w14:solidFill>
          </w14:textFill>
        </w:rPr>
      </w:pPr>
      <w:r>
        <w:rPr>
          <w:rFonts w:hint="eastAsia" w:ascii="Times New Roman" w:hAnsi="Times New Roman" w:eastAsia="方正小标宋简体" w:cs="方正小标宋简体"/>
          <w:b w:val="0"/>
          <w:bCs w:val="0"/>
          <w:color w:val="000000" w:themeColor="text1"/>
          <w:kern w:val="0"/>
          <w:sz w:val="32"/>
          <w:szCs w:val="32"/>
          <w:highlight w:val="none"/>
          <w:u w:val="none"/>
          <w:lang w:val="en-US" w:eastAsia="zh-CN"/>
          <w14:textFill>
            <w14:solidFill>
              <w14:schemeClr w14:val="tx1"/>
            </w14:solidFill>
          </w14:textFill>
        </w:rPr>
        <w:t xml:space="preserve"> 特需服务项目</w:t>
      </w:r>
    </w:p>
    <w:p>
      <w:pPr>
        <w:pStyle w:val="6"/>
        <w:widowControl/>
        <w:numPr>
          <w:ilvl w:val="-1"/>
          <w:numId w:val="0"/>
        </w:numPr>
        <w:spacing w:before="0" w:beforeLines="-2147483648" w:beforeAutospacing="0" w:after="0" w:afterLines="-2147483648" w:afterAutospacing="0" w:line="240" w:lineRule="auto"/>
        <w:ind w:firstLine="640" w:firstLineChars="200"/>
        <w:jc w:val="left"/>
        <w:rPr>
          <w:rFonts w:hint="eastAsia" w:ascii="Times New Roman" w:hAnsi="Times New Roman" w:eastAsia="黑体" w:cs="Nimbus Roman"/>
          <w:b w:val="0"/>
          <w:bCs w:val="0"/>
          <w:color w:val="000000" w:themeColor="text1"/>
          <w:kern w:val="0"/>
          <w:sz w:val="32"/>
          <w:szCs w:val="32"/>
          <w:highlight w:val="none"/>
          <w:u w:val="none"/>
          <w:lang w:eastAsia="zh-CN"/>
          <w14:textFill>
            <w14:solidFill>
              <w14:schemeClr w14:val="tx1"/>
            </w14:solidFill>
          </w14:textFill>
        </w:rPr>
      </w:pPr>
    </w:p>
    <w:p>
      <w:pPr>
        <w:numPr>
          <w:ilvl w:val="-1"/>
          <w:numId w:val="0"/>
        </w:numPr>
        <w:ind w:firstLine="640" w:firstLineChars="200"/>
        <w:rPr>
          <w:rFonts w:hint="eastAsia" w:ascii="Times New Roman" w:hAnsi="Times New Roman" w:eastAsia="仿宋" w:cs="Nimbus Roman"/>
          <w:b w:val="0"/>
          <w:bCs w:val="0"/>
          <w:color w:val="000000" w:themeColor="text1"/>
          <w:kern w:val="0"/>
          <w:sz w:val="32"/>
          <w:szCs w:val="32"/>
          <w:highlight w:val="none"/>
          <w:u w:val="none"/>
          <w:lang w:eastAsia="zh-CN"/>
          <w14:textFill>
            <w14:solidFill>
              <w14:schemeClr w14:val="tx1"/>
            </w14:solidFill>
          </w14:textFill>
        </w:rPr>
      </w:pPr>
      <w:r>
        <w:rPr>
          <w:rFonts w:hint="eastAsia" w:ascii="Times New Roman" w:hAnsi="Times New Roman" w:eastAsia="黑体" w:cs="Nimbus Roman"/>
          <w:b w:val="0"/>
          <w:bCs w:val="0"/>
          <w:color w:val="000000" w:themeColor="text1"/>
          <w:kern w:val="0"/>
          <w:sz w:val="32"/>
          <w:szCs w:val="32"/>
          <w:highlight w:val="none"/>
          <w:u w:val="none"/>
          <w:lang w:eastAsia="zh-CN"/>
          <w14:textFill>
            <w14:solidFill>
              <w14:schemeClr w14:val="tx1"/>
            </w14:solidFill>
          </w14:textFill>
        </w:rPr>
        <w:t>第六条</w:t>
      </w:r>
      <w:r>
        <w:rPr>
          <w:rFonts w:hint="eastAsia" w:ascii="Times New Roman" w:hAnsi="Times New Roman" w:eastAsia="黑体" w:cs="Nimbus Roman"/>
          <w:b w:val="0"/>
          <w:bCs w:val="0"/>
          <w:color w:val="000000" w:themeColor="text1"/>
          <w:kern w:val="0"/>
          <w:sz w:val="32"/>
          <w:szCs w:val="32"/>
          <w:highlight w:val="none"/>
          <w:u w:val="none"/>
          <w:lang w:val="en-US" w:eastAsia="zh-CN"/>
          <w14:textFill>
            <w14:solidFill>
              <w14:schemeClr w14:val="tx1"/>
            </w14:solidFill>
          </w14:textFill>
        </w:rPr>
        <w:t xml:space="preserve"> </w:t>
      </w:r>
      <w:r>
        <w:rPr>
          <w:rFonts w:hint="eastAsia" w:ascii="Times New Roman" w:hAnsi="Times New Roman" w:eastAsia="仿宋" w:cs="Nimbus Roman"/>
          <w:b w:val="0"/>
          <w:bCs w:val="0"/>
          <w:color w:val="000000" w:themeColor="text1"/>
          <w:kern w:val="0"/>
          <w:sz w:val="32"/>
          <w:szCs w:val="32"/>
          <w:highlight w:val="none"/>
          <w:u w:val="none"/>
          <w:lang w:eastAsia="zh-CN"/>
          <w14:textFill>
            <w14:solidFill>
              <w14:schemeClr w14:val="tx1"/>
            </w14:solidFill>
          </w14:textFill>
        </w:rPr>
        <w:t>特需服务项目在我省现行基本医疗服务价格项目和市场调节价医疗服务价格项目目录内选择形成，应涵盖并可拓展项目的服务内容。</w:t>
      </w:r>
    </w:p>
    <w:p>
      <w:pPr>
        <w:numPr>
          <w:ilvl w:val="-1"/>
          <w:numId w:val="0"/>
        </w:numPr>
        <w:ind w:firstLine="640" w:firstLineChars="200"/>
        <w:rPr>
          <w:rFonts w:hint="eastAsia" w:ascii="华文仿宋" w:hAnsi="华文仿宋" w:eastAsia="华文仿宋" w:cs="华文仿宋"/>
          <w:b w:val="0"/>
          <w:bCs w:val="0"/>
          <w:color w:val="000000" w:themeColor="text1"/>
          <w:sz w:val="32"/>
          <w:szCs w:val="32"/>
          <w:highlight w:val="none"/>
          <w:u w:val="none"/>
          <w:lang w:eastAsia="zh-CN"/>
          <w14:textFill>
            <w14:solidFill>
              <w14:schemeClr w14:val="tx1"/>
            </w14:solidFill>
          </w14:textFill>
        </w:rPr>
      </w:pPr>
      <w:r>
        <w:rPr>
          <w:rFonts w:hint="eastAsia" w:ascii="华文仿宋" w:hAnsi="华文仿宋" w:eastAsia="华文仿宋" w:cs="华文仿宋"/>
          <w:b w:val="0"/>
          <w:bCs w:val="0"/>
          <w:color w:val="000000" w:themeColor="text1"/>
          <w:sz w:val="32"/>
          <w:szCs w:val="32"/>
          <w:highlight w:val="none"/>
          <w:u w:val="none"/>
          <w:lang w:eastAsia="zh-CN"/>
          <w14:textFill>
            <w14:solidFill>
              <w14:schemeClr w14:val="tx1"/>
            </w14:solidFill>
          </w14:textFill>
        </w:rPr>
        <w:t>（一）列入特需服务的项目应符合以下特征之一：</w:t>
      </w:r>
    </w:p>
    <w:p>
      <w:pPr>
        <w:numPr>
          <w:ilvl w:val="0"/>
          <w:numId w:val="0"/>
        </w:numPr>
        <w:ind w:firstLine="640" w:firstLineChars="200"/>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t>1.一般医疗服务项目；</w:t>
      </w:r>
    </w:p>
    <w:p>
      <w:pPr>
        <w:numPr>
          <w:ilvl w:val="0"/>
          <w:numId w:val="0"/>
        </w:numPr>
        <w:ind w:left="640" w:leftChars="0"/>
        <w:rPr>
          <w:rFonts w:hint="default"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t>2.属于临床重点专科的项目；</w:t>
      </w:r>
    </w:p>
    <w:p>
      <w:pPr>
        <w:numPr>
          <w:ilvl w:val="0"/>
          <w:numId w:val="0"/>
        </w:numPr>
        <w:ind w:firstLine="640" w:firstLineChars="200"/>
        <w:rPr>
          <w:rFonts w:hint="default"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t>3.</w:t>
      </w:r>
      <w:r>
        <w:rPr>
          <w:rFonts w:hint="eastAsia" w:ascii="Times New Roman" w:hAnsi="Times New Roman" w:eastAsia="仿宋" w:cs="Nimbus Roman"/>
          <w:b w:val="0"/>
          <w:bCs w:val="0"/>
          <w:color w:val="000000" w:themeColor="text1"/>
          <w:kern w:val="0"/>
          <w:sz w:val="32"/>
          <w:szCs w:val="32"/>
          <w:highlight w:val="none"/>
          <w:u w:val="none"/>
          <w:shd w:val="clear"/>
          <w:lang w:val="en-US" w:eastAsia="zh-CN"/>
          <w14:textFill>
            <w14:solidFill>
              <w14:schemeClr w14:val="tx1"/>
            </w14:solidFill>
          </w14:textFill>
        </w:rPr>
        <w:t>主要功能为非疾病治疗的项目</w:t>
      </w:r>
      <w:r>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t>；</w:t>
      </w:r>
    </w:p>
    <w:p>
      <w:pPr>
        <w:numPr>
          <w:ilvl w:val="0"/>
          <w:numId w:val="0"/>
        </w:numPr>
        <w:ind w:left="0" w:leftChars="0" w:firstLine="640" w:firstLineChars="200"/>
        <w:rPr>
          <w:rFonts w:hint="default"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t>4.项目现行价格构成中技术劳务占比未达60%的项目；</w:t>
      </w:r>
    </w:p>
    <w:p>
      <w:pPr>
        <w:numPr>
          <w:ilvl w:val="0"/>
          <w:numId w:val="0"/>
        </w:numPr>
        <w:ind w:left="0" w:leftChars="0" w:firstLine="640" w:firstLineChars="200"/>
        <w:rPr>
          <w:rFonts w:hint="default"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t>5.属于现行基本医疗服务项目中使用新的诊疗方式、使用新设备新耗材的项目。</w:t>
      </w:r>
    </w:p>
    <w:p>
      <w:pPr>
        <w:numPr>
          <w:ilvl w:val="0"/>
          <w:numId w:val="0"/>
        </w:numPr>
        <w:ind w:firstLine="640" w:firstLineChars="200"/>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t>（二）属于以下范围的不列入特需服务：</w:t>
      </w:r>
    </w:p>
    <w:p>
      <w:pPr>
        <w:numPr>
          <w:ilvl w:val="0"/>
          <w:numId w:val="0"/>
        </w:numPr>
        <w:ind w:firstLine="640" w:firstLineChars="200"/>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t>1.属于院前急救、急诊、重症监护情形的；</w:t>
      </w:r>
    </w:p>
    <w:p>
      <w:pPr>
        <w:numPr>
          <w:ilvl w:val="0"/>
          <w:numId w:val="0"/>
        </w:numPr>
        <w:ind w:firstLine="640" w:firstLineChars="200"/>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t>2.医学影像、超声检查、检验类项目；</w:t>
      </w:r>
    </w:p>
    <w:p>
      <w:pPr>
        <w:widowControl/>
        <w:numPr>
          <w:ilvl w:val="0"/>
          <w:numId w:val="0"/>
        </w:numPr>
        <w:spacing w:beforeLines="-2147483648" w:afterLines="-2147483648" w:line="240" w:lineRule="auto"/>
        <w:ind w:leftChars="0" w:firstLine="640" w:firstLineChars="200"/>
        <w:jc w:val="left"/>
        <w:rPr>
          <w:rFonts w:hint="eastAsia" w:ascii="Times New Roman" w:hAnsi="Times New Roman" w:eastAsia="仿宋" w:cs="Nimbus Roman"/>
          <w:b w:val="0"/>
          <w:bCs w:val="0"/>
          <w:color w:val="000000" w:themeColor="text1"/>
          <w:kern w:val="0"/>
          <w:sz w:val="32"/>
          <w:szCs w:val="32"/>
          <w:highlight w:val="none"/>
          <w:u w:val="none"/>
          <w:shd w:val="clear"/>
          <w:lang w:val="en-US" w:eastAsia="zh-CN"/>
          <w14:textFill>
            <w14:solidFill>
              <w14:schemeClr w14:val="tx1"/>
            </w14:solidFill>
          </w14:textFill>
        </w:rPr>
      </w:pPr>
      <w:r>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t>3.国家和省规定不实行市场调节价的项目。</w:t>
      </w:r>
    </w:p>
    <w:p>
      <w:pPr>
        <w:widowControl/>
        <w:numPr>
          <w:ilvl w:val="0"/>
          <w:numId w:val="0"/>
        </w:numPr>
        <w:spacing w:beforeLines="-2147483648" w:afterLines="-2147483648" w:line="240" w:lineRule="auto"/>
        <w:ind w:leftChars="0" w:firstLine="640" w:firstLineChars="200"/>
        <w:jc w:val="both"/>
        <w:rPr>
          <w:rFonts w:hint="default" w:ascii="Times New Roman" w:hAnsi="Times New Roman" w:eastAsia="黑体" w:cs="Nimbus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第</w:t>
      </w: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七</w:t>
      </w: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条</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 xml:space="preserve"> 严格控制特需服务规模</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。特需医疗服务</w:t>
      </w:r>
      <w:r>
        <w:rPr>
          <w:rFonts w:hint="eastAsia" w:ascii="华文仿宋" w:hAnsi="华文仿宋" w:eastAsia="华文仿宋" w:cs="华文仿宋"/>
          <w:b w:val="0"/>
          <w:bCs w:val="0"/>
          <w:color w:val="000000" w:themeColor="text1"/>
          <w:sz w:val="32"/>
          <w:szCs w:val="32"/>
          <w:highlight w:val="none"/>
          <w:u w:val="none"/>
          <w:lang w:val="en-US" w:eastAsia="zh-CN"/>
          <w14:textFill>
            <w14:solidFill>
              <w14:schemeClr w14:val="tx1"/>
            </w14:solidFill>
          </w14:textFill>
        </w:rPr>
        <w:t>要</w:t>
      </w:r>
      <w:r>
        <w:rPr>
          <w:rFonts w:hint="eastAsia" w:ascii="Times New Roman" w:hAnsi="Times New Roman" w:eastAsia="仿宋" w:cs="Nimbus Roman"/>
          <w:b w:val="0"/>
          <w:bCs w:val="0"/>
          <w:i w:val="0"/>
          <w:caps w:val="0"/>
          <w:color w:val="000000" w:themeColor="text1"/>
          <w:spacing w:val="0"/>
          <w:kern w:val="0"/>
          <w:sz w:val="32"/>
          <w:szCs w:val="32"/>
          <w:highlight w:val="none"/>
          <w:u w:val="none"/>
          <w:shd w:val="clear"/>
          <w14:textFill>
            <w14:solidFill>
              <w14:schemeClr w14:val="tx1"/>
            </w14:solidFill>
          </w14:textFill>
        </w:rPr>
        <w:t>在保证基本医疗服务</w:t>
      </w:r>
      <w:r>
        <w:rPr>
          <w:rFonts w:hint="eastAsia" w:ascii="Times New Roman" w:hAnsi="Times New Roman" w:eastAsia="仿宋" w:cs="Nimbus Roman"/>
          <w:b w:val="0"/>
          <w:bCs w:val="0"/>
          <w:i w:val="0"/>
          <w:caps w:val="0"/>
          <w:color w:val="000000" w:themeColor="text1"/>
          <w:spacing w:val="0"/>
          <w:kern w:val="0"/>
          <w:sz w:val="32"/>
          <w:szCs w:val="32"/>
          <w:highlight w:val="none"/>
          <w:u w:val="none"/>
          <w:shd w:val="clear"/>
          <w:lang w:eastAsia="zh-CN"/>
          <w14:textFill>
            <w14:solidFill>
              <w14:schemeClr w14:val="tx1"/>
            </w14:solidFill>
          </w14:textFill>
        </w:rPr>
        <w:t>项目</w:t>
      </w:r>
      <w:r>
        <w:rPr>
          <w:rFonts w:hint="eastAsia" w:ascii="Times New Roman" w:hAnsi="Times New Roman" w:eastAsia="仿宋" w:cs="Nimbus Roman"/>
          <w:b w:val="0"/>
          <w:bCs w:val="0"/>
          <w:i w:val="0"/>
          <w:caps w:val="0"/>
          <w:color w:val="000000" w:themeColor="text1"/>
          <w:spacing w:val="0"/>
          <w:kern w:val="0"/>
          <w:sz w:val="32"/>
          <w:szCs w:val="32"/>
          <w:highlight w:val="none"/>
          <w:u w:val="none"/>
          <w:shd w:val="clear"/>
          <w14:textFill>
            <w14:solidFill>
              <w14:schemeClr w14:val="tx1"/>
            </w14:solidFill>
          </w14:textFill>
        </w:rPr>
        <w:t>供给规模和服务质量的前提下</w:t>
      </w:r>
      <w:r>
        <w:rPr>
          <w:rFonts w:hint="eastAsia" w:ascii="Times New Roman" w:hAnsi="Times New Roman" w:eastAsia="仿宋" w:cs="Nimbus Roman"/>
          <w:b w:val="0"/>
          <w:bCs w:val="0"/>
          <w:i w:val="0"/>
          <w:caps w:val="0"/>
          <w:color w:val="000000" w:themeColor="text1"/>
          <w:spacing w:val="0"/>
          <w:kern w:val="0"/>
          <w:sz w:val="32"/>
          <w:szCs w:val="32"/>
          <w:highlight w:val="none"/>
          <w:u w:val="none"/>
          <w:shd w:val="clear"/>
          <w:lang w:eastAsia="zh-CN"/>
          <w14:textFill>
            <w14:solidFill>
              <w14:schemeClr w14:val="tx1"/>
            </w14:solidFill>
          </w14:textFill>
        </w:rPr>
        <w:t>开展，</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不</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得挤占基本医疗服务资源</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。实行市场调节价的项目（含</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特需服务项目</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和试行期内新增项目，下同）的合计数量</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和</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合计</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费用所占比例不超过本医疗机构（</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不</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含</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跨地级市的</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非独立法人资格的分院或院区）</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上</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年度</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符合可开展的医疗服务</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价格项目总数量和医疗收入（不含药品、医用耗材，下同）的10%</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。个性化需求较为集中的口腔、眼科、整形、妇产等专科医院以及广东省内与港澳（台）共建医院可开展的医疗服务价格项目总数量和医疗收入超过</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10%</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的，各地可把握节奏，原则上自本办法实施之日起3年逐步落实相关控制要求</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医疗机构</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在</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上年度</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基本医疗服务量减少的情况下，</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本年度不</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增加特需服务</w:t>
      </w:r>
      <w:r>
        <w:rPr>
          <w:rFonts w:hint="eastAsia"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项目和</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规模</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w:t>
      </w:r>
    </w:p>
    <w:p>
      <w:pPr>
        <w:numPr>
          <w:ilvl w:val="-1"/>
          <w:numId w:val="0"/>
        </w:numPr>
        <w:spacing w:beforeLines="0" w:afterLines="0" w:line="600" w:lineRule="exact"/>
        <w:ind w:firstLine="640" w:firstLineChars="200"/>
        <w:jc w:val="both"/>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第</w:t>
      </w: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八</w:t>
      </w: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条</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 xml:space="preserve"> </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 xml:space="preserve"> </w:t>
      </w:r>
      <w:r>
        <w:rPr>
          <w:rFonts w:hint="default" w:ascii="Times New Roman" w:hAnsi="Times New Roman" w:eastAsia="仿宋_GB2312" w:cs="Nimbus Roman"/>
          <w:b w:val="0"/>
          <w:bCs w:val="0"/>
          <w:color w:val="000000" w:themeColor="text1"/>
          <w:sz w:val="32"/>
          <w:highlight w:val="none"/>
          <w:u w:val="none"/>
          <w14:textFill>
            <w14:solidFill>
              <w14:schemeClr w14:val="tx1"/>
            </w14:solidFill>
          </w14:textFill>
        </w:rPr>
        <w:t>特需医疗</w:t>
      </w:r>
      <w:r>
        <w:rPr>
          <w:rFonts w:hint="default" w:ascii="Times New Roman" w:hAnsi="Times New Roman" w:eastAsia="仿宋_GB2312" w:cs="Nimbus Roman"/>
          <w:b w:val="0"/>
          <w:bCs w:val="0"/>
          <w:color w:val="000000" w:themeColor="text1"/>
          <w:sz w:val="32"/>
          <w:highlight w:val="none"/>
          <w:u w:val="none"/>
          <w:lang w:eastAsia="zh-CN"/>
          <w14:textFill>
            <w14:solidFill>
              <w14:schemeClr w14:val="tx1"/>
            </w14:solidFill>
          </w14:textFill>
        </w:rPr>
        <w:t>服务</w:t>
      </w:r>
      <w:r>
        <w:rPr>
          <w:rFonts w:hint="eastAsia" w:ascii="Times New Roman" w:hAnsi="Times New Roman" w:eastAsia="仿宋_GB2312" w:cs="Nimbus Roman"/>
          <w:b w:val="0"/>
          <w:bCs w:val="0"/>
          <w:color w:val="000000" w:themeColor="text1"/>
          <w:sz w:val="32"/>
          <w:highlight w:val="none"/>
          <w:u w:val="none"/>
          <w:lang w:eastAsia="zh-CN"/>
          <w14:textFill>
            <w14:solidFill>
              <w14:schemeClr w14:val="tx1"/>
            </w14:solidFill>
          </w14:textFill>
        </w:rPr>
        <w:t>原则上应在划定的独立区域开展，</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实行</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独立管理，患者在特需门诊或特需病房就诊的，医疗机构方能为其开展其他特需服务。</w:t>
      </w:r>
    </w:p>
    <w:p>
      <w:pPr>
        <w:numPr>
          <w:ilvl w:val="0"/>
          <w:numId w:val="0"/>
        </w:numPr>
        <w:spacing w:beforeLines="0" w:afterLines="0" w:line="600" w:lineRule="exact"/>
        <w:ind w:firstLine="640" w:firstLineChars="200"/>
        <w:jc w:val="both"/>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（一）</w:t>
      </w:r>
      <w:r>
        <w:rPr>
          <w:rFonts w:hint="eastAsia" w:ascii="仿宋" w:hAnsi="仿宋" w:eastAsia="仿宋"/>
          <w:b w:val="0"/>
          <w:bCs w:val="0"/>
          <w:color w:val="000000" w:themeColor="text1"/>
          <w:sz w:val="32"/>
          <w:szCs w:val="32"/>
          <w:highlight w:val="none"/>
          <w:u w:val="none"/>
          <w:lang w:val="en-US" w:eastAsia="zh-CN"/>
          <w14:textFill>
            <w14:solidFill>
              <w14:schemeClr w14:val="tx1"/>
            </w14:solidFill>
          </w14:textFill>
        </w:rPr>
        <w:t>特需门诊应具备独立的诊区。</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有</w:t>
      </w:r>
      <w:r>
        <w:rPr>
          <w:rFonts w:ascii="Times New Roman" w:hAnsi="Times New Roman" w:eastAsia="仿宋_GB2312" w:cs="Nimbus Roman"/>
          <w:b w:val="0"/>
          <w:bCs w:val="0"/>
          <w:i w:val="0"/>
          <w:iCs w:val="0"/>
          <w:caps w:val="0"/>
          <w:color w:val="000000" w:themeColor="text1"/>
          <w:spacing w:val="0"/>
          <w:kern w:val="0"/>
          <w:sz w:val="32"/>
          <w:szCs w:val="32"/>
          <w:highlight w:val="none"/>
          <w:u w:val="none"/>
          <w:shd w:val="clear"/>
          <w14:textFill>
            <w14:solidFill>
              <w14:schemeClr w14:val="tx1"/>
            </w14:solidFill>
          </w14:textFill>
        </w:rPr>
        <w:t>独立的诊室、候诊室，配备空调设备及茶水供应</w:t>
      </w:r>
      <w:r>
        <w:rPr>
          <w:rFonts w:hint="eastAsia" w:ascii="Times New Roman" w:hAnsi="Times New Roman" w:eastAsia="仿宋_GB2312" w:cs="Nimbus Roman"/>
          <w:b w:val="0"/>
          <w:bCs w:val="0"/>
          <w:i w:val="0"/>
          <w:iCs w:val="0"/>
          <w:caps w:val="0"/>
          <w:color w:val="000000" w:themeColor="text1"/>
          <w:spacing w:val="0"/>
          <w:kern w:val="0"/>
          <w:sz w:val="32"/>
          <w:szCs w:val="32"/>
          <w:highlight w:val="none"/>
          <w:u w:val="none"/>
          <w:shd w:val="clear"/>
          <w:lang w:val="en-US" w:eastAsia="zh-CN"/>
          <w14:textFill>
            <w14:solidFill>
              <w14:schemeClr w14:val="tx1"/>
            </w14:solidFill>
          </w14:textFill>
        </w:rPr>
        <w:t>等</w:t>
      </w:r>
      <w:r>
        <w:rPr>
          <w:rFonts w:hint="eastAsia" w:ascii="Times New Roman" w:hAnsi="Times New Roman" w:eastAsia="仿宋_GB2312" w:cs="Nimbus Roman"/>
          <w:b w:val="0"/>
          <w:bCs w:val="0"/>
          <w:i w:val="0"/>
          <w:iCs w:val="0"/>
          <w:caps w:val="0"/>
          <w:color w:val="000000" w:themeColor="text1"/>
          <w:spacing w:val="0"/>
          <w:kern w:val="0"/>
          <w:sz w:val="32"/>
          <w:szCs w:val="32"/>
          <w:highlight w:val="none"/>
          <w:u w:val="none"/>
          <w:shd w:val="clear"/>
          <w:lang w:eastAsia="zh-CN"/>
          <w14:textFill>
            <w14:solidFill>
              <w14:schemeClr w14:val="tx1"/>
            </w14:solidFill>
          </w14:textFill>
        </w:rPr>
        <w:t>，</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不能与基本医疗服务区域混用，并有明显标识加以区别，有</w:t>
      </w:r>
      <w:r>
        <w:rPr>
          <w:rFonts w:ascii="Times New Roman" w:hAnsi="Times New Roman" w:eastAsia="仿宋_GB2312" w:cs="Nimbus Roman"/>
          <w:b w:val="0"/>
          <w:bCs w:val="0"/>
          <w:i w:val="0"/>
          <w:iCs w:val="0"/>
          <w:caps w:val="0"/>
          <w:color w:val="000000" w:themeColor="text1"/>
          <w:spacing w:val="0"/>
          <w:kern w:val="0"/>
          <w:sz w:val="32"/>
          <w:szCs w:val="32"/>
          <w:highlight w:val="none"/>
          <w:u w:val="none"/>
          <w:shd w:val="clear"/>
          <w14:textFill>
            <w14:solidFill>
              <w14:schemeClr w14:val="tx1"/>
            </w14:solidFill>
          </w14:textFill>
        </w:rPr>
        <w:t>专人为</w:t>
      </w:r>
      <w:r>
        <w:rPr>
          <w:rFonts w:hint="eastAsia" w:ascii="Times New Roman" w:hAnsi="Times New Roman" w:eastAsia="仿宋_GB2312" w:cs="Nimbus Roman"/>
          <w:b w:val="0"/>
          <w:bCs w:val="0"/>
          <w:i w:val="0"/>
          <w:iCs w:val="0"/>
          <w:caps w:val="0"/>
          <w:color w:val="000000" w:themeColor="text1"/>
          <w:spacing w:val="0"/>
          <w:kern w:val="0"/>
          <w:sz w:val="32"/>
          <w:szCs w:val="32"/>
          <w:highlight w:val="none"/>
          <w:u w:val="none"/>
          <w:shd w:val="clear"/>
          <w:lang w:val="en-US" w:eastAsia="zh-CN"/>
          <w14:textFill>
            <w14:solidFill>
              <w14:schemeClr w14:val="tx1"/>
            </w14:solidFill>
          </w14:textFill>
        </w:rPr>
        <w:t>患者</w:t>
      </w:r>
      <w:r>
        <w:rPr>
          <w:rFonts w:ascii="Times New Roman" w:hAnsi="Times New Roman" w:eastAsia="仿宋_GB2312" w:cs="Nimbus Roman"/>
          <w:b w:val="0"/>
          <w:bCs w:val="0"/>
          <w:i w:val="0"/>
          <w:iCs w:val="0"/>
          <w:caps w:val="0"/>
          <w:color w:val="000000" w:themeColor="text1"/>
          <w:spacing w:val="0"/>
          <w:kern w:val="0"/>
          <w:sz w:val="32"/>
          <w:szCs w:val="32"/>
          <w:highlight w:val="none"/>
          <w:u w:val="none"/>
          <w:shd w:val="clear"/>
          <w14:textFill>
            <w14:solidFill>
              <w14:schemeClr w14:val="tx1"/>
            </w14:solidFill>
          </w14:textFill>
        </w:rPr>
        <w:t>提供从</w:t>
      </w:r>
      <w:r>
        <w:rPr>
          <w:rFonts w:hint="eastAsia" w:ascii="Times New Roman" w:hAnsi="Times New Roman" w:eastAsia="仿宋_GB2312" w:cs="Nimbus Roman"/>
          <w:b w:val="0"/>
          <w:bCs w:val="0"/>
          <w:i w:val="0"/>
          <w:iCs w:val="0"/>
          <w:caps w:val="0"/>
          <w:color w:val="000000" w:themeColor="text1"/>
          <w:spacing w:val="0"/>
          <w:kern w:val="0"/>
          <w:sz w:val="32"/>
          <w:szCs w:val="32"/>
          <w:highlight w:val="none"/>
          <w:u w:val="none"/>
          <w:shd w:val="clear"/>
          <w:lang w:val="en-US" w:eastAsia="zh-CN"/>
          <w14:textFill>
            <w14:solidFill>
              <w14:schemeClr w14:val="tx1"/>
            </w14:solidFill>
          </w14:textFill>
        </w:rPr>
        <w:t>检查</w:t>
      </w:r>
      <w:r>
        <w:rPr>
          <w:rFonts w:ascii="Times New Roman" w:hAnsi="Times New Roman" w:eastAsia="仿宋_GB2312" w:cs="Nimbus Roman"/>
          <w:b w:val="0"/>
          <w:bCs w:val="0"/>
          <w:i w:val="0"/>
          <w:iCs w:val="0"/>
          <w:caps w:val="0"/>
          <w:color w:val="000000" w:themeColor="text1"/>
          <w:spacing w:val="0"/>
          <w:kern w:val="0"/>
          <w:sz w:val="32"/>
          <w:szCs w:val="32"/>
          <w:highlight w:val="none"/>
          <w:u w:val="none"/>
          <w:shd w:val="clear"/>
          <w14:textFill>
            <w14:solidFill>
              <w14:schemeClr w14:val="tx1"/>
            </w14:solidFill>
          </w14:textFill>
        </w:rPr>
        <w:t>、诊疗、缴费、取药等全程导医</w:t>
      </w:r>
      <w:r>
        <w:rPr>
          <w:rFonts w:hint="eastAsia" w:ascii="Times New Roman" w:hAnsi="Times New Roman" w:eastAsia="仿宋_GB2312" w:cs="Nimbus Roman"/>
          <w:b w:val="0"/>
          <w:bCs w:val="0"/>
          <w:i w:val="0"/>
          <w:iCs w:val="0"/>
          <w:caps w:val="0"/>
          <w:color w:val="000000" w:themeColor="text1"/>
          <w:spacing w:val="0"/>
          <w:kern w:val="0"/>
          <w:sz w:val="32"/>
          <w:szCs w:val="32"/>
          <w:highlight w:val="none"/>
          <w:u w:val="none"/>
          <w:shd w:val="clear"/>
          <w:lang w:val="en-US" w:eastAsia="zh-CN"/>
          <w14:textFill>
            <w14:solidFill>
              <w14:schemeClr w14:val="tx1"/>
            </w14:solidFill>
          </w14:textFill>
        </w:rPr>
        <w:t>服务。</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诊区内的诊疗环境整洁、舒适，设专用导诊服务台，辅助服务设施应满足个性化要求</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。出诊医生应</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具有副高级以上职称。</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除夜诊和节假日外，副</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高级</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以上</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职称</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医生个人（院士、</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退休返聘的特邀专家</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除外）每月</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法定工作日内在特需门诊出诊单元数（每半天为一次）与非特需门诊出诊单元数比例不超过</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1</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2。</w:t>
      </w:r>
    </w:p>
    <w:p>
      <w:pPr>
        <w:numPr>
          <w:ilvl w:val="-1"/>
          <w:numId w:val="0"/>
        </w:numPr>
        <w:spacing w:beforeLines="0" w:afterLines="0" w:line="560" w:lineRule="exact"/>
        <w:ind w:firstLine="640" w:firstLineChars="200"/>
        <w:jc w:val="both"/>
        <w:outlineLvl w:val="9"/>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仿宋_GB2312" w:cs="Nimbus Roman"/>
          <w:b w:val="0"/>
          <w:bCs w:val="0"/>
          <w:color w:val="000000" w:themeColor="text1"/>
          <w:kern w:val="0"/>
          <w:sz w:val="32"/>
          <w:szCs w:val="32"/>
          <w:highlight w:val="none"/>
          <w:u w:val="none"/>
          <w:lang w:val="en-US" w:eastAsia="zh-CN"/>
          <w14:textFill>
            <w14:solidFill>
              <w14:schemeClr w14:val="tx1"/>
            </w14:solidFill>
          </w14:textFill>
        </w:rPr>
        <w:t>（</w:t>
      </w:r>
      <w:r>
        <w:rPr>
          <w:rFonts w:hint="eastAsia" w:ascii="Times New Roman" w:hAnsi="Times New Roman" w:eastAsia="仿宋_GB2312" w:cs="Nimbus Roman"/>
          <w:b w:val="0"/>
          <w:bCs w:val="0"/>
          <w:color w:val="000000" w:themeColor="text1"/>
          <w:kern w:val="0"/>
          <w:sz w:val="32"/>
          <w:szCs w:val="32"/>
          <w:highlight w:val="none"/>
          <w:u w:val="none"/>
          <w:lang w:val="en-US" w:eastAsia="zh-CN"/>
          <w14:textFill>
            <w14:solidFill>
              <w14:schemeClr w14:val="tx1"/>
            </w14:solidFill>
          </w14:textFill>
        </w:rPr>
        <w:t>二</w:t>
      </w:r>
      <w:r>
        <w:rPr>
          <w:rFonts w:hint="default" w:ascii="Times New Roman" w:hAnsi="Times New Roman" w:eastAsia="仿宋_GB2312" w:cs="Nimbus Roman"/>
          <w:b w:val="0"/>
          <w:bCs w:val="0"/>
          <w:color w:val="000000" w:themeColor="text1"/>
          <w:kern w:val="0"/>
          <w:sz w:val="32"/>
          <w:szCs w:val="32"/>
          <w:highlight w:val="none"/>
          <w:u w:val="none"/>
          <w:lang w:val="en-US" w:eastAsia="zh-CN"/>
          <w14:textFill>
            <w14:solidFill>
              <w14:schemeClr w14:val="tx1"/>
            </w14:solidFill>
          </w14:textFill>
        </w:rPr>
        <w:t>）</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特需病房</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应</w:t>
      </w:r>
      <w:r>
        <w:rPr>
          <w:rFonts w:hint="eastAsia" w:ascii="仿宋" w:hAnsi="仿宋" w:eastAsia="仿宋"/>
          <w:b w:val="0"/>
          <w:bCs w:val="0"/>
          <w:color w:val="000000" w:themeColor="text1"/>
          <w:sz w:val="32"/>
          <w:szCs w:val="32"/>
          <w:highlight w:val="none"/>
          <w:u w:val="none"/>
          <w:lang w:val="en-US" w:eastAsia="zh-CN"/>
          <w14:textFill>
            <w14:solidFill>
              <w14:schemeClr w14:val="tx1"/>
            </w14:solidFill>
          </w14:textFill>
        </w:rPr>
        <w:t>具备相对独立区域。</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按照</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单人间或</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套间配置</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eastAsia" w:ascii="仿宋" w:hAnsi="仿宋" w:eastAsia="仿宋"/>
          <w:b w:val="0"/>
          <w:bCs w:val="0"/>
          <w:color w:val="000000" w:themeColor="text1"/>
          <w:sz w:val="32"/>
          <w:szCs w:val="32"/>
          <w:highlight w:val="none"/>
          <w:u w:val="none"/>
          <w:lang w:val="en-US" w:eastAsia="zh-CN"/>
          <w14:textFill>
            <w14:solidFill>
              <w14:schemeClr w14:val="tx1"/>
            </w14:solidFill>
          </w14:textFill>
        </w:rPr>
        <w:t>除具备基本医疗设备条件外，还应设立独立的卫生洗浴设施，配备空调、衣橱、沙发等相关生活服务设备</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特需病房床位数占本</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医疗机构</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核定床位数的比例不得超过10%</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实际</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开放</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床位未达</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到核定</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数的，特需病</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房</w:t>
      </w:r>
      <w:r>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配备的床位数不得超过实际床位的10%。</w:t>
      </w:r>
      <w:r>
        <w:rPr>
          <w:rFonts w:hint="eastAsia" w:ascii="仿宋" w:hAnsi="仿宋" w:eastAsia="仿宋"/>
          <w:b w:val="0"/>
          <w:bCs w:val="0"/>
          <w:color w:val="000000" w:themeColor="text1"/>
          <w:sz w:val="32"/>
          <w:szCs w:val="32"/>
          <w:highlight w:val="none"/>
          <w:u w:val="none"/>
          <w:lang w:val="en-US" w:eastAsia="zh-CN"/>
          <w14:textFill>
            <w14:solidFill>
              <w14:schemeClr w14:val="tx1"/>
            </w14:solidFill>
          </w14:textFill>
        </w:rPr>
        <w:t>特需病房的住院医疗组长须具有副高级以上职称，主管医生应经患者同意或由患者自由选定，患者检查和治疗均有专门医护人员陪护。</w:t>
      </w:r>
    </w:p>
    <w:p>
      <w:pPr>
        <w:numPr>
          <w:ilvl w:val="0"/>
          <w:numId w:val="0"/>
        </w:numPr>
        <w:spacing w:beforeLines="0" w:afterLines="0" w:line="600" w:lineRule="exact"/>
        <w:ind w:firstLine="640" w:firstLineChars="200"/>
        <w:jc w:val="both"/>
        <w:rPr>
          <w:rFonts w:hint="eastAsia" w:ascii="仿宋" w:hAnsi="仿宋" w:eastAsia="仿宋"/>
          <w:b w:val="0"/>
          <w:bCs w:val="0"/>
          <w:color w:val="000000" w:themeColor="text1"/>
          <w:sz w:val="32"/>
          <w:szCs w:val="32"/>
          <w:highlight w:val="none"/>
          <w:u w:val="none"/>
          <w:lang w:val="en-US" w:eastAsia="zh-CN"/>
          <w14:textFill>
            <w14:solidFill>
              <w14:schemeClr w14:val="tx1"/>
            </w14:solidFill>
          </w14:textFill>
        </w:rPr>
      </w:pPr>
    </w:p>
    <w:p>
      <w:pPr>
        <w:numPr>
          <w:ilvl w:val="0"/>
          <w:numId w:val="1"/>
        </w:numPr>
        <w:spacing w:beforeLines="0" w:afterLines="0" w:line="600" w:lineRule="exact"/>
        <w:ind w:firstLine="0" w:firstLineChars="0"/>
        <w:jc w:val="center"/>
        <w:rPr>
          <w:rFonts w:hint="eastAsia" w:ascii="Times New Roman" w:hAnsi="Times New Roman" w:eastAsia="方正小标宋简体" w:cs="方正小标宋简体"/>
          <w:b w:val="0"/>
          <w:bCs w:val="0"/>
          <w:color w:val="000000" w:themeColor="text1"/>
          <w:kern w:val="0"/>
          <w:sz w:val="32"/>
          <w:szCs w:val="32"/>
          <w:highlight w:val="none"/>
          <w:u w:val="none"/>
          <w:lang w:val="en-US" w:eastAsia="zh-CN"/>
          <w14:textFill>
            <w14:solidFill>
              <w14:schemeClr w14:val="tx1"/>
            </w14:solidFill>
          </w14:textFill>
        </w:rPr>
      </w:pPr>
      <w:r>
        <w:rPr>
          <w:rFonts w:hint="eastAsia" w:ascii="Times New Roman" w:hAnsi="Times New Roman" w:eastAsia="方正小标宋简体" w:cs="方正小标宋简体"/>
          <w:b w:val="0"/>
          <w:bCs w:val="0"/>
          <w:color w:val="000000" w:themeColor="text1"/>
          <w:kern w:val="0"/>
          <w:sz w:val="32"/>
          <w:szCs w:val="32"/>
          <w:highlight w:val="none"/>
          <w:u w:val="none"/>
          <w:lang w:val="en-US" w:eastAsia="zh-CN"/>
          <w14:textFill>
            <w14:solidFill>
              <w14:schemeClr w14:val="tx1"/>
            </w14:solidFill>
          </w14:textFill>
        </w:rPr>
        <w:t>特需服务价格</w:t>
      </w:r>
    </w:p>
    <w:p>
      <w:pPr>
        <w:numPr>
          <w:ilvl w:val="-1"/>
          <w:numId w:val="0"/>
        </w:numPr>
        <w:spacing w:beforeLines="0" w:afterLines="0" w:line="600" w:lineRule="exact"/>
        <w:ind w:firstLine="0" w:firstLineChars="0"/>
        <w:jc w:val="both"/>
        <w:rPr>
          <w:rFonts w:hint="default" w:ascii="仿宋" w:hAnsi="仿宋" w:eastAsia="仿宋"/>
          <w:b w:val="0"/>
          <w:bCs w:val="0"/>
          <w:color w:val="000000" w:themeColor="text1"/>
          <w:sz w:val="32"/>
          <w:szCs w:val="32"/>
          <w:highlight w:val="none"/>
          <w:u w:val="none"/>
          <w:lang w:val="en-US" w:eastAsia="zh-CN"/>
          <w14:textFill>
            <w14:solidFill>
              <w14:schemeClr w14:val="tx1"/>
            </w14:solidFill>
          </w14:textFill>
        </w:rPr>
      </w:pPr>
    </w:p>
    <w:p>
      <w:pPr>
        <w:widowControl/>
        <w:numPr>
          <w:ilvl w:val="0"/>
          <w:numId w:val="0"/>
        </w:numPr>
        <w:spacing w:beforeLines="0" w:afterLines="0" w:line="600" w:lineRule="exact"/>
        <w:ind w:firstLine="640" w:firstLineChars="200"/>
        <w:jc w:val="both"/>
        <w:outlineLvl w:val="9"/>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eastAsia" w:ascii="方正黑体_GBK" w:hAnsi="方正黑体_GBK" w:eastAsia="方正黑体_GBK" w:cs="方正黑体_GBK"/>
          <w:b w:val="0"/>
          <w:bCs w:val="0"/>
          <w:color w:val="000000" w:themeColor="text1"/>
          <w:kern w:val="0"/>
          <w:sz w:val="32"/>
          <w:szCs w:val="32"/>
          <w:highlight w:val="none"/>
          <w:u w:val="none"/>
          <w:lang w:val="en-US" w:eastAsia="zh-CN" w:bidi="ar-SA"/>
          <w14:textFill>
            <w14:solidFill>
              <w14:schemeClr w14:val="tx1"/>
            </w14:solidFill>
          </w14:textFill>
        </w:rPr>
        <w:t xml:space="preserve">第九条 </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需服务项目实行市场调节价。公立医疗机构遵循公平、合法和诚实信用原则，按照价格管理有关法律法规要求自主制定价格，与医院等级、专业地位、功能定位相匹配，</w:t>
      </w:r>
      <w:r>
        <w:rPr>
          <w:rFonts w:hint="eastAsia" w:ascii="Times New Roman" w:hAnsi="Times New Roman" w:eastAsia="仿宋_GB2312" w:cs="Nimbus Roman"/>
          <w:b w:val="0"/>
          <w:bCs w:val="0"/>
          <w:i w:val="0"/>
          <w:caps w:val="0"/>
          <w:color w:val="000000" w:themeColor="text1"/>
          <w:spacing w:val="0"/>
          <w:kern w:val="0"/>
          <w:sz w:val="32"/>
          <w:szCs w:val="32"/>
          <w:highlight w:val="none"/>
          <w:u w:val="none"/>
          <w:shd w:val="clear"/>
          <w14:textFill>
            <w14:solidFill>
              <w14:schemeClr w14:val="tx1"/>
            </w14:solidFill>
          </w14:textFill>
        </w:rPr>
        <w:t>与现行基本医疗服务价格保持合理的比价关系</w:t>
      </w:r>
      <w:r>
        <w:rPr>
          <w:rFonts w:hint="eastAsia" w:ascii="Times New Roman" w:hAnsi="Times New Roman" w:eastAsia="仿宋_GB2312" w:cs="Nimbus Roman"/>
          <w:b w:val="0"/>
          <w:bCs w:val="0"/>
          <w:i w:val="0"/>
          <w:caps w:val="0"/>
          <w:color w:val="000000" w:themeColor="text1"/>
          <w:spacing w:val="0"/>
          <w:kern w:val="0"/>
          <w:sz w:val="32"/>
          <w:szCs w:val="32"/>
          <w:highlight w:val="none"/>
          <w:u w:val="none"/>
          <w:shd w:val="clear"/>
          <w:lang w:eastAsia="zh-CN"/>
          <w14:textFill>
            <w14:solidFill>
              <w14:schemeClr w14:val="tx1"/>
            </w14:solidFill>
          </w14:textFill>
        </w:rPr>
        <w:t>，</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确保服务高效、优质、质价相符。</w:t>
      </w:r>
    </w:p>
    <w:p>
      <w:pPr>
        <w:widowControl/>
        <w:numPr>
          <w:ilvl w:val="0"/>
          <w:numId w:val="0"/>
        </w:numPr>
        <w:spacing w:beforeLines="0" w:afterLines="0" w:line="600" w:lineRule="exact"/>
        <w:ind w:firstLine="640" w:firstLineChars="200"/>
        <w:jc w:val="both"/>
        <w:outlineLvl w:val="9"/>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eastAsia" w:ascii="方正黑体_GBK" w:hAnsi="方正黑体_GBK" w:eastAsia="方正黑体_GBK" w:cs="方正黑体_GBK"/>
          <w:b w:val="0"/>
          <w:bCs w:val="0"/>
          <w:color w:val="000000" w:themeColor="text1"/>
          <w:kern w:val="0"/>
          <w:sz w:val="32"/>
          <w:szCs w:val="32"/>
          <w:highlight w:val="none"/>
          <w:u w:val="none"/>
          <w:lang w:val="en-US" w:eastAsia="zh-CN" w:bidi="ar-SA"/>
          <w14:textFill>
            <w14:solidFill>
              <w14:schemeClr w14:val="tx1"/>
            </w14:solidFill>
          </w14:textFill>
        </w:rPr>
        <w:t>第十条</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 xml:space="preserve">  特需服务项目实行打包收费。</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相同的特需医疗服务项目可制定不同收费</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标准，不再实行除外收费</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，不得另外收取医疗器械费用</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eastAsia" w:ascii="华文仿宋" w:hAnsi="华文仿宋" w:eastAsia="华文仿宋" w:cs="华文仿宋"/>
          <w:b w:val="0"/>
          <w:bCs w:val="0"/>
          <w:color w:val="000000" w:themeColor="text1"/>
          <w:kern w:val="0"/>
          <w:sz w:val="32"/>
          <w:szCs w:val="32"/>
          <w:highlight w:val="none"/>
          <w:u w:val="none"/>
          <w:lang w:val="en-US" w:eastAsia="zh-CN" w:bidi="ar-SA"/>
          <w14:textFill>
            <w14:solidFill>
              <w14:schemeClr w14:val="tx1"/>
            </w14:solidFill>
          </w14:textFill>
        </w:rPr>
        <w:t>同一次诊疗服务，同一服务项目的特需服务项目与基本目录项目不得同时收费。</w:t>
      </w:r>
    </w:p>
    <w:p>
      <w:pPr>
        <w:widowControl/>
        <w:numPr>
          <w:ilvl w:val="-1"/>
          <w:numId w:val="0"/>
        </w:numPr>
        <w:spacing w:beforeLines="0" w:afterLines="0" w:line="600" w:lineRule="exact"/>
        <w:ind w:firstLine="640" w:firstLineChars="200"/>
        <w:jc w:val="both"/>
        <w:outlineLvl w:val="9"/>
        <w:rPr>
          <w:rFonts w:hint="default" w:ascii="Times New Roman" w:hAnsi="Times New Roman" w:eastAsia="仿宋" w:cs="Nimbus Roman"/>
          <w:b w:val="0"/>
          <w:bCs w:val="0"/>
          <w:color w:val="000000" w:themeColor="text1"/>
          <w:kern w:val="0"/>
          <w:sz w:val="32"/>
          <w:szCs w:val="32"/>
          <w:highlight w:val="none"/>
          <w:u w:val="none"/>
          <w:lang w:val="en" w:eastAsia="zh-CN" w:bidi="ar-SA"/>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第十</w:t>
      </w: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一</w:t>
      </w: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条</w:t>
      </w: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 xml:space="preserve"> </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 xml:space="preserve"> 公</w:t>
      </w:r>
      <w:r>
        <w:rPr>
          <w:rFonts w:hint="eastAsia" w:ascii="华文仿宋" w:hAnsi="华文仿宋" w:eastAsia="华文仿宋" w:cs="华文仿宋"/>
          <w:b w:val="0"/>
          <w:bCs w:val="0"/>
          <w:color w:val="000000" w:themeColor="text1"/>
          <w:kern w:val="0"/>
          <w:sz w:val="32"/>
          <w:szCs w:val="32"/>
          <w:highlight w:val="none"/>
          <w:u w:val="none"/>
          <w:lang w:val="en-US" w:eastAsia="zh-CN" w:bidi="ar-SA"/>
          <w14:textFill>
            <w14:solidFill>
              <w14:schemeClr w14:val="tx1"/>
            </w14:solidFill>
          </w14:textFill>
        </w:rPr>
        <w:t>立医疗机构应严格按照特需医疗服务内容向患者提供服务和收费，</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向患者提供特需医疗服务要落实知情同意制度，由患者自愿选择，不得暗示或变相强制服务对象接受特需医疗服务</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p>
    <w:p>
      <w:pPr>
        <w:numPr>
          <w:ilvl w:val="0"/>
          <w:numId w:val="0"/>
        </w:numPr>
        <w:spacing w:beforeLines="0" w:afterLines="0" w:line="600" w:lineRule="exact"/>
        <w:ind w:firstLine="640" w:firstLineChars="200"/>
        <w:jc w:val="both"/>
        <w:rPr>
          <w:rFonts w:hint="eastAsia" w:ascii="Times New Roman" w:hAnsi="Times New Roman" w:eastAsia="仿宋" w:cs="仿宋"/>
          <w:b w:val="0"/>
          <w:bCs w:val="0"/>
          <w:color w:val="000000" w:themeColor="text1"/>
          <w:sz w:val="32"/>
          <w:szCs w:val="32"/>
          <w:highlight w:val="none"/>
          <w:u w:val="none"/>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kern w:val="0"/>
          <w:sz w:val="32"/>
          <w:szCs w:val="32"/>
          <w:highlight w:val="none"/>
          <w:u w:val="none"/>
          <w:lang w:val="en-US" w:eastAsia="zh-CN" w:bidi="ar-SA"/>
          <w14:textFill>
            <w14:solidFill>
              <w14:schemeClr w14:val="tx1"/>
            </w14:solidFill>
          </w14:textFill>
        </w:rPr>
        <w:t>第十二条</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 xml:space="preserve">  </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公立医疗机构应</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按规定做好价格公示工作</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参照</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（医疗机构）</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特需服务项目</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和价格公示（</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备案</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）清单</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（附件1）格式，</w:t>
      </w:r>
      <w:r>
        <w:rPr>
          <w:rFonts w:hint="eastAsia" w:ascii="Times New Roman" w:hAnsi="Times New Roman" w:eastAsia="仿宋" w:cs="仿宋"/>
          <w:b w:val="0"/>
          <w:bCs w:val="0"/>
          <w:color w:val="000000" w:themeColor="text1"/>
          <w:sz w:val="32"/>
          <w:szCs w:val="32"/>
          <w:highlight w:val="none"/>
          <w:u w:val="none"/>
          <w:lang w:eastAsia="zh-CN"/>
          <w14:textFill>
            <w14:solidFill>
              <w14:schemeClr w14:val="tx1"/>
            </w14:solidFill>
          </w14:textFill>
        </w:rPr>
        <w:t>在医疗机构提供服务的场所显著位置和对外网络平台</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明确清晰地公示特需医疗服务项目</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和价格（含具体构成）、投诉渠道等</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有关</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事项，</w:t>
      </w:r>
      <w:r>
        <w:rPr>
          <w:rFonts w:hint="eastAsia" w:ascii="Times New Roman" w:hAnsi="Times New Roman" w:eastAsia="仿宋" w:cs="仿宋"/>
          <w:b w:val="0"/>
          <w:bCs w:val="0"/>
          <w:color w:val="000000" w:themeColor="text1"/>
          <w:sz w:val="32"/>
          <w:szCs w:val="32"/>
          <w:highlight w:val="none"/>
          <w:u w:val="none"/>
          <w:lang w:eastAsia="zh-CN"/>
          <w14:textFill>
            <w14:solidFill>
              <w14:schemeClr w14:val="tx1"/>
            </w14:solidFill>
          </w14:textFill>
        </w:rPr>
        <w:t>未公开的特需医疗服务项目价格，医疗机构不得收费。</w:t>
      </w:r>
      <w:r>
        <w:rPr>
          <w:rFonts w:hint="eastAsia" w:ascii="Times New Roman" w:hAnsi="Times New Roman" w:eastAsia="仿宋" w:cs="仿宋"/>
          <w:b w:val="0"/>
          <w:bCs w:val="0"/>
          <w:color w:val="000000" w:themeColor="text1"/>
          <w:sz w:val="32"/>
          <w:szCs w:val="32"/>
          <w:highlight w:val="none"/>
          <w:u w:val="none"/>
          <w:lang w:val="en-US" w:eastAsia="zh-CN"/>
          <w14:textFill>
            <w14:solidFill>
              <w14:schemeClr w14:val="tx1"/>
            </w14:solidFill>
          </w14:textFill>
        </w:rPr>
        <w:t xml:space="preserve">  </w:t>
      </w:r>
    </w:p>
    <w:p>
      <w:pPr>
        <w:numPr>
          <w:ilvl w:val="0"/>
          <w:numId w:val="0"/>
        </w:numPr>
        <w:spacing w:beforeLines="0" w:afterLines="0" w:line="600" w:lineRule="exact"/>
        <w:ind w:firstLine="640" w:firstLineChars="200"/>
        <w:jc w:val="both"/>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第</w:t>
      </w: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十三条</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 xml:space="preserve"> 建立</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需服务项目价格信息公开制度</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。各地医保部门充分运用医保信息化加快建立价格公开透明机制，可于门户网站、公众号、APP等渠道公开医疗机构</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特需服务项目清单</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和价格（含具体构成），</w:t>
      </w:r>
      <w:r>
        <w:rPr>
          <w:rFonts w:hint="eastAsia"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t>引导看病就医。</w:t>
      </w:r>
    </w:p>
    <w:p>
      <w:pPr>
        <w:numPr>
          <w:ilvl w:val="0"/>
          <w:numId w:val="0"/>
        </w:numPr>
        <w:spacing w:beforeLines="0" w:afterLines="0" w:line="600" w:lineRule="exact"/>
        <w:ind w:firstLine="0" w:firstLineChars="0"/>
        <w:jc w:val="both"/>
        <w:rPr>
          <w:rFonts w:hint="default" w:ascii="Times New Roman" w:hAnsi="Times New Roman" w:eastAsia="仿宋_GB2312" w:cs="Nimbus Roman"/>
          <w:b w:val="0"/>
          <w:bCs w:val="0"/>
          <w:color w:val="000000" w:themeColor="text1"/>
          <w:kern w:val="0"/>
          <w:sz w:val="32"/>
          <w:szCs w:val="32"/>
          <w:highlight w:val="none"/>
          <w:u w:val="none"/>
          <w:lang w:val="en-US" w:eastAsia="zh-CN" w:bidi="ar-SA"/>
          <w14:textFill>
            <w14:solidFill>
              <w14:schemeClr w14:val="tx1"/>
            </w14:solidFill>
          </w14:textFill>
        </w:rPr>
      </w:pPr>
    </w:p>
    <w:p>
      <w:pPr>
        <w:spacing w:beforeLines="0" w:afterLines="0" w:line="600" w:lineRule="exact"/>
        <w:jc w:val="center"/>
        <w:rPr>
          <w:rFonts w:hint="eastAsia" w:ascii="Times New Roman" w:hAnsi="Times New Roman" w:eastAsia="方正小标宋简体" w:cs="方正小标宋简体"/>
          <w:b w:val="0"/>
          <w:bCs w:val="0"/>
          <w:color w:val="000000" w:themeColor="text1"/>
          <w:kern w:val="0"/>
          <w:sz w:val="32"/>
          <w:szCs w:val="32"/>
          <w:highlight w:val="none"/>
          <w:u w:val="none"/>
          <w:lang w:val="en-US" w:eastAsia="zh-CN" w:bidi="ar-SA"/>
          <w14:textFill>
            <w14:solidFill>
              <w14:schemeClr w14:val="tx1"/>
            </w14:solidFill>
          </w14:textFill>
        </w:rPr>
      </w:pPr>
      <w:r>
        <w:rPr>
          <w:rFonts w:hint="eastAsia" w:ascii="Times New Roman" w:hAnsi="Times New Roman" w:eastAsia="方正小标宋简体" w:cs="方正小标宋简体"/>
          <w:b w:val="0"/>
          <w:bCs w:val="0"/>
          <w:color w:val="000000" w:themeColor="text1"/>
          <w:kern w:val="0"/>
          <w:sz w:val="32"/>
          <w:szCs w:val="32"/>
          <w:highlight w:val="none"/>
          <w:u w:val="none"/>
          <w:lang w:val="en-US" w:eastAsia="zh-CN" w:bidi="ar-SA"/>
          <w14:textFill>
            <w14:solidFill>
              <w14:schemeClr w14:val="tx1"/>
            </w14:solidFill>
          </w14:textFill>
        </w:rPr>
        <w:t>第四章 备案管理</w:t>
      </w:r>
    </w:p>
    <w:p>
      <w:pPr>
        <w:spacing w:beforeLines="0" w:afterLines="0" w:line="600" w:lineRule="exact"/>
        <w:jc w:val="cente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pPr>
    </w:p>
    <w:p>
      <w:pPr>
        <w:numPr>
          <w:ilvl w:val="0"/>
          <w:numId w:val="0"/>
        </w:numPr>
        <w:spacing w:beforeLines="0" w:afterLines="0" w:line="600" w:lineRule="exact"/>
        <w:ind w:firstLine="640" w:firstLineChars="200"/>
        <w:jc w:val="both"/>
        <w:outlineLvl w:val="9"/>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第十</w:t>
      </w: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四</w:t>
      </w: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条</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 xml:space="preserve"> </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 xml:space="preserve"> </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公立医疗机构特需服务项目</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和价格</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实行备案管理</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各</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地</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医疗保障部门负责本辖区内特需服务项目</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和价格</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的备案工作</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。医疗机构自医保部门受理成功备案材料30日后执行相关项目，没有备案的特需服务不得开展。</w:t>
      </w:r>
    </w:p>
    <w:p>
      <w:pPr>
        <w:spacing w:beforeLines="0" w:afterLines="0" w:line="600" w:lineRule="exact"/>
        <w:ind w:firstLine="640" w:firstLineChars="200"/>
        <w:jc w:val="both"/>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第十</w:t>
      </w: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五</w:t>
      </w: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 xml:space="preserve">条 </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 xml:space="preserve"> </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公立医疗机构向医疗保障部门</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提交</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加盖公章的</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以下</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备案</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材料，并对其真实性、完整性负责</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eastAsia" w:ascii="Times New Roman" w:hAnsi="Times New Roman" w:eastAsia="仿宋_GB2312" w:cs="Nimbus Roman"/>
          <w:b w:val="0"/>
          <w:bCs w:val="0"/>
          <w:color w:val="000000" w:themeColor="text1"/>
          <w:sz w:val="32"/>
          <w:highlight w:val="none"/>
          <w:u w:val="none"/>
          <w:lang w:eastAsia="zh-CN"/>
          <w14:textFill>
            <w14:solidFill>
              <w14:schemeClr w14:val="tx1"/>
            </w14:solidFill>
          </w14:textFill>
        </w:rPr>
        <w:t>备案材料不完整、不符合要求的不予受理或退回重新报送</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p>
    <w:p>
      <w:pPr>
        <w:spacing w:beforeLines="0" w:afterLines="0" w:line="600" w:lineRule="exact"/>
        <w:ind w:firstLine="640" w:firstLineChars="200"/>
        <w:jc w:val="both"/>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（一）《</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（医疗机构）</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特需服务项目</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和价格公示（</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备案</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）清单</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（见附件1）</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p>
    <w:p>
      <w:pPr>
        <w:spacing w:beforeLines="0" w:afterLines="0" w:line="600" w:lineRule="exact"/>
        <w:ind w:firstLine="640" w:firstLineChars="200"/>
        <w:jc w:val="both"/>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（二）特需服务项目价格测算表（见附件2）；</w:t>
      </w:r>
    </w:p>
    <w:p>
      <w:pPr>
        <w:spacing w:beforeLines="0" w:afterLines="0" w:line="600" w:lineRule="exact"/>
        <w:ind w:firstLine="640" w:firstLineChars="200"/>
        <w:jc w:val="both"/>
        <w:outlineLvl w:val="9"/>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三</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《（医疗机构XX年度）开展特需医疗服务情况的报告》</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应</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包括</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以下内容：</w:t>
      </w:r>
    </w:p>
    <w:p>
      <w:pPr>
        <w:spacing w:beforeLines="0" w:afterLines="0" w:line="600" w:lineRule="exact"/>
        <w:ind w:firstLine="640" w:firstLineChars="200"/>
        <w:jc w:val="both"/>
        <w:outlineLvl w:val="9"/>
        <w:rPr>
          <w:rFonts w:hint="eastAsia" w:ascii="Times New Roman" w:hAnsi="Times New Roman" w:eastAsia="仿宋_GB2312" w:cs="Nimbus Roman"/>
          <w:b w:val="0"/>
          <w:bCs w:val="0"/>
          <w:color w:val="000000" w:themeColor="text1"/>
          <w:sz w:val="32"/>
          <w:highlight w:val="none"/>
          <w:u w:val="none"/>
          <w:lang w:val="en-US" w:eastAsia="zh-CN"/>
          <w14:textFill>
            <w14:solidFill>
              <w14:schemeClr w14:val="tx1"/>
            </w14:solidFill>
          </w14:textFill>
        </w:rPr>
      </w:pPr>
      <w:r>
        <w:rPr>
          <w:rFonts w:hint="eastAsia" w:ascii="Times New Roman" w:hAnsi="Times New Roman" w:eastAsia="仿宋_GB2312" w:cs="Nimbus Roman"/>
          <w:b w:val="0"/>
          <w:bCs w:val="0"/>
          <w:color w:val="000000" w:themeColor="text1"/>
          <w:sz w:val="32"/>
          <w:highlight w:val="none"/>
          <w:u w:val="none"/>
          <w:lang w:val="en-US" w:eastAsia="zh-CN"/>
          <w14:textFill>
            <w14:solidFill>
              <w14:schemeClr w14:val="tx1"/>
            </w14:solidFill>
          </w14:textFill>
        </w:rPr>
        <w:t>1.</w:t>
      </w:r>
      <w:r>
        <w:rPr>
          <w:rFonts w:hint="eastAsia" w:ascii="Times New Roman" w:hAnsi="Times New Roman" w:eastAsia="仿宋_GB2312"/>
          <w:b w:val="0"/>
          <w:bCs w:val="0"/>
          <w:color w:val="000000" w:themeColor="text1"/>
          <w:sz w:val="32"/>
          <w:highlight w:val="none"/>
          <w:u w:val="none"/>
          <w14:textFill>
            <w14:solidFill>
              <w14:schemeClr w14:val="tx1"/>
            </w14:solidFill>
          </w14:textFill>
        </w:rPr>
        <w:t>特需</w:t>
      </w:r>
      <w:r>
        <w:rPr>
          <w:rFonts w:hint="eastAsia" w:ascii="Times New Roman" w:hAnsi="Times New Roman" w:eastAsia="仿宋" w:cs="仿宋"/>
          <w:b w:val="0"/>
          <w:bCs w:val="0"/>
          <w:color w:val="000000" w:themeColor="text1"/>
          <w:kern w:val="0"/>
          <w:sz w:val="32"/>
          <w:szCs w:val="32"/>
          <w:highlight w:val="none"/>
          <w:u w:val="none"/>
          <w:lang w:val="en-US" w:eastAsia="zh-CN" w:bidi="ar-SA"/>
          <w14:textFill>
            <w14:solidFill>
              <w14:schemeClr w14:val="tx1"/>
            </w14:solidFill>
          </w14:textFill>
        </w:rPr>
        <w:t>服务项目符合所属条件的说明，以及年度服务规模、</w:t>
      </w:r>
      <w:r>
        <w:rPr>
          <w:rFonts w:hint="eastAsia" w:ascii="Times New Roman" w:hAnsi="Times New Roman" w:eastAsia="仿宋_GB2312"/>
          <w:b w:val="0"/>
          <w:bCs w:val="0"/>
          <w:color w:val="000000" w:themeColor="text1"/>
          <w:sz w:val="32"/>
          <w:highlight w:val="none"/>
          <w:u w:val="none"/>
          <w14:textFill>
            <w14:solidFill>
              <w14:schemeClr w14:val="tx1"/>
            </w14:solidFill>
          </w14:textFill>
        </w:rPr>
        <w:t>服务人次</w:t>
      </w:r>
      <w:r>
        <w:rPr>
          <w:rFonts w:hint="eastAsia" w:ascii="Times New Roman" w:hAnsi="Times New Roman" w:eastAsia="仿宋_GB2312"/>
          <w:b w:val="0"/>
          <w:bCs w:val="0"/>
          <w:color w:val="000000" w:themeColor="text1"/>
          <w:sz w:val="32"/>
          <w:highlight w:val="none"/>
          <w:u w:val="none"/>
          <w:lang w:eastAsia="zh-CN"/>
          <w14:textFill>
            <w14:solidFill>
              <w14:schemeClr w14:val="tx1"/>
            </w14:solidFill>
          </w14:textFill>
        </w:rPr>
        <w:t>和</w:t>
      </w:r>
      <w:r>
        <w:rPr>
          <w:rFonts w:hint="eastAsia" w:ascii="Times New Roman" w:hAnsi="Times New Roman" w:eastAsia="仿宋_GB2312"/>
          <w:b w:val="0"/>
          <w:bCs w:val="0"/>
          <w:color w:val="000000" w:themeColor="text1"/>
          <w:sz w:val="32"/>
          <w:highlight w:val="none"/>
          <w:u w:val="none"/>
          <w14:textFill>
            <w14:solidFill>
              <w14:schemeClr w14:val="tx1"/>
            </w14:solidFill>
          </w14:textFill>
        </w:rPr>
        <w:t>收入</w:t>
      </w:r>
      <w:r>
        <w:rPr>
          <w:rFonts w:hint="eastAsia" w:ascii="Times New Roman" w:hAnsi="Times New Roman" w:eastAsia="仿宋_GB2312"/>
          <w:b w:val="0"/>
          <w:bCs w:val="0"/>
          <w:color w:val="000000" w:themeColor="text1"/>
          <w:sz w:val="32"/>
          <w:highlight w:val="none"/>
          <w:u w:val="none"/>
          <w:lang w:eastAsia="zh-CN"/>
          <w14:textFill>
            <w14:solidFill>
              <w14:schemeClr w14:val="tx1"/>
            </w14:solidFill>
          </w14:textFill>
        </w:rPr>
        <w:t>的</w:t>
      </w:r>
      <w:r>
        <w:rPr>
          <w:rFonts w:hint="eastAsia" w:ascii="Times New Roman" w:hAnsi="Times New Roman" w:eastAsia="仿宋_GB2312"/>
          <w:b w:val="0"/>
          <w:bCs w:val="0"/>
          <w:color w:val="000000" w:themeColor="text1"/>
          <w:sz w:val="32"/>
          <w:highlight w:val="none"/>
          <w:u w:val="none"/>
          <w14:textFill>
            <w14:solidFill>
              <w14:schemeClr w14:val="tx1"/>
            </w14:solidFill>
          </w14:textFill>
        </w:rPr>
        <w:t>测算情况</w:t>
      </w:r>
      <w:r>
        <w:rPr>
          <w:rFonts w:hint="eastAsia" w:ascii="Times New Roman" w:hAnsi="Times New Roman" w:eastAsia="仿宋_GB2312"/>
          <w:b w:val="0"/>
          <w:bCs w:val="0"/>
          <w:color w:val="000000" w:themeColor="text1"/>
          <w:sz w:val="32"/>
          <w:highlight w:val="none"/>
          <w:u w:val="none"/>
          <w:lang w:eastAsia="zh-CN"/>
          <w14:textFill>
            <w14:solidFill>
              <w14:schemeClr w14:val="tx1"/>
            </w14:solidFill>
          </w14:textFill>
        </w:rPr>
        <w:t>；</w:t>
      </w:r>
    </w:p>
    <w:p>
      <w:pPr>
        <w:spacing w:beforeLines="0" w:afterLines="0" w:line="600" w:lineRule="exact"/>
        <w:ind w:firstLine="640" w:firstLineChars="200"/>
        <w:jc w:val="both"/>
        <w:outlineLvl w:val="9"/>
        <w:rPr>
          <w:rFonts w:hint="eastAsia" w:ascii="Times New Roman" w:hAnsi="Times New Roman" w:eastAsia="仿宋_GB2312" w:cs="Nimbus Roman"/>
          <w:b w:val="0"/>
          <w:bCs w:val="0"/>
          <w:color w:val="000000" w:themeColor="text1"/>
          <w:sz w:val="32"/>
          <w:highlight w:val="none"/>
          <w:u w:val="none"/>
          <w:lang w:eastAsia="zh-CN"/>
          <w14:textFill>
            <w14:solidFill>
              <w14:schemeClr w14:val="tx1"/>
            </w14:solidFill>
          </w14:textFill>
        </w:rPr>
      </w:pP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2.特需</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服务</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项目</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设施、诊疗环境、服务形式、服务内容</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人员资质、</w:t>
      </w:r>
      <w:r>
        <w:rPr>
          <w:rFonts w:hint="default" w:ascii="Times New Roman" w:hAnsi="Times New Roman" w:eastAsia="仿宋_GB2312" w:cs="Nimbus Roman"/>
          <w:b w:val="0"/>
          <w:bCs w:val="0"/>
          <w:color w:val="000000" w:themeColor="text1"/>
          <w:sz w:val="32"/>
          <w:highlight w:val="none"/>
          <w:u w:val="none"/>
          <w14:textFill>
            <w14:solidFill>
              <w14:schemeClr w14:val="tx1"/>
            </w14:solidFill>
          </w14:textFill>
        </w:rPr>
        <w:t>人员配备</w:t>
      </w:r>
      <w:r>
        <w:rPr>
          <w:rFonts w:hint="eastAsia" w:ascii="Times New Roman" w:hAnsi="Times New Roman" w:eastAsia="仿宋_GB2312" w:cs="Nimbus Roman"/>
          <w:b w:val="0"/>
          <w:bCs w:val="0"/>
          <w:color w:val="000000" w:themeColor="text1"/>
          <w:sz w:val="32"/>
          <w:highlight w:val="none"/>
          <w:u w:val="none"/>
          <w:lang w:eastAsia="zh-CN"/>
          <w14:textFill>
            <w14:solidFill>
              <w14:schemeClr w14:val="tx1"/>
            </w14:solidFill>
          </w14:textFill>
        </w:rPr>
        <w:t>、以及本办法第七条要求的其他</w:t>
      </w:r>
      <w:r>
        <w:rPr>
          <w:rFonts w:hint="default" w:ascii="Times New Roman" w:hAnsi="Times New Roman" w:eastAsia="仿宋_GB2312" w:cs="Nimbus Roman"/>
          <w:b w:val="0"/>
          <w:bCs w:val="0"/>
          <w:color w:val="000000" w:themeColor="text1"/>
          <w:sz w:val="32"/>
          <w:highlight w:val="none"/>
          <w:u w:val="none"/>
          <w14:textFill>
            <w14:solidFill>
              <w14:schemeClr w14:val="tx1"/>
            </w14:solidFill>
          </w14:textFill>
        </w:rPr>
        <w:t>情况</w:t>
      </w:r>
      <w:r>
        <w:rPr>
          <w:rFonts w:hint="eastAsia" w:ascii="Times New Roman" w:hAnsi="Times New Roman" w:eastAsia="仿宋_GB2312" w:cs="Nimbus Roman"/>
          <w:b w:val="0"/>
          <w:bCs w:val="0"/>
          <w:color w:val="000000" w:themeColor="text1"/>
          <w:sz w:val="32"/>
          <w:highlight w:val="none"/>
          <w:u w:val="none"/>
          <w:lang w:eastAsia="zh-CN"/>
          <w14:textFill>
            <w14:solidFill>
              <w14:schemeClr w14:val="tx1"/>
            </w14:solidFill>
          </w14:textFill>
        </w:rPr>
        <w:t>；</w:t>
      </w:r>
    </w:p>
    <w:p>
      <w:pPr>
        <w:spacing w:beforeLines="0" w:afterLines="0" w:line="600" w:lineRule="exact"/>
        <w:ind w:firstLine="640" w:firstLineChars="200"/>
        <w:jc w:val="both"/>
        <w:outlineLvl w:val="9"/>
        <w:rPr>
          <w:rFonts w:hint="eastAsia" w:ascii="Times New Roman" w:hAnsi="Times New Roman" w:eastAsia="仿宋_GB2312" w:cs="Nimbus Roman"/>
          <w:b w:val="0"/>
          <w:bCs w:val="0"/>
          <w:color w:val="000000" w:themeColor="text1"/>
          <w:kern w:val="2"/>
          <w:sz w:val="32"/>
          <w:szCs w:val="22"/>
          <w:highlight w:val="none"/>
          <w:u w:val="none"/>
          <w:lang w:val="en-US" w:eastAsia="zh-CN" w:bidi="ar-SA"/>
          <w14:textFill>
            <w14:solidFill>
              <w14:schemeClr w14:val="tx1"/>
            </w14:solidFill>
          </w14:textFill>
        </w:rPr>
      </w:pPr>
      <w:r>
        <w:rPr>
          <w:rFonts w:hint="eastAsia" w:ascii="Times New Roman" w:hAnsi="Times New Roman" w:eastAsia="仿宋_GB2312" w:cs="Nimbus Roman"/>
          <w:b w:val="0"/>
          <w:bCs w:val="0"/>
          <w:color w:val="000000" w:themeColor="text1"/>
          <w:sz w:val="32"/>
          <w:highlight w:val="none"/>
          <w:u w:val="none"/>
          <w:lang w:val="en-US" w:eastAsia="zh-CN"/>
          <w14:textFill>
            <w14:solidFill>
              <w14:schemeClr w14:val="tx1"/>
            </w14:solidFill>
          </w14:textFill>
        </w:rPr>
        <w:t>3.上一年度</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实行市场调节价的项目</w:t>
      </w:r>
      <w:r>
        <w:rPr>
          <w:rFonts w:hint="eastAsia" w:ascii="Times New Roman" w:hAnsi="Times New Roman" w:eastAsia="仿宋" w:cs="仿宋"/>
          <w:b w:val="0"/>
          <w:bCs w:val="0"/>
          <w:color w:val="000000" w:themeColor="text1"/>
          <w:kern w:val="0"/>
          <w:sz w:val="32"/>
          <w:szCs w:val="32"/>
          <w:highlight w:val="none"/>
          <w:u w:val="none"/>
          <w:lang w:val="en-US" w:eastAsia="zh-CN" w:bidi="ar-SA"/>
          <w14:textFill>
            <w14:solidFill>
              <w14:schemeClr w14:val="tx1"/>
            </w14:solidFill>
          </w14:textFill>
        </w:rPr>
        <w:t>实施情况，包括但不限于实施项目、规模、价格、服务量、金额等情况（医疗机构首次备案的除外）；</w:t>
      </w:r>
    </w:p>
    <w:p>
      <w:pPr>
        <w:spacing w:beforeLines="0" w:afterLines="0" w:line="600" w:lineRule="exact"/>
        <w:ind w:firstLine="640" w:firstLineChars="200"/>
        <w:jc w:val="both"/>
        <w:outlineLvl w:val="9"/>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eastAsia" w:ascii="Times New Roman" w:hAnsi="Times New Roman" w:eastAsia="仿宋_GB2312" w:cs="Nimbus Roman"/>
          <w:b w:val="0"/>
          <w:bCs w:val="0"/>
          <w:color w:val="000000" w:themeColor="text1"/>
          <w:kern w:val="2"/>
          <w:sz w:val="32"/>
          <w:szCs w:val="22"/>
          <w:highlight w:val="none"/>
          <w:u w:val="none"/>
          <w:lang w:val="en-US" w:eastAsia="zh-CN" w:bidi="ar-SA"/>
          <w14:textFill>
            <w14:solidFill>
              <w14:schemeClr w14:val="tx1"/>
            </w14:solidFill>
          </w14:textFill>
        </w:rPr>
        <w:t>4.</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对照本办法第二章要求的其他有关情况。</w:t>
      </w:r>
    </w:p>
    <w:p>
      <w:pPr>
        <w:spacing w:beforeLines="0" w:afterLines="0" w:line="600" w:lineRule="exact"/>
        <w:ind w:firstLine="640" w:firstLineChars="200"/>
        <w:jc w:val="both"/>
        <w:outlineLvl w:val="9"/>
        <w:rPr>
          <w:rFonts w:hint="eastAsia" w:ascii="Times New Roman" w:hAnsi="Times New Roman" w:eastAsia="仿宋_GB2312" w:cs="Nimbus Roman"/>
          <w:b w:val="0"/>
          <w:bCs w:val="0"/>
          <w:color w:val="000000" w:themeColor="text1"/>
          <w:sz w:val="32"/>
          <w:highlight w:val="none"/>
          <w:u w:val="none"/>
          <w:lang w:eastAsia="zh-CN"/>
          <w14:textFill>
            <w14:solidFill>
              <w14:schemeClr w14:val="tx1"/>
            </w14:solidFill>
          </w14:textFill>
        </w:rPr>
      </w:pPr>
      <w:r>
        <w:rPr>
          <w:rFonts w:hint="eastAsia" w:ascii="Times New Roman" w:hAnsi="Times New Roman" w:eastAsia="仿宋_GB2312" w:cs="Nimbus Roman"/>
          <w:b w:val="0"/>
          <w:bCs w:val="0"/>
          <w:color w:val="000000" w:themeColor="text1"/>
          <w:kern w:val="2"/>
          <w:sz w:val="32"/>
          <w:szCs w:val="22"/>
          <w:highlight w:val="none"/>
          <w:u w:val="none"/>
          <w:lang w:val="en-US" w:eastAsia="zh-CN" w:bidi="ar-SA"/>
          <w14:textFill>
            <w14:solidFill>
              <w14:schemeClr w14:val="tx1"/>
            </w14:solidFill>
          </w14:textFill>
        </w:rPr>
        <w:t>（四）医疗机构</w:t>
      </w:r>
      <w:r>
        <w:rPr>
          <w:rFonts w:hint="eastAsia" w:ascii="Times New Roman" w:hAnsi="Times New Roman" w:eastAsia="仿宋_GB2312" w:cs="Nimbus Roman"/>
          <w:b w:val="0"/>
          <w:bCs w:val="0"/>
          <w:color w:val="000000" w:themeColor="text1"/>
          <w:sz w:val="32"/>
          <w:highlight w:val="none"/>
          <w:u w:val="none"/>
          <w:lang w:eastAsia="zh-CN"/>
          <w14:textFill>
            <w14:solidFill>
              <w14:schemeClr w14:val="tx1"/>
            </w14:solidFill>
          </w14:textFill>
        </w:rPr>
        <w:t>财务年报、</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特需医疗服务管理的相关制度</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（包括但不限于医务人员出诊规定、</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价格公示和费用清单等相关</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规定）</w:t>
      </w:r>
      <w:r>
        <w:rPr>
          <w:rFonts w:hint="eastAsia" w:ascii="Times New Roman" w:hAnsi="Times New Roman" w:eastAsia="仿宋_GB2312" w:cs="Nimbus Roman"/>
          <w:b w:val="0"/>
          <w:bCs w:val="0"/>
          <w:color w:val="000000" w:themeColor="text1"/>
          <w:sz w:val="32"/>
          <w:highlight w:val="none"/>
          <w:u w:val="none"/>
          <w:lang w:eastAsia="zh-CN"/>
          <w14:textFill>
            <w14:solidFill>
              <w14:schemeClr w14:val="tx1"/>
            </w14:solidFill>
          </w14:textFill>
        </w:rPr>
        <w:t>以及有关佐证材料。</w:t>
      </w:r>
    </w:p>
    <w:p>
      <w:pPr>
        <w:numPr>
          <w:ilvl w:val="-1"/>
          <w:numId w:val="0"/>
        </w:numPr>
        <w:spacing w:beforeLines="0" w:afterLines="0" w:line="600" w:lineRule="exact"/>
        <w:ind w:left="0" w:firstLine="640" w:firstLineChars="200"/>
        <w:jc w:val="both"/>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第十</w:t>
      </w: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六</w:t>
      </w: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条</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 xml:space="preserve"> </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特需服务项目和价格有调整</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的须重新</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履行</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备案</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程序，只涉及价格调整的，提供第十五条第（一）、（二）款和第（三）款第1项内容。</w:t>
      </w:r>
    </w:p>
    <w:p>
      <w:pPr>
        <w:numPr>
          <w:ilvl w:val="-1"/>
          <w:numId w:val="0"/>
        </w:numPr>
        <w:spacing w:beforeLines="0" w:afterLines="0" w:line="600" w:lineRule="exact"/>
        <w:ind w:firstLine="640" w:firstLineChars="200"/>
        <w:jc w:val="both"/>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第十</w:t>
      </w: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七</w:t>
      </w: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 xml:space="preserve">条 </w:t>
      </w: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 xml:space="preserve"> </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地级以上市医疗保障部门将本辖区年度特需服务项目和价格备案情况报省医疗保障部门</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p>
    <w:p>
      <w:pPr>
        <w:widowControl/>
        <w:numPr>
          <w:ilvl w:val="0"/>
          <w:numId w:val="0"/>
        </w:numPr>
        <w:spacing w:beforeLines="0" w:afterLines="0" w:line="600" w:lineRule="exact"/>
        <w:ind w:firstLine="640" w:firstLineChars="200"/>
        <w:jc w:val="both"/>
        <w:outlineLvl w:val="9"/>
        <w:rPr>
          <w:rFonts w:hint="default" w:ascii="方正小标宋简体" w:hAnsi="方正小标宋简体" w:eastAsia="方正小标宋简体" w:cs="方正小标宋简体"/>
          <w:b w:val="0"/>
          <w:bCs w:val="0"/>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第十</w:t>
      </w: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八</w:t>
      </w: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条</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 xml:space="preserve">  各地公布的《特需服务项目</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和价格公示（备案）</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清单》项目名称和收费编码应根据省公布的医疗服务价格项目同步更新</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特需服务项目应设显著标识，在基本目录项目收费编码后加“T”字母予以区分</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。各地医保部门应及时做好特需服务项目编码申请和维护工作。</w:t>
      </w:r>
    </w:p>
    <w:p>
      <w:pPr>
        <w:numPr>
          <w:ilvl w:val="0"/>
          <w:numId w:val="0"/>
        </w:numPr>
        <w:spacing w:beforeLines="0" w:afterLines="0" w:line="600" w:lineRule="exact"/>
        <w:ind w:firstLine="640" w:firstLineChars="200"/>
        <w:jc w:val="both"/>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p>
    <w:p>
      <w:pPr>
        <w:numPr>
          <w:ilvl w:val="0"/>
          <w:numId w:val="2"/>
        </w:numPr>
        <w:spacing w:beforeLines="0" w:afterLines="0" w:line="600" w:lineRule="exact"/>
        <w:ind w:firstLine="0" w:firstLineChars="0"/>
        <w:jc w:val="center"/>
        <w:rPr>
          <w:rFonts w:hint="eastAsia" w:ascii="方正小标宋简体" w:hAnsi="方正小标宋简体" w:eastAsia="方正小标宋简体" w:cs="方正小标宋简体"/>
          <w:b w:val="0"/>
          <w:bCs w:val="0"/>
          <w:color w:val="000000" w:themeColor="text1"/>
          <w:kern w:val="0"/>
          <w:sz w:val="32"/>
          <w:szCs w:val="32"/>
          <w:highlight w:val="none"/>
          <w:u w:val="none"/>
          <w:lang w:val="en-US" w:eastAsia="zh-CN" w:bidi="ar-SA"/>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32"/>
          <w:szCs w:val="32"/>
          <w:highlight w:val="none"/>
          <w:u w:val="none"/>
          <w:lang w:val="en-US" w:eastAsia="zh-CN" w:bidi="ar-SA"/>
          <w14:textFill>
            <w14:solidFill>
              <w14:schemeClr w14:val="tx1"/>
            </w14:solidFill>
          </w14:textFill>
        </w:rPr>
        <w:t>指导监督</w:t>
      </w:r>
    </w:p>
    <w:p>
      <w:pPr>
        <w:widowControl/>
        <w:numPr>
          <w:ilvl w:val="-1"/>
          <w:numId w:val="0"/>
        </w:numPr>
        <w:spacing w:beforeLines="0" w:afterLines="0" w:line="600" w:lineRule="exact"/>
        <w:ind w:firstLine="0" w:firstLineChars="0"/>
        <w:jc w:val="center"/>
        <w:outlineLvl w:val="9"/>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pPr>
    </w:p>
    <w:p>
      <w:pPr>
        <w:widowControl/>
        <w:numPr>
          <w:ilvl w:val="-1"/>
          <w:numId w:val="0"/>
        </w:numPr>
        <w:spacing w:beforeLines="0" w:afterLines="0" w:line="600" w:lineRule="exact"/>
        <w:ind w:firstLine="640" w:firstLineChars="200"/>
        <w:jc w:val="both"/>
        <w:outlineLvl w:val="9"/>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 xml:space="preserve">第十九条 </w:t>
      </w:r>
      <w:r>
        <w:rPr>
          <w:rFonts w:hint="default" w:ascii="Times New Roman" w:hAnsi="Times New Roman" w:eastAsia="仿宋" w:cs="Nimbus Roman"/>
          <w:b w:val="0"/>
          <w:bCs w:val="0"/>
          <w:color w:val="000000" w:themeColor="text1"/>
          <w:kern w:val="0"/>
          <w:sz w:val="32"/>
          <w:szCs w:val="32"/>
          <w:highlight w:val="none"/>
          <w:u w:val="none"/>
          <w:lang w:val="en" w:eastAsia="zh-CN" w:bidi="ar-SA"/>
          <w14:textFill>
            <w14:solidFill>
              <w14:schemeClr w14:val="tx1"/>
            </w14:solidFill>
          </w14:textFill>
        </w:rPr>
        <w:t xml:space="preserve"> </w:t>
      </w:r>
      <w:r>
        <w:rPr>
          <w:rFonts w:hint="eastAsia" w:ascii="Times New Roman" w:hAnsi="Times New Roman" w:eastAsia="仿宋" w:cs="Nimbus Roman"/>
          <w:b w:val="0"/>
          <w:bCs w:val="0"/>
          <w:color w:val="000000" w:themeColor="text1"/>
          <w:kern w:val="0"/>
          <w:sz w:val="32"/>
          <w:szCs w:val="32"/>
          <w:highlight w:val="none"/>
          <w:u w:val="none"/>
          <w:lang w:val="en" w:eastAsia="zh-CN" w:bidi="ar-SA"/>
          <w14:textFill>
            <w14:solidFill>
              <w14:schemeClr w14:val="tx1"/>
            </w14:solidFill>
          </w14:textFill>
        </w:rPr>
        <w:t>公立医疗机构应</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严格按照国家和省有关规定，建立和完善相关管理制度、服务流程，加强对特需医疗服务的内部管理，</w:t>
      </w:r>
      <w:r>
        <w:rPr>
          <w:rFonts w:hint="eastAsia" w:ascii="Times New Roman" w:hAnsi="Times New Roman" w:eastAsia="仿宋_GB2312" w:cs="Nimbus Roman"/>
          <w:b w:val="0"/>
          <w:bCs w:val="0"/>
          <w:color w:val="000000" w:themeColor="text1"/>
          <w:sz w:val="32"/>
          <w:highlight w:val="none"/>
          <w:u w:val="none"/>
          <w:lang w:eastAsia="zh-CN"/>
          <w14:textFill>
            <w14:solidFill>
              <w14:schemeClr w14:val="tx1"/>
            </w14:solidFill>
          </w14:textFill>
        </w:rPr>
        <w:t>确保</w:t>
      </w:r>
      <w:r>
        <w:rPr>
          <w:rFonts w:hint="default" w:ascii="Times New Roman" w:hAnsi="Times New Roman" w:eastAsia="仿宋_GB2312" w:cs="Nimbus Roman"/>
          <w:b w:val="0"/>
          <w:bCs w:val="0"/>
          <w:color w:val="000000" w:themeColor="text1"/>
          <w:sz w:val="32"/>
          <w:highlight w:val="none"/>
          <w:u w:val="none"/>
          <w:lang w:eastAsia="zh-CN"/>
          <w14:textFill>
            <w14:solidFill>
              <w14:schemeClr w14:val="tx1"/>
            </w14:solidFill>
          </w14:textFill>
        </w:rPr>
        <w:t>特需医疗服务活动</w:t>
      </w:r>
      <w:r>
        <w:rPr>
          <w:rFonts w:hint="eastAsia" w:ascii="Times New Roman" w:hAnsi="Times New Roman" w:eastAsia="仿宋_GB2312" w:cs="Nimbus Roman"/>
          <w:b w:val="0"/>
          <w:bCs w:val="0"/>
          <w:color w:val="000000" w:themeColor="text1"/>
          <w:sz w:val="32"/>
          <w:highlight w:val="none"/>
          <w:u w:val="none"/>
          <w:lang w:eastAsia="zh-CN"/>
          <w14:textFill>
            <w14:solidFill>
              <w14:schemeClr w14:val="tx1"/>
            </w14:solidFill>
          </w14:textFill>
        </w:rPr>
        <w:t>有</w:t>
      </w:r>
      <w:r>
        <w:rPr>
          <w:rFonts w:hint="default" w:ascii="Times New Roman" w:hAnsi="Times New Roman" w:eastAsia="仿宋_GB2312" w:cs="Nimbus Roman"/>
          <w:b w:val="0"/>
          <w:bCs w:val="0"/>
          <w:color w:val="000000" w:themeColor="text1"/>
          <w:sz w:val="32"/>
          <w:highlight w:val="none"/>
          <w:u w:val="none"/>
          <w:lang w:eastAsia="zh-CN"/>
          <w14:textFill>
            <w14:solidFill>
              <w14:schemeClr w14:val="tx1"/>
            </w14:solidFill>
          </w14:textFill>
        </w:rPr>
        <w:t>留痕、可追溯</w:t>
      </w:r>
      <w:r>
        <w:rPr>
          <w:rFonts w:hint="eastAsia" w:ascii="Times New Roman" w:hAnsi="Times New Roman" w:eastAsia="仿宋_GB2312" w:cs="Nimbus Roman"/>
          <w:b w:val="0"/>
          <w:bCs w:val="0"/>
          <w:color w:val="000000" w:themeColor="text1"/>
          <w:sz w:val="32"/>
          <w:highlight w:val="none"/>
          <w:u w:val="none"/>
          <w:lang w:eastAsia="zh-CN"/>
          <w14:textFill>
            <w14:solidFill>
              <w14:schemeClr w14:val="tx1"/>
            </w14:solidFill>
          </w14:textFill>
        </w:rPr>
        <w:t>。</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每年3月底前</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向</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各地医保</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部门报送</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上一年度《（医疗机构XX年度）开展特需医疗服务情况的报告》，内容参照第十五条第（三）项第2、3、4点要求。</w:t>
      </w:r>
    </w:p>
    <w:p>
      <w:pPr>
        <w:widowControl/>
        <w:numPr>
          <w:ilvl w:val="-1"/>
          <w:numId w:val="0"/>
        </w:numPr>
        <w:spacing w:beforeLines="-2147483648" w:afterLines="-2147483648" w:line="240" w:lineRule="auto"/>
        <w:ind w:firstLine="640" w:firstLineChars="200"/>
        <w:jc w:val="left"/>
        <w:outlineLvl w:val="9"/>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第</w:t>
      </w: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二十</w:t>
      </w:r>
      <w:r>
        <w:rPr>
          <w:rFonts w:hint="default"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条</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 xml:space="preserve"> </w:t>
      </w:r>
      <w:r>
        <w:rPr>
          <w:rFonts w:hint="default" w:ascii="Times New Roman" w:hAnsi="Times New Roman" w:eastAsia="仿宋" w:cs="Nimbus Roman"/>
          <w:b w:val="0"/>
          <w:bCs w:val="0"/>
          <w:color w:val="000000" w:themeColor="text1"/>
          <w:kern w:val="0"/>
          <w:sz w:val="32"/>
          <w:szCs w:val="32"/>
          <w:highlight w:val="none"/>
          <w:u w:val="none"/>
          <w:lang w:val="en" w:eastAsia="zh-CN" w:bidi="ar-SA"/>
          <w14:textFill>
            <w14:solidFill>
              <w14:schemeClr w14:val="tx1"/>
            </w14:solidFill>
          </w14:textFill>
        </w:rPr>
        <w:t xml:space="preserve"> </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各地医疗保障</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部门要</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切实履行全行业医疗服务价格管理职责，</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加强</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公立医疗机构</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特需医疗服务</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执行情况</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的</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管理。开展特需医疗服务项目收入变化的监测，收入增加值从年度医疗服务价格调整总量中扣减；对于价格过高、投诉较多的特需服务项目，可开展价格和成本调查；适时组织专项督查检查，综合运用约谈、函询、提醒等手段进行监督，加强与有关部门的协调联动和综合监管。</w:t>
      </w:r>
      <w:r>
        <w:rPr>
          <w:rFonts w:hint="eastAsia" w:ascii="Times New Roman" w:hAnsi="Times New Roman" w:eastAsia="仿宋" w:cs="Nimbus Roman"/>
          <w:b w:val="0"/>
          <w:bCs w:val="0"/>
          <w:color w:val="000000" w:themeColor="text1"/>
          <w:kern w:val="0"/>
          <w:sz w:val="32"/>
          <w:szCs w:val="32"/>
          <w:highlight w:val="none"/>
          <w:u w:val="none"/>
          <w:lang w:eastAsia="zh-CN"/>
          <w14:textFill>
            <w14:solidFill>
              <w14:schemeClr w14:val="tx1"/>
            </w14:solidFill>
          </w14:textFill>
        </w:rPr>
        <w:t>发现的</w:t>
      </w:r>
      <w:r>
        <w:rPr>
          <w:rFonts w:hint="default" w:ascii="Times New Roman" w:hAnsi="Times New Roman" w:eastAsia="仿宋" w:cs="Nimbus Roman"/>
          <w:b w:val="0"/>
          <w:bCs w:val="0"/>
          <w:color w:val="000000" w:themeColor="text1"/>
          <w:kern w:val="0"/>
          <w:sz w:val="32"/>
          <w:szCs w:val="32"/>
          <w:highlight w:val="none"/>
          <w:u w:val="none"/>
          <w:lang w:eastAsia="zh-CN"/>
          <w14:textFill>
            <w14:solidFill>
              <w14:schemeClr w14:val="tx1"/>
            </w14:solidFill>
          </w14:textFill>
        </w:rPr>
        <w:t>违法违规问题和线索移交相关部门查处</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w:t>
      </w:r>
    </w:p>
    <w:p>
      <w:pPr>
        <w:widowControl/>
        <w:numPr>
          <w:ilvl w:val="-1"/>
          <w:numId w:val="0"/>
        </w:numPr>
        <w:spacing w:beforeLines="-2147483648" w:afterLines="-2147483648" w:line="240" w:lineRule="auto"/>
        <w:ind w:firstLine="640" w:firstLineChars="200"/>
        <w:jc w:val="both"/>
        <w:outlineLvl w:val="9"/>
        <w:rPr>
          <w:rFonts w:hint="eastAsia" w:ascii="Times New Roman" w:hAnsi="Times New Roman" w:eastAsia="仿宋" w:cs="Nimbus Roman"/>
          <w:b w:val="0"/>
          <w:bCs w:val="0"/>
          <w:color w:val="000000" w:themeColor="text1"/>
          <w:kern w:val="0"/>
          <w:sz w:val="32"/>
          <w:szCs w:val="32"/>
          <w:highlight w:val="none"/>
          <w:u w:val="none"/>
          <w:lang w:eastAsia="zh-CN"/>
          <w14:textFill>
            <w14:solidFill>
              <w14:schemeClr w14:val="tx1"/>
            </w14:solidFill>
          </w14:textFill>
        </w:rPr>
      </w:pP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第二十一条</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 xml:space="preserve"> </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公立医疗机构擅自扩大特需医疗服务范围、</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强制</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提供特需医疗服务、单次服务同时收取基本和特需两项价格项目费用等不符</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合</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价格管理</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政策和本办法有关规定</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的，一经查实，</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由各地医疗保障部门责令其停止实施有关特需服务并</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整改</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，3个月内整改完毕，并视情况在适当范围内予以公布。其中医疗机构实行市场调节价的项目（含特需服务项目和试行期内新增项目）合计数量和总费用所占比例</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以及特需床位数比例</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等超出规定的</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按照超出的项目数、合计费用数和床位数等相应所占的比例数值，</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在下年度开展的特需服务项目</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价格、项目</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数、</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总</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费用</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和</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床位数</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中，均按照同比例</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相应扣减，</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即同比降低其所有</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特需服务项目</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价格，同比</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减少其项目数量和</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总</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费用，将涉及项目</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和</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整改情况报送备案</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，并重新在医疗机构官网上公示，</w:t>
      </w:r>
      <w:r>
        <w:rPr>
          <w:rFonts w:hint="eastAsia" w:ascii="Times New Roman" w:hAnsi="Times New Roman" w:eastAsia="仿宋" w:cs="Nimbus Roman"/>
          <w:b w:val="0"/>
          <w:bCs w:val="0"/>
          <w:color w:val="000000" w:themeColor="text1"/>
          <w:kern w:val="0"/>
          <w:sz w:val="32"/>
          <w:szCs w:val="32"/>
          <w:highlight w:val="none"/>
          <w:u w:val="none"/>
          <w:lang w:eastAsia="zh-CN"/>
          <w14:textFill>
            <w14:solidFill>
              <w14:schemeClr w14:val="tx1"/>
            </w14:solidFill>
          </w14:textFill>
        </w:rPr>
        <w:t>完成整改的可继续开展相关特需服务。</w:t>
      </w:r>
    </w:p>
    <w:p>
      <w:pPr>
        <w:widowControl/>
        <w:numPr>
          <w:ilvl w:val="-1"/>
          <w:numId w:val="0"/>
        </w:numPr>
        <w:spacing w:beforeLines="-2147483648" w:afterLines="-2147483648" w:line="240" w:lineRule="auto"/>
        <w:ind w:firstLine="640" w:firstLineChars="200"/>
        <w:jc w:val="both"/>
        <w:outlineLvl w:val="9"/>
        <w:rPr>
          <w:rFonts w:hint="eastAsia" w:ascii="Times New Roman" w:hAnsi="Times New Roman" w:eastAsia="仿宋" w:cs="Nimbus Roman"/>
          <w:b w:val="0"/>
          <w:bCs w:val="0"/>
          <w:color w:val="000000" w:themeColor="text1"/>
          <w:kern w:val="0"/>
          <w:sz w:val="32"/>
          <w:szCs w:val="32"/>
          <w:highlight w:val="none"/>
          <w:u w:val="none"/>
          <w:lang w:eastAsia="zh-CN"/>
          <w14:textFill>
            <w14:solidFill>
              <w14:schemeClr w14:val="tx1"/>
            </w14:solidFill>
          </w14:textFill>
        </w:rPr>
      </w:pPr>
    </w:p>
    <w:p>
      <w:pPr>
        <w:numPr>
          <w:ilvl w:val="0"/>
          <w:numId w:val="3"/>
        </w:numPr>
        <w:spacing w:beforeLines="0" w:afterLines="0" w:line="600" w:lineRule="exact"/>
        <w:jc w:val="center"/>
        <w:rPr>
          <w:rFonts w:hint="eastAsia" w:ascii="方正小标宋简体" w:hAnsi="方正小标宋简体" w:eastAsia="方正小标宋简体" w:cs="方正小标宋简体"/>
          <w:b w:val="0"/>
          <w:bCs w:val="0"/>
          <w:color w:val="000000" w:themeColor="text1"/>
          <w:kern w:val="0"/>
          <w:sz w:val="32"/>
          <w:szCs w:val="32"/>
          <w:highlight w:val="none"/>
          <w:u w:val="none"/>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32"/>
          <w:szCs w:val="32"/>
          <w:highlight w:val="none"/>
          <w:u w:val="none"/>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kern w:val="0"/>
          <w:sz w:val="32"/>
          <w:szCs w:val="32"/>
          <w:highlight w:val="none"/>
          <w:u w:val="none"/>
          <w14:textFill>
            <w14:solidFill>
              <w14:schemeClr w14:val="tx1"/>
            </w14:solidFill>
          </w14:textFill>
        </w:rPr>
        <w:t>附则</w:t>
      </w:r>
    </w:p>
    <w:p>
      <w:pPr>
        <w:numPr>
          <w:ilvl w:val="-1"/>
          <w:numId w:val="0"/>
        </w:numPr>
        <w:spacing w:beforeLines="0" w:afterLines="0" w:line="600" w:lineRule="exact"/>
        <w:jc w:val="center"/>
        <w:rPr>
          <w:rFonts w:hint="default" w:ascii="Times New Roman" w:hAnsi="Times New Roman" w:eastAsia="黑体" w:cs="Nimbus Roman"/>
          <w:b w:val="0"/>
          <w:bCs w:val="0"/>
          <w:color w:val="000000" w:themeColor="text1"/>
          <w:kern w:val="0"/>
          <w:sz w:val="32"/>
          <w:szCs w:val="32"/>
          <w:highlight w:val="none"/>
          <w:u w:val="none"/>
          <w14:textFill>
            <w14:solidFill>
              <w14:schemeClr w14:val="tx1"/>
            </w14:solidFill>
          </w14:textFill>
        </w:rPr>
      </w:pPr>
    </w:p>
    <w:p>
      <w:pPr>
        <w:keepNext w:val="0"/>
        <w:keepLines w:val="0"/>
        <w:widowControl/>
        <w:suppressLineNumbers w:val="0"/>
        <w:ind w:firstLine="640" w:firstLineChars="200"/>
        <w:jc w:val="both"/>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pPr>
      <w:r>
        <w:rPr>
          <w:rFonts w:hint="eastAsia" w:ascii="Times New Roman" w:hAnsi="Times New Roman" w:eastAsia="黑体" w:cs="Nimbus Roman"/>
          <w:b w:val="0"/>
          <w:bCs w:val="0"/>
          <w:color w:val="000000" w:themeColor="text1"/>
          <w:kern w:val="0"/>
          <w:sz w:val="32"/>
          <w:szCs w:val="32"/>
          <w:highlight w:val="none"/>
          <w:u w:val="none"/>
          <w:lang w:eastAsia="zh-CN"/>
          <w14:textFill>
            <w14:solidFill>
              <w14:schemeClr w14:val="tx1"/>
            </w14:solidFill>
          </w14:textFill>
        </w:rPr>
        <w:t>第二十</w:t>
      </w:r>
      <w:r>
        <w:rPr>
          <w:rFonts w:hint="eastAsia" w:ascii="Times New Roman" w:hAnsi="Times New Roman" w:eastAsia="黑体" w:cs="Nimbus Roman"/>
          <w:b w:val="0"/>
          <w:bCs w:val="0"/>
          <w:color w:val="000000" w:themeColor="text1"/>
          <w:kern w:val="0"/>
          <w:sz w:val="32"/>
          <w:szCs w:val="32"/>
          <w:highlight w:val="none"/>
          <w:u w:val="none"/>
          <w:lang w:val="en-US" w:eastAsia="zh-CN"/>
          <w14:textFill>
            <w14:solidFill>
              <w14:schemeClr w14:val="tx1"/>
            </w14:solidFill>
          </w14:textFill>
        </w:rPr>
        <w:t>二</w:t>
      </w:r>
      <w:r>
        <w:rPr>
          <w:rFonts w:hint="eastAsia" w:ascii="Times New Roman" w:hAnsi="Times New Roman" w:eastAsia="黑体" w:cs="Nimbus Roman"/>
          <w:b w:val="0"/>
          <w:bCs w:val="0"/>
          <w:color w:val="000000" w:themeColor="text1"/>
          <w:kern w:val="0"/>
          <w:sz w:val="32"/>
          <w:szCs w:val="32"/>
          <w:highlight w:val="none"/>
          <w:u w:val="none"/>
          <w:lang w:eastAsia="zh-CN"/>
          <w14:textFill>
            <w14:solidFill>
              <w14:schemeClr w14:val="tx1"/>
            </w14:solidFill>
          </w14:textFill>
        </w:rPr>
        <w:t>条</w:t>
      </w:r>
      <w:r>
        <w:rPr>
          <w:rFonts w:hint="eastAsia" w:ascii="Times New Roman" w:hAnsi="Times New Roman" w:eastAsia="黑体" w:cs="Nimbus Roman"/>
          <w:b w:val="0"/>
          <w:bCs w:val="0"/>
          <w:color w:val="000000" w:themeColor="text1"/>
          <w:kern w:val="0"/>
          <w:sz w:val="32"/>
          <w:szCs w:val="32"/>
          <w:highlight w:val="none"/>
          <w:u w:val="none"/>
          <w:lang w:val="en-US" w:eastAsia="zh-CN"/>
          <w14:textFill>
            <w14:solidFill>
              <w14:schemeClr w14:val="tx1"/>
            </w14:solidFill>
          </w14:textFill>
        </w:rPr>
        <w:t xml:space="preserve"> </w:t>
      </w:r>
      <w:r>
        <w:rPr>
          <w:rFonts w:hint="eastAsia"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 xml:space="preserve"> </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地级以上市医保部门可根据当地实际情况，依据本暂行办法制定实施细则，具体组织开展特需服务项目和价格管理工作。</w:t>
      </w:r>
    </w:p>
    <w:p>
      <w:pPr>
        <w:keepNext w:val="0"/>
        <w:keepLines w:val="0"/>
        <w:widowControl/>
        <w:suppressLineNumbers w:val="0"/>
        <w:ind w:firstLine="640" w:firstLineChars="200"/>
        <w:jc w:val="both"/>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pPr>
      <w:r>
        <w:rPr>
          <w:rFonts w:hint="eastAsia" w:ascii="Times New Roman" w:hAnsi="Times New Roman" w:eastAsia="黑体" w:cs="Nimbus Roman"/>
          <w:b w:val="0"/>
          <w:bCs w:val="0"/>
          <w:color w:val="000000" w:themeColor="text1"/>
          <w:kern w:val="0"/>
          <w:sz w:val="32"/>
          <w:szCs w:val="32"/>
          <w:highlight w:val="none"/>
          <w:u w:val="none"/>
          <w:lang w:val="en-US" w:eastAsia="zh-CN" w:bidi="ar-SA"/>
          <w14:textFill>
            <w14:solidFill>
              <w14:schemeClr w14:val="tx1"/>
            </w14:solidFill>
          </w14:textFill>
        </w:rPr>
        <w:t>第二十三条</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 xml:space="preserve">  非营利性非公立定点医疗机构可参照本暂行办法执行。</w:t>
      </w:r>
    </w:p>
    <w:p>
      <w:pPr>
        <w:spacing w:beforeLines="0" w:afterLines="0" w:line="600" w:lineRule="exact"/>
        <w:ind w:firstLine="640" w:firstLineChars="200"/>
        <w:jc w:val="both"/>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pPr>
      <w:r>
        <w:rPr>
          <w:rFonts w:hint="default" w:ascii="Times New Roman" w:hAnsi="Times New Roman" w:eastAsia="黑体" w:cs="Nimbus Roman"/>
          <w:b w:val="0"/>
          <w:bCs w:val="0"/>
          <w:color w:val="000000" w:themeColor="text1"/>
          <w:kern w:val="0"/>
          <w:sz w:val="32"/>
          <w:szCs w:val="32"/>
          <w:highlight w:val="none"/>
          <w:u w:val="none"/>
          <w:lang w:val="en-US" w:eastAsia="zh-CN"/>
          <w14:textFill>
            <w14:solidFill>
              <w14:schemeClr w14:val="tx1"/>
            </w14:solidFill>
          </w14:textFill>
        </w:rPr>
        <w:t>第</w:t>
      </w:r>
      <w:r>
        <w:rPr>
          <w:rFonts w:hint="eastAsia" w:ascii="Times New Roman" w:hAnsi="Times New Roman" w:eastAsia="黑体" w:cs="Nimbus Roman"/>
          <w:b w:val="0"/>
          <w:bCs w:val="0"/>
          <w:color w:val="000000" w:themeColor="text1"/>
          <w:kern w:val="0"/>
          <w:sz w:val="32"/>
          <w:szCs w:val="32"/>
          <w:highlight w:val="none"/>
          <w:u w:val="none"/>
          <w:lang w:val="en-US" w:eastAsia="zh-CN"/>
          <w14:textFill>
            <w14:solidFill>
              <w14:schemeClr w14:val="tx1"/>
            </w14:solidFill>
          </w14:textFill>
        </w:rPr>
        <w:t>二十四</w:t>
      </w:r>
      <w:r>
        <w:rPr>
          <w:rFonts w:hint="default" w:ascii="Times New Roman" w:hAnsi="Times New Roman" w:eastAsia="黑体" w:cs="Nimbus Roman"/>
          <w:b w:val="0"/>
          <w:bCs w:val="0"/>
          <w:color w:val="000000" w:themeColor="text1"/>
          <w:kern w:val="0"/>
          <w:sz w:val="32"/>
          <w:szCs w:val="32"/>
          <w:highlight w:val="none"/>
          <w:u w:val="none"/>
          <w:lang w:val="en-US" w:eastAsia="zh-CN"/>
          <w14:textFill>
            <w14:solidFill>
              <w14:schemeClr w14:val="tx1"/>
            </w14:solidFill>
          </w14:textFill>
        </w:rPr>
        <w:t>条</w:t>
      </w:r>
      <w:r>
        <w:rPr>
          <w:rFonts w:hint="default" w:ascii="Times New Roman" w:hAnsi="Times New Roman" w:eastAsia="黑体" w:cs="Nimbus Roman"/>
          <w:b w:val="0"/>
          <w:bCs w:val="0"/>
          <w:color w:val="000000" w:themeColor="text1"/>
          <w:kern w:val="0"/>
          <w:sz w:val="32"/>
          <w:szCs w:val="32"/>
          <w:highlight w:val="none"/>
          <w:u w:val="none"/>
          <w:lang w:val="en" w:eastAsia="zh-CN"/>
          <w14:textFill>
            <w14:solidFill>
              <w14:schemeClr w14:val="tx1"/>
            </w14:solidFill>
          </w14:textFill>
        </w:rPr>
        <w:t xml:space="preserve"> </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 xml:space="preserve"> </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本办法自</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2023年</w:t>
      </w:r>
      <w:r>
        <w:rPr>
          <w:rFonts w:hint="eastAsia"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 xml:space="preserve"> </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月</w:t>
      </w:r>
      <w:r>
        <w:rPr>
          <w:rFonts w:hint="eastAsia"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 xml:space="preserve"> </w:t>
      </w: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日</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起</w:t>
      </w:r>
      <w:r>
        <w:rPr>
          <w:rFonts w:hint="default" w:ascii="Times New Roman" w:hAnsi="Times New Roman" w:eastAsia="仿宋" w:cs="Nimbus Roman"/>
          <w:b w:val="0"/>
          <w:bCs w:val="0"/>
          <w:color w:val="000000" w:themeColor="text1"/>
          <w:kern w:val="0"/>
          <w:sz w:val="32"/>
          <w:szCs w:val="32"/>
          <w:highlight w:val="none"/>
          <w:u w:val="none"/>
          <w:lang w:eastAsia="zh-CN"/>
          <w14:textFill>
            <w14:solidFill>
              <w14:schemeClr w14:val="tx1"/>
            </w14:solidFill>
          </w14:textFill>
        </w:rPr>
        <w:t>实行</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，有效期</w:t>
      </w:r>
      <w:r>
        <w:rPr>
          <w:rFonts w:hint="eastAsia"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3</w:t>
      </w:r>
      <w:r>
        <w:rPr>
          <w:rFonts w:hint="default" w:ascii="Times New Roman" w:hAnsi="Times New Roman" w:eastAsia="仿宋" w:cs="Nimbus Roman"/>
          <w:b w:val="0"/>
          <w:bCs w:val="0"/>
          <w:color w:val="000000" w:themeColor="text1"/>
          <w:kern w:val="0"/>
          <w:sz w:val="32"/>
          <w:szCs w:val="32"/>
          <w:highlight w:val="none"/>
          <w:u w:val="none"/>
          <w14:textFill>
            <w14:solidFill>
              <w14:schemeClr w14:val="tx1"/>
            </w14:solidFill>
          </w14:textFill>
        </w:rPr>
        <w:t>年，由广东省医疗保障局负责解释。</w:t>
      </w:r>
    </w:p>
    <w:p>
      <w:pPr>
        <w:numPr>
          <w:ilvl w:val="0"/>
          <w:numId w:val="0"/>
        </w:numPr>
        <w:spacing w:beforeLines="0" w:afterLines="0" w:line="600" w:lineRule="exact"/>
        <w:ind w:firstLine="0" w:firstLineChars="0"/>
        <w:jc w:val="both"/>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pPr>
    </w:p>
    <w:p>
      <w:pPr>
        <w:pStyle w:val="6"/>
        <w:keepNext w:val="0"/>
        <w:keepLines w:val="0"/>
        <w:widowControl/>
        <w:suppressLineNumbers w:val="0"/>
        <w:spacing w:before="0" w:beforeAutospacing="0" w:after="0" w:afterAutospacing="0" w:line="600" w:lineRule="exact"/>
        <w:ind w:left="1598" w:leftChars="304" w:right="0" w:hanging="960" w:hangingChars="300"/>
        <w:rPr>
          <w:rFonts w:hint="default" w:ascii="Times New Roman" w:hAnsi="Times New Roman" w:eastAsia="仿宋" w:cs="Nimbus Roman"/>
          <w:b w:val="0"/>
          <w:bCs w:val="0"/>
          <w:color w:val="000000" w:themeColor="text1"/>
          <w:sz w:val="32"/>
          <w:szCs w:val="32"/>
          <w:highlight w:val="none"/>
          <w:u w:val="none"/>
          <w14:textFill>
            <w14:solidFill>
              <w14:schemeClr w14:val="tx1"/>
            </w14:solidFill>
          </w14:textFill>
        </w:rPr>
      </w:pPr>
      <w:r>
        <w:rPr>
          <w:rFonts w:hint="default"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附件：</w:t>
      </w:r>
      <w:r>
        <w:rPr>
          <w:rFonts w:hint="eastAsia"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1</w:t>
      </w:r>
      <w:r>
        <w:rPr>
          <w:rFonts w:hint="eastAsia" w:ascii="Times New Roman" w:hAnsi="Times New Roman" w:eastAsia="仿宋" w:cs="Nimbus Roman"/>
          <w:b w:val="0"/>
          <w:bCs w:val="0"/>
          <w:color w:val="000000" w:themeColor="text1"/>
          <w:sz w:val="32"/>
          <w:szCs w:val="32"/>
          <w:highlight w:val="none"/>
          <w:u w:val="none"/>
          <w:lang w:val="en-US" w:eastAsia="zh-CN"/>
          <w14:textFill>
            <w14:solidFill>
              <w14:schemeClr w14:val="tx1"/>
            </w14:solidFill>
          </w14:textFill>
        </w:rPr>
        <w:t>.</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（医疗机构）</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特需服务项目</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和价格公示（</w:t>
      </w:r>
      <w:r>
        <w:rPr>
          <w:rFonts w:hint="default"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备案</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）清单</w:t>
      </w:r>
    </w:p>
    <w:p>
      <w:pPr>
        <w:pStyle w:val="6"/>
        <w:widowControl/>
        <w:ind w:firstLine="1600" w:firstLineChars="500"/>
        <w:rPr>
          <w:rFonts w:hint="eastAsia" w:ascii="Times New Roman" w:hAnsi="Times New Roman" w:eastAsia="仿宋" w:cs="Nimbus Roman"/>
          <w:b w:val="0"/>
          <w:bCs w:val="0"/>
          <w:color w:val="000000" w:themeColor="text1"/>
          <w:kern w:val="0"/>
          <w:sz w:val="32"/>
          <w:szCs w:val="32"/>
          <w:highlight w:val="none"/>
          <w:u w:val="none"/>
          <w:lang w:eastAsia="zh-CN"/>
          <w14:textFill>
            <w14:solidFill>
              <w14:schemeClr w14:val="tx1"/>
            </w14:solidFill>
          </w14:textFill>
        </w:rPr>
      </w:pPr>
      <w:r>
        <w:rPr>
          <w:rFonts w:hint="eastAsia" w:ascii="Times New Roman" w:hAnsi="Times New Roman" w:eastAsia="仿宋" w:cs="Nimbus Roman"/>
          <w:b w:val="0"/>
          <w:bCs w:val="0"/>
          <w:color w:val="000000" w:themeColor="text1"/>
          <w:kern w:val="0"/>
          <w:sz w:val="32"/>
          <w:szCs w:val="32"/>
          <w:highlight w:val="none"/>
          <w:u w:val="none"/>
          <w:lang w:val="en-US" w:eastAsia="zh-CN"/>
          <w14:textFill>
            <w14:solidFill>
              <w14:schemeClr w14:val="tx1"/>
            </w14:solidFill>
          </w14:textFill>
        </w:rPr>
        <w:t>2.</w:t>
      </w:r>
      <w:r>
        <w:rPr>
          <w:rFonts w:hint="eastAsia" w:ascii="Times New Roman" w:hAnsi="Times New Roman" w:eastAsia="仿宋" w:cs="Nimbus Roman"/>
          <w:b w:val="0"/>
          <w:bCs w:val="0"/>
          <w:color w:val="000000" w:themeColor="text1"/>
          <w:kern w:val="0"/>
          <w:sz w:val="32"/>
          <w:szCs w:val="32"/>
          <w:highlight w:val="none"/>
          <w:u w:val="none"/>
          <w:lang w:val="en-US" w:eastAsia="zh-CN" w:bidi="ar-SA"/>
          <w14:textFill>
            <w14:solidFill>
              <w14:schemeClr w14:val="tx1"/>
            </w14:solidFill>
          </w14:textFill>
        </w:rPr>
        <w:t>特需服务项目价格测算表</w:t>
      </w:r>
    </w:p>
    <w:sectPr>
      <w:footerReference r:id="rId3" w:type="default"/>
      <w:pgSz w:w="11906" w:h="16838"/>
      <w:pgMar w:top="2098" w:right="1587" w:bottom="209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Nimbus Roman">
    <w:altName w:val="Segoe Print"/>
    <w:panose1 w:val="00000500000000000000"/>
    <w:charset w:val="00"/>
    <w:family w:val="auto"/>
    <w:pitch w:val="default"/>
    <w:sig w:usb0="00000000" w:usb1="00000000" w:usb2="00000000" w:usb3="00000000" w:csb0="6000009F"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黑体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7ED9F9"/>
    <w:multiLevelType w:val="singleLevel"/>
    <w:tmpl w:val="D77ED9F9"/>
    <w:lvl w:ilvl="0" w:tentative="0">
      <w:start w:val="5"/>
      <w:numFmt w:val="chineseCounting"/>
      <w:suff w:val="space"/>
      <w:lvlText w:val="第%1章"/>
      <w:lvlJc w:val="left"/>
      <w:rPr>
        <w:rFonts w:hint="eastAsia"/>
      </w:rPr>
    </w:lvl>
  </w:abstractNum>
  <w:abstractNum w:abstractNumId="1">
    <w:nsid w:val="F7FE2946"/>
    <w:multiLevelType w:val="singleLevel"/>
    <w:tmpl w:val="F7FE2946"/>
    <w:lvl w:ilvl="0" w:tentative="0">
      <w:start w:val="6"/>
      <w:numFmt w:val="chineseCounting"/>
      <w:suff w:val="space"/>
      <w:lvlText w:val="第%1章"/>
      <w:lvlJc w:val="left"/>
      <w:rPr>
        <w:rFonts w:hint="eastAsia"/>
      </w:rPr>
    </w:lvl>
  </w:abstractNum>
  <w:abstractNum w:abstractNumId="2">
    <w:nsid w:val="FBFFD9BF"/>
    <w:multiLevelType w:val="singleLevel"/>
    <w:tmpl w:val="FBFFD9BF"/>
    <w:lvl w:ilvl="0" w:tentative="0">
      <w:start w:val="2"/>
      <w:numFmt w:val="chineseCounting"/>
      <w:suff w:val="space"/>
      <w:lvlText w:val="第%1章"/>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1Y2Y4ZWVmNDMwZmY3ZjdmN2U0M2NiODIzMzhhMzAifQ=="/>
  </w:docVars>
  <w:rsids>
    <w:rsidRoot w:val="008E0414"/>
    <w:rsid w:val="000520A7"/>
    <w:rsid w:val="00060EAF"/>
    <w:rsid w:val="000E01B6"/>
    <w:rsid w:val="00107673"/>
    <w:rsid w:val="001407B9"/>
    <w:rsid w:val="00153DB9"/>
    <w:rsid w:val="001C3F3B"/>
    <w:rsid w:val="002A10D7"/>
    <w:rsid w:val="002B147F"/>
    <w:rsid w:val="002B4E44"/>
    <w:rsid w:val="002D2C91"/>
    <w:rsid w:val="00374DE7"/>
    <w:rsid w:val="00385154"/>
    <w:rsid w:val="003F2EAB"/>
    <w:rsid w:val="004A2DD9"/>
    <w:rsid w:val="004F3F81"/>
    <w:rsid w:val="005A2F6B"/>
    <w:rsid w:val="005E07E2"/>
    <w:rsid w:val="00611BF8"/>
    <w:rsid w:val="006848D4"/>
    <w:rsid w:val="006F672D"/>
    <w:rsid w:val="00701A84"/>
    <w:rsid w:val="0070639B"/>
    <w:rsid w:val="00725197"/>
    <w:rsid w:val="007311B8"/>
    <w:rsid w:val="007942D7"/>
    <w:rsid w:val="007D53E3"/>
    <w:rsid w:val="00814CF7"/>
    <w:rsid w:val="00830B66"/>
    <w:rsid w:val="00893FBD"/>
    <w:rsid w:val="008E0414"/>
    <w:rsid w:val="008E48DE"/>
    <w:rsid w:val="00916A61"/>
    <w:rsid w:val="00917FF5"/>
    <w:rsid w:val="009C6DAA"/>
    <w:rsid w:val="009E2760"/>
    <w:rsid w:val="00A00829"/>
    <w:rsid w:val="00A50D46"/>
    <w:rsid w:val="00A5585A"/>
    <w:rsid w:val="00A847CA"/>
    <w:rsid w:val="00AD66F7"/>
    <w:rsid w:val="00AD7B39"/>
    <w:rsid w:val="00AF240E"/>
    <w:rsid w:val="00B576A8"/>
    <w:rsid w:val="00B75044"/>
    <w:rsid w:val="00BB0FCA"/>
    <w:rsid w:val="00BB6A87"/>
    <w:rsid w:val="00BC3B5D"/>
    <w:rsid w:val="00BD4197"/>
    <w:rsid w:val="00BE187C"/>
    <w:rsid w:val="00BF629E"/>
    <w:rsid w:val="00C6523F"/>
    <w:rsid w:val="00C70C60"/>
    <w:rsid w:val="00C94DE4"/>
    <w:rsid w:val="00D14E90"/>
    <w:rsid w:val="00D2321E"/>
    <w:rsid w:val="00D7769A"/>
    <w:rsid w:val="00D832FB"/>
    <w:rsid w:val="00D85D29"/>
    <w:rsid w:val="00DB7DF6"/>
    <w:rsid w:val="00E71E5F"/>
    <w:rsid w:val="00E80C61"/>
    <w:rsid w:val="00E80E13"/>
    <w:rsid w:val="00E92E34"/>
    <w:rsid w:val="00EB7901"/>
    <w:rsid w:val="00ED3C1F"/>
    <w:rsid w:val="00ED65F6"/>
    <w:rsid w:val="00F61C2E"/>
    <w:rsid w:val="00F87008"/>
    <w:rsid w:val="00FA3C7B"/>
    <w:rsid w:val="00FB771B"/>
    <w:rsid w:val="00FE05E8"/>
    <w:rsid w:val="015B110C"/>
    <w:rsid w:val="01783EBE"/>
    <w:rsid w:val="01CD0E3F"/>
    <w:rsid w:val="029D6265"/>
    <w:rsid w:val="02E070C5"/>
    <w:rsid w:val="02EE1766"/>
    <w:rsid w:val="03061C92"/>
    <w:rsid w:val="03284CA3"/>
    <w:rsid w:val="0330130F"/>
    <w:rsid w:val="040B3950"/>
    <w:rsid w:val="04AA0360"/>
    <w:rsid w:val="052A0AB7"/>
    <w:rsid w:val="05B57E53"/>
    <w:rsid w:val="05D13A66"/>
    <w:rsid w:val="069C2764"/>
    <w:rsid w:val="06DB57CD"/>
    <w:rsid w:val="07097775"/>
    <w:rsid w:val="071F2B16"/>
    <w:rsid w:val="07342E6B"/>
    <w:rsid w:val="07696A4A"/>
    <w:rsid w:val="076B467E"/>
    <w:rsid w:val="07DFEA3B"/>
    <w:rsid w:val="07F40D05"/>
    <w:rsid w:val="08017406"/>
    <w:rsid w:val="08065580"/>
    <w:rsid w:val="082D266E"/>
    <w:rsid w:val="088D7D2E"/>
    <w:rsid w:val="08BB40AF"/>
    <w:rsid w:val="090D3910"/>
    <w:rsid w:val="09B32754"/>
    <w:rsid w:val="09BB6E89"/>
    <w:rsid w:val="09D648E4"/>
    <w:rsid w:val="0A4F7761"/>
    <w:rsid w:val="0A6121E6"/>
    <w:rsid w:val="0A636748"/>
    <w:rsid w:val="0AC16BE2"/>
    <w:rsid w:val="0B46052F"/>
    <w:rsid w:val="0BB31703"/>
    <w:rsid w:val="0BDF212C"/>
    <w:rsid w:val="0C9C0FE5"/>
    <w:rsid w:val="0CBF653C"/>
    <w:rsid w:val="0CE854B3"/>
    <w:rsid w:val="0CEB520F"/>
    <w:rsid w:val="0CEE4203"/>
    <w:rsid w:val="0D4E35E3"/>
    <w:rsid w:val="0D5D0F5F"/>
    <w:rsid w:val="0D5E2469"/>
    <w:rsid w:val="0D651A0C"/>
    <w:rsid w:val="0DA13A3A"/>
    <w:rsid w:val="0DEF73DD"/>
    <w:rsid w:val="0E572E64"/>
    <w:rsid w:val="0ED1693D"/>
    <w:rsid w:val="0F7E13CC"/>
    <w:rsid w:val="0FA47B58"/>
    <w:rsid w:val="0FD56BBF"/>
    <w:rsid w:val="0FE1424F"/>
    <w:rsid w:val="102704C0"/>
    <w:rsid w:val="105B4099"/>
    <w:rsid w:val="1061739E"/>
    <w:rsid w:val="107E75CA"/>
    <w:rsid w:val="10AE1A4E"/>
    <w:rsid w:val="11616685"/>
    <w:rsid w:val="117D1354"/>
    <w:rsid w:val="11E90FC8"/>
    <w:rsid w:val="11F51816"/>
    <w:rsid w:val="123F4201"/>
    <w:rsid w:val="1282243F"/>
    <w:rsid w:val="12B928D9"/>
    <w:rsid w:val="13501E79"/>
    <w:rsid w:val="137C6AD7"/>
    <w:rsid w:val="139341A3"/>
    <w:rsid w:val="13F7110C"/>
    <w:rsid w:val="14FE1436"/>
    <w:rsid w:val="15253E18"/>
    <w:rsid w:val="15827D0F"/>
    <w:rsid w:val="159E7854"/>
    <w:rsid w:val="15C355FF"/>
    <w:rsid w:val="171B5ED0"/>
    <w:rsid w:val="17A917E0"/>
    <w:rsid w:val="17FA23BC"/>
    <w:rsid w:val="18671D78"/>
    <w:rsid w:val="18F01015"/>
    <w:rsid w:val="190F6258"/>
    <w:rsid w:val="192836AD"/>
    <w:rsid w:val="193F7A9A"/>
    <w:rsid w:val="19C24618"/>
    <w:rsid w:val="19F5A7A6"/>
    <w:rsid w:val="1A3C303C"/>
    <w:rsid w:val="1A562F0E"/>
    <w:rsid w:val="1A7B06D2"/>
    <w:rsid w:val="1A99250F"/>
    <w:rsid w:val="1AF50AB1"/>
    <w:rsid w:val="1B1C3F36"/>
    <w:rsid w:val="1B270790"/>
    <w:rsid w:val="1B4B660F"/>
    <w:rsid w:val="1B8320B1"/>
    <w:rsid w:val="1BE848FB"/>
    <w:rsid w:val="1C2C1B85"/>
    <w:rsid w:val="1C3724EC"/>
    <w:rsid w:val="1C4E0D6A"/>
    <w:rsid w:val="1C6A027B"/>
    <w:rsid w:val="1CC1415E"/>
    <w:rsid w:val="1CCB0086"/>
    <w:rsid w:val="1D043562"/>
    <w:rsid w:val="1D057FF3"/>
    <w:rsid w:val="1DDF46EA"/>
    <w:rsid w:val="1DFF47B7"/>
    <w:rsid w:val="1E6F3994"/>
    <w:rsid w:val="1E7362BA"/>
    <w:rsid w:val="1E7F010E"/>
    <w:rsid w:val="1EA35103"/>
    <w:rsid w:val="1EC91178"/>
    <w:rsid w:val="1EDE369E"/>
    <w:rsid w:val="1EE47F71"/>
    <w:rsid w:val="1EE83567"/>
    <w:rsid w:val="1F032F9B"/>
    <w:rsid w:val="1F400549"/>
    <w:rsid w:val="1F872E0E"/>
    <w:rsid w:val="1FD25948"/>
    <w:rsid w:val="1FE62218"/>
    <w:rsid w:val="1FEF23CD"/>
    <w:rsid w:val="1FF34BAF"/>
    <w:rsid w:val="1FFB75B5"/>
    <w:rsid w:val="20000F1E"/>
    <w:rsid w:val="20644CB5"/>
    <w:rsid w:val="20821A87"/>
    <w:rsid w:val="20883B50"/>
    <w:rsid w:val="209C5E97"/>
    <w:rsid w:val="20D03B53"/>
    <w:rsid w:val="20DD5499"/>
    <w:rsid w:val="20F451E7"/>
    <w:rsid w:val="212F0E90"/>
    <w:rsid w:val="215B6015"/>
    <w:rsid w:val="22517E96"/>
    <w:rsid w:val="22B049D5"/>
    <w:rsid w:val="22FC241A"/>
    <w:rsid w:val="232E24D7"/>
    <w:rsid w:val="2336658B"/>
    <w:rsid w:val="240D5035"/>
    <w:rsid w:val="241C1433"/>
    <w:rsid w:val="242B1941"/>
    <w:rsid w:val="24336563"/>
    <w:rsid w:val="24393EFF"/>
    <w:rsid w:val="244A1834"/>
    <w:rsid w:val="2487191D"/>
    <w:rsid w:val="24A62BB4"/>
    <w:rsid w:val="24DE3032"/>
    <w:rsid w:val="24E43B43"/>
    <w:rsid w:val="2538570C"/>
    <w:rsid w:val="25A06B4F"/>
    <w:rsid w:val="264A53A2"/>
    <w:rsid w:val="26706597"/>
    <w:rsid w:val="26B81FE6"/>
    <w:rsid w:val="26EFE6F6"/>
    <w:rsid w:val="2701643D"/>
    <w:rsid w:val="272C3028"/>
    <w:rsid w:val="275B12FD"/>
    <w:rsid w:val="27AC7620"/>
    <w:rsid w:val="27AF4A3A"/>
    <w:rsid w:val="27F46FBD"/>
    <w:rsid w:val="28032BDB"/>
    <w:rsid w:val="28180C8B"/>
    <w:rsid w:val="28CFEC77"/>
    <w:rsid w:val="28D70B46"/>
    <w:rsid w:val="290D7780"/>
    <w:rsid w:val="295029F3"/>
    <w:rsid w:val="2A210639"/>
    <w:rsid w:val="2B8735E2"/>
    <w:rsid w:val="2BBD6E45"/>
    <w:rsid w:val="2BD23157"/>
    <w:rsid w:val="2CA6182F"/>
    <w:rsid w:val="2CD07672"/>
    <w:rsid w:val="2D5369F0"/>
    <w:rsid w:val="2D656FA1"/>
    <w:rsid w:val="2D8074D7"/>
    <w:rsid w:val="2D855DB6"/>
    <w:rsid w:val="2D8E754E"/>
    <w:rsid w:val="2DB075BB"/>
    <w:rsid w:val="2DEE2BBA"/>
    <w:rsid w:val="2E0B0C4E"/>
    <w:rsid w:val="2E534ACF"/>
    <w:rsid w:val="2EE046A0"/>
    <w:rsid w:val="2F6116E9"/>
    <w:rsid w:val="2F652621"/>
    <w:rsid w:val="2FCE3593"/>
    <w:rsid w:val="2FEF8EBE"/>
    <w:rsid w:val="302303C6"/>
    <w:rsid w:val="30CA1548"/>
    <w:rsid w:val="311E4B25"/>
    <w:rsid w:val="31305BED"/>
    <w:rsid w:val="313179E5"/>
    <w:rsid w:val="3133317F"/>
    <w:rsid w:val="31455526"/>
    <w:rsid w:val="314910F0"/>
    <w:rsid w:val="316537D7"/>
    <w:rsid w:val="316C702C"/>
    <w:rsid w:val="31893681"/>
    <w:rsid w:val="3221539A"/>
    <w:rsid w:val="327E5F3A"/>
    <w:rsid w:val="337A5AED"/>
    <w:rsid w:val="337B6437"/>
    <w:rsid w:val="33D046E3"/>
    <w:rsid w:val="33DB6926"/>
    <w:rsid w:val="33E32265"/>
    <w:rsid w:val="33F73242"/>
    <w:rsid w:val="33FBF0FD"/>
    <w:rsid w:val="34314D76"/>
    <w:rsid w:val="345B7894"/>
    <w:rsid w:val="347B303A"/>
    <w:rsid w:val="349941BD"/>
    <w:rsid w:val="34D86762"/>
    <w:rsid w:val="34E529E9"/>
    <w:rsid w:val="356162E5"/>
    <w:rsid w:val="3568669C"/>
    <w:rsid w:val="35C07CC5"/>
    <w:rsid w:val="362C4859"/>
    <w:rsid w:val="3646537F"/>
    <w:rsid w:val="364E5D40"/>
    <w:rsid w:val="3654499D"/>
    <w:rsid w:val="36A946C5"/>
    <w:rsid w:val="36BBB918"/>
    <w:rsid w:val="36CE2207"/>
    <w:rsid w:val="36FC4F8A"/>
    <w:rsid w:val="3747388E"/>
    <w:rsid w:val="3763167A"/>
    <w:rsid w:val="37B3404F"/>
    <w:rsid w:val="37B7C765"/>
    <w:rsid w:val="37BE0851"/>
    <w:rsid w:val="37C5264D"/>
    <w:rsid w:val="37FA542F"/>
    <w:rsid w:val="3800502B"/>
    <w:rsid w:val="382B52C9"/>
    <w:rsid w:val="384A244C"/>
    <w:rsid w:val="38CA01EF"/>
    <w:rsid w:val="38DB631B"/>
    <w:rsid w:val="38F83153"/>
    <w:rsid w:val="391E5C1F"/>
    <w:rsid w:val="398308ED"/>
    <w:rsid w:val="3A16285A"/>
    <w:rsid w:val="3A1D1563"/>
    <w:rsid w:val="3AF90367"/>
    <w:rsid w:val="3B415E6E"/>
    <w:rsid w:val="3BA012A1"/>
    <w:rsid w:val="3C2077FA"/>
    <w:rsid w:val="3C38249A"/>
    <w:rsid w:val="3C972E5F"/>
    <w:rsid w:val="3CBE139B"/>
    <w:rsid w:val="3CCC34E0"/>
    <w:rsid w:val="3CFB340B"/>
    <w:rsid w:val="3D031E2F"/>
    <w:rsid w:val="3DC807B7"/>
    <w:rsid w:val="3DEE0470"/>
    <w:rsid w:val="3DF21866"/>
    <w:rsid w:val="3E0A0519"/>
    <w:rsid w:val="3E1D41F9"/>
    <w:rsid w:val="3E551ABF"/>
    <w:rsid w:val="3E5D1499"/>
    <w:rsid w:val="3E7F1491"/>
    <w:rsid w:val="3E9F57FF"/>
    <w:rsid w:val="3ED55862"/>
    <w:rsid w:val="3EDEBA39"/>
    <w:rsid w:val="3EE17509"/>
    <w:rsid w:val="3EE7849B"/>
    <w:rsid w:val="3F47531B"/>
    <w:rsid w:val="3F5C0E65"/>
    <w:rsid w:val="3F673DF6"/>
    <w:rsid w:val="3F6DC8FF"/>
    <w:rsid w:val="3F7E3C7E"/>
    <w:rsid w:val="3F97D65F"/>
    <w:rsid w:val="3F9811D0"/>
    <w:rsid w:val="3FAAEF51"/>
    <w:rsid w:val="3FB1A832"/>
    <w:rsid w:val="3FBC50AB"/>
    <w:rsid w:val="3FDF0B75"/>
    <w:rsid w:val="3FDFE917"/>
    <w:rsid w:val="3FFAEF04"/>
    <w:rsid w:val="3FFD8A79"/>
    <w:rsid w:val="403C0087"/>
    <w:rsid w:val="40EE099D"/>
    <w:rsid w:val="410C6AB9"/>
    <w:rsid w:val="41123BB2"/>
    <w:rsid w:val="41132C3A"/>
    <w:rsid w:val="41C62004"/>
    <w:rsid w:val="41DB436F"/>
    <w:rsid w:val="41E12475"/>
    <w:rsid w:val="4287302E"/>
    <w:rsid w:val="42887BFF"/>
    <w:rsid w:val="429917CA"/>
    <w:rsid w:val="43002B09"/>
    <w:rsid w:val="43206AEF"/>
    <w:rsid w:val="433B38D6"/>
    <w:rsid w:val="43515A2F"/>
    <w:rsid w:val="43D62006"/>
    <w:rsid w:val="440F48C1"/>
    <w:rsid w:val="44995A05"/>
    <w:rsid w:val="44D011F8"/>
    <w:rsid w:val="44EA35B2"/>
    <w:rsid w:val="44EB4EFC"/>
    <w:rsid w:val="451C1F71"/>
    <w:rsid w:val="4598029A"/>
    <w:rsid w:val="45AF7EC9"/>
    <w:rsid w:val="45F82FDC"/>
    <w:rsid w:val="460C26DD"/>
    <w:rsid w:val="469A6BBD"/>
    <w:rsid w:val="47BB1518"/>
    <w:rsid w:val="47CC58C3"/>
    <w:rsid w:val="47E43E67"/>
    <w:rsid w:val="47FF4F2A"/>
    <w:rsid w:val="4831431E"/>
    <w:rsid w:val="48775FDA"/>
    <w:rsid w:val="48C1304F"/>
    <w:rsid w:val="48D62D93"/>
    <w:rsid w:val="49044322"/>
    <w:rsid w:val="492E785E"/>
    <w:rsid w:val="49433F6F"/>
    <w:rsid w:val="49B2201F"/>
    <w:rsid w:val="4A19523B"/>
    <w:rsid w:val="4A5D25EE"/>
    <w:rsid w:val="4A770569"/>
    <w:rsid w:val="4A9507F7"/>
    <w:rsid w:val="4ACD9B5E"/>
    <w:rsid w:val="4AFD2780"/>
    <w:rsid w:val="4B1F94A4"/>
    <w:rsid w:val="4B4D1DB4"/>
    <w:rsid w:val="4B6A1E52"/>
    <w:rsid w:val="4B6C6AE2"/>
    <w:rsid w:val="4B794EE0"/>
    <w:rsid w:val="4BD8550F"/>
    <w:rsid w:val="4BF7A530"/>
    <w:rsid w:val="4BFC0F0C"/>
    <w:rsid w:val="4C3348A8"/>
    <w:rsid w:val="4C351458"/>
    <w:rsid w:val="4C486830"/>
    <w:rsid w:val="4C7B48D3"/>
    <w:rsid w:val="4CB53A65"/>
    <w:rsid w:val="4CEB4551"/>
    <w:rsid w:val="4CFE1DB7"/>
    <w:rsid w:val="4CFE6D65"/>
    <w:rsid w:val="4D4B557E"/>
    <w:rsid w:val="4D7B0BC0"/>
    <w:rsid w:val="4D8001E3"/>
    <w:rsid w:val="4DACCC66"/>
    <w:rsid w:val="4DC439D2"/>
    <w:rsid w:val="4DD43EEA"/>
    <w:rsid w:val="4DE70E12"/>
    <w:rsid w:val="4DF56B7A"/>
    <w:rsid w:val="4DF936F8"/>
    <w:rsid w:val="4E1C202A"/>
    <w:rsid w:val="4E2E3BE1"/>
    <w:rsid w:val="4E3D016E"/>
    <w:rsid w:val="4E5419AA"/>
    <w:rsid w:val="4F4D06A7"/>
    <w:rsid w:val="4F6FC330"/>
    <w:rsid w:val="4F8A68BC"/>
    <w:rsid w:val="4F970ACF"/>
    <w:rsid w:val="4FA67BC4"/>
    <w:rsid w:val="4FAB4D03"/>
    <w:rsid w:val="500223CE"/>
    <w:rsid w:val="500B6229"/>
    <w:rsid w:val="5076366F"/>
    <w:rsid w:val="509A4341"/>
    <w:rsid w:val="50A46D89"/>
    <w:rsid w:val="51AF6550"/>
    <w:rsid w:val="51DD4498"/>
    <w:rsid w:val="52975F06"/>
    <w:rsid w:val="52C47B18"/>
    <w:rsid w:val="5332569B"/>
    <w:rsid w:val="535D593D"/>
    <w:rsid w:val="535DC077"/>
    <w:rsid w:val="53724653"/>
    <w:rsid w:val="53772346"/>
    <w:rsid w:val="538F4771"/>
    <w:rsid w:val="53D02200"/>
    <w:rsid w:val="53DFBAB3"/>
    <w:rsid w:val="54040192"/>
    <w:rsid w:val="543E05DD"/>
    <w:rsid w:val="5443406D"/>
    <w:rsid w:val="544A6249"/>
    <w:rsid w:val="545E4EC7"/>
    <w:rsid w:val="54E062ED"/>
    <w:rsid w:val="55361406"/>
    <w:rsid w:val="55462FD8"/>
    <w:rsid w:val="556F3D28"/>
    <w:rsid w:val="55E3746D"/>
    <w:rsid w:val="561D2D01"/>
    <w:rsid w:val="564B6289"/>
    <w:rsid w:val="56CA2D0A"/>
    <w:rsid w:val="56D45A0F"/>
    <w:rsid w:val="570D1831"/>
    <w:rsid w:val="573D3A7D"/>
    <w:rsid w:val="573F68E4"/>
    <w:rsid w:val="57577ECC"/>
    <w:rsid w:val="57DB1DED"/>
    <w:rsid w:val="57FF0400"/>
    <w:rsid w:val="58C36F23"/>
    <w:rsid w:val="597BBF52"/>
    <w:rsid w:val="599D75F6"/>
    <w:rsid w:val="59E81F47"/>
    <w:rsid w:val="59E83B08"/>
    <w:rsid w:val="5A457A25"/>
    <w:rsid w:val="5A5E525B"/>
    <w:rsid w:val="5A6728D5"/>
    <w:rsid w:val="5A699692"/>
    <w:rsid w:val="5AAB656F"/>
    <w:rsid w:val="5ABC513D"/>
    <w:rsid w:val="5AC85001"/>
    <w:rsid w:val="5B2523F0"/>
    <w:rsid w:val="5BE1DE1F"/>
    <w:rsid w:val="5BED5A47"/>
    <w:rsid w:val="5BF64EDA"/>
    <w:rsid w:val="5C201547"/>
    <w:rsid w:val="5C254725"/>
    <w:rsid w:val="5C564C57"/>
    <w:rsid w:val="5C590F6D"/>
    <w:rsid w:val="5C7803C3"/>
    <w:rsid w:val="5C92684D"/>
    <w:rsid w:val="5CAE72E7"/>
    <w:rsid w:val="5CBC5279"/>
    <w:rsid w:val="5CBFCB3A"/>
    <w:rsid w:val="5CE64F60"/>
    <w:rsid w:val="5CE96CB3"/>
    <w:rsid w:val="5CEF3A4D"/>
    <w:rsid w:val="5D6336A9"/>
    <w:rsid w:val="5D79B05C"/>
    <w:rsid w:val="5DAA081D"/>
    <w:rsid w:val="5DAEFDB8"/>
    <w:rsid w:val="5DB49522"/>
    <w:rsid w:val="5DCC5221"/>
    <w:rsid w:val="5DF90E67"/>
    <w:rsid w:val="5DFD63AC"/>
    <w:rsid w:val="5E1838FB"/>
    <w:rsid w:val="5E466290"/>
    <w:rsid w:val="5E502A57"/>
    <w:rsid w:val="5EC062F0"/>
    <w:rsid w:val="5ECD77B0"/>
    <w:rsid w:val="5EEF8D7F"/>
    <w:rsid w:val="5EF2D8BC"/>
    <w:rsid w:val="5EFF179B"/>
    <w:rsid w:val="5F11701E"/>
    <w:rsid w:val="5F180F96"/>
    <w:rsid w:val="5F26B6F6"/>
    <w:rsid w:val="5F2D6AD1"/>
    <w:rsid w:val="5F661F0D"/>
    <w:rsid w:val="5F7A5F72"/>
    <w:rsid w:val="5F7A645A"/>
    <w:rsid w:val="5F9F1AC7"/>
    <w:rsid w:val="5FAF7139"/>
    <w:rsid w:val="5FAFA18A"/>
    <w:rsid w:val="5FE39AC9"/>
    <w:rsid w:val="5FF5A433"/>
    <w:rsid w:val="601944E6"/>
    <w:rsid w:val="601E39CF"/>
    <w:rsid w:val="60944A80"/>
    <w:rsid w:val="6097795A"/>
    <w:rsid w:val="60CC0236"/>
    <w:rsid w:val="614832C9"/>
    <w:rsid w:val="617B7E32"/>
    <w:rsid w:val="619D214C"/>
    <w:rsid w:val="61F93845"/>
    <w:rsid w:val="621F389E"/>
    <w:rsid w:val="622824BA"/>
    <w:rsid w:val="62630C77"/>
    <w:rsid w:val="627476AA"/>
    <w:rsid w:val="62852587"/>
    <w:rsid w:val="62B66AFB"/>
    <w:rsid w:val="62E839D7"/>
    <w:rsid w:val="631E46BD"/>
    <w:rsid w:val="6367633C"/>
    <w:rsid w:val="63692E39"/>
    <w:rsid w:val="63C32286"/>
    <w:rsid w:val="63D06425"/>
    <w:rsid w:val="63EDD229"/>
    <w:rsid w:val="64234335"/>
    <w:rsid w:val="643E4D36"/>
    <w:rsid w:val="64B053FD"/>
    <w:rsid w:val="64D92D95"/>
    <w:rsid w:val="650D5557"/>
    <w:rsid w:val="65392C40"/>
    <w:rsid w:val="65593965"/>
    <w:rsid w:val="6578355C"/>
    <w:rsid w:val="65E655E0"/>
    <w:rsid w:val="660622F3"/>
    <w:rsid w:val="662C285B"/>
    <w:rsid w:val="66E940CD"/>
    <w:rsid w:val="66FFD973"/>
    <w:rsid w:val="66FFDEE8"/>
    <w:rsid w:val="673A3037"/>
    <w:rsid w:val="67515594"/>
    <w:rsid w:val="67893B86"/>
    <w:rsid w:val="679BC152"/>
    <w:rsid w:val="67BBE7A1"/>
    <w:rsid w:val="67CC1BC1"/>
    <w:rsid w:val="67DD0B9C"/>
    <w:rsid w:val="680766FC"/>
    <w:rsid w:val="688836A6"/>
    <w:rsid w:val="689036DF"/>
    <w:rsid w:val="68D606C5"/>
    <w:rsid w:val="68FB2310"/>
    <w:rsid w:val="69185E18"/>
    <w:rsid w:val="69614408"/>
    <w:rsid w:val="69AD3716"/>
    <w:rsid w:val="69B2309D"/>
    <w:rsid w:val="69B62F5A"/>
    <w:rsid w:val="6A0C7937"/>
    <w:rsid w:val="6A60622D"/>
    <w:rsid w:val="6A7A4EF5"/>
    <w:rsid w:val="6AA53C46"/>
    <w:rsid w:val="6B6F61C2"/>
    <w:rsid w:val="6B98317F"/>
    <w:rsid w:val="6BC7310C"/>
    <w:rsid w:val="6BCC69AE"/>
    <w:rsid w:val="6BDE570F"/>
    <w:rsid w:val="6BE82BA3"/>
    <w:rsid w:val="6BF66C67"/>
    <w:rsid w:val="6BFB5859"/>
    <w:rsid w:val="6BFD9B6A"/>
    <w:rsid w:val="6C0C641D"/>
    <w:rsid w:val="6C1C4FC7"/>
    <w:rsid w:val="6C586F28"/>
    <w:rsid w:val="6C6D0B2E"/>
    <w:rsid w:val="6C91013B"/>
    <w:rsid w:val="6C945FCC"/>
    <w:rsid w:val="6CA7D40D"/>
    <w:rsid w:val="6D200940"/>
    <w:rsid w:val="6D92053E"/>
    <w:rsid w:val="6DFEC0CC"/>
    <w:rsid w:val="6DFFFC19"/>
    <w:rsid w:val="6E2030E4"/>
    <w:rsid w:val="6E2C39DF"/>
    <w:rsid w:val="6E4A403E"/>
    <w:rsid w:val="6E786FFE"/>
    <w:rsid w:val="6EAA1BB0"/>
    <w:rsid w:val="6ECC4B08"/>
    <w:rsid w:val="6EF717F9"/>
    <w:rsid w:val="6EFB9534"/>
    <w:rsid w:val="6F020AE9"/>
    <w:rsid w:val="6F2F7322"/>
    <w:rsid w:val="6F5F6A8C"/>
    <w:rsid w:val="6F8A3F3B"/>
    <w:rsid w:val="6F9C3B4C"/>
    <w:rsid w:val="6F9F7C37"/>
    <w:rsid w:val="6FB7C541"/>
    <w:rsid w:val="6FF2E37A"/>
    <w:rsid w:val="6FFF1236"/>
    <w:rsid w:val="70554CFA"/>
    <w:rsid w:val="70B92DA5"/>
    <w:rsid w:val="7164200C"/>
    <w:rsid w:val="71B011EF"/>
    <w:rsid w:val="71B62C38"/>
    <w:rsid w:val="71EA76E3"/>
    <w:rsid w:val="71F02539"/>
    <w:rsid w:val="723E4D80"/>
    <w:rsid w:val="724E0196"/>
    <w:rsid w:val="72796167"/>
    <w:rsid w:val="72A324C8"/>
    <w:rsid w:val="72C358D0"/>
    <w:rsid w:val="72FEFEB3"/>
    <w:rsid w:val="731C5C8F"/>
    <w:rsid w:val="737453A7"/>
    <w:rsid w:val="73954FAF"/>
    <w:rsid w:val="73A98592"/>
    <w:rsid w:val="73BC64A8"/>
    <w:rsid w:val="73BEF2A1"/>
    <w:rsid w:val="73C63E62"/>
    <w:rsid w:val="73E104A1"/>
    <w:rsid w:val="73F680E5"/>
    <w:rsid w:val="73FDEF6D"/>
    <w:rsid w:val="742640F1"/>
    <w:rsid w:val="747D2FD8"/>
    <w:rsid w:val="75091817"/>
    <w:rsid w:val="750B339E"/>
    <w:rsid w:val="75260EDC"/>
    <w:rsid w:val="755D43AC"/>
    <w:rsid w:val="757A15BC"/>
    <w:rsid w:val="759A021C"/>
    <w:rsid w:val="75B7EFAA"/>
    <w:rsid w:val="75CF3BDD"/>
    <w:rsid w:val="75E67C4E"/>
    <w:rsid w:val="75F63770"/>
    <w:rsid w:val="75FBE4CF"/>
    <w:rsid w:val="75FD4C2B"/>
    <w:rsid w:val="75FFDE86"/>
    <w:rsid w:val="76274700"/>
    <w:rsid w:val="7670133C"/>
    <w:rsid w:val="76815D08"/>
    <w:rsid w:val="76BD26DE"/>
    <w:rsid w:val="76F1612F"/>
    <w:rsid w:val="77237836"/>
    <w:rsid w:val="777D5B17"/>
    <w:rsid w:val="77961CA5"/>
    <w:rsid w:val="77B3645C"/>
    <w:rsid w:val="77C86AF7"/>
    <w:rsid w:val="77EE2469"/>
    <w:rsid w:val="77F5D6EA"/>
    <w:rsid w:val="77FBF4B0"/>
    <w:rsid w:val="77FE1FAD"/>
    <w:rsid w:val="77FFA511"/>
    <w:rsid w:val="784D69FA"/>
    <w:rsid w:val="78C924B7"/>
    <w:rsid w:val="78DD2639"/>
    <w:rsid w:val="78FFC306"/>
    <w:rsid w:val="791C42F0"/>
    <w:rsid w:val="79252736"/>
    <w:rsid w:val="793DCDAF"/>
    <w:rsid w:val="79BEDD49"/>
    <w:rsid w:val="79DF5598"/>
    <w:rsid w:val="7A142EE1"/>
    <w:rsid w:val="7ABAADE3"/>
    <w:rsid w:val="7ACD6097"/>
    <w:rsid w:val="7ACF287C"/>
    <w:rsid w:val="7AF01247"/>
    <w:rsid w:val="7B5F71FC"/>
    <w:rsid w:val="7BA1D154"/>
    <w:rsid w:val="7BBD17AC"/>
    <w:rsid w:val="7BDE72CF"/>
    <w:rsid w:val="7BE76DCB"/>
    <w:rsid w:val="7BF027C9"/>
    <w:rsid w:val="7BF39672"/>
    <w:rsid w:val="7BF64B04"/>
    <w:rsid w:val="7BFF990E"/>
    <w:rsid w:val="7C051871"/>
    <w:rsid w:val="7C2D24B2"/>
    <w:rsid w:val="7C77FA35"/>
    <w:rsid w:val="7C78B76F"/>
    <w:rsid w:val="7C7B0533"/>
    <w:rsid w:val="7C7E1E0E"/>
    <w:rsid w:val="7C7FC0F0"/>
    <w:rsid w:val="7C9DEF35"/>
    <w:rsid w:val="7CDD540E"/>
    <w:rsid w:val="7CEC6CA3"/>
    <w:rsid w:val="7CEF7340"/>
    <w:rsid w:val="7CFC7082"/>
    <w:rsid w:val="7CFFD760"/>
    <w:rsid w:val="7D1760D6"/>
    <w:rsid w:val="7D3ED34B"/>
    <w:rsid w:val="7D5E34E9"/>
    <w:rsid w:val="7D7F035C"/>
    <w:rsid w:val="7D8E06DF"/>
    <w:rsid w:val="7DA51C71"/>
    <w:rsid w:val="7DB81776"/>
    <w:rsid w:val="7DBA25B0"/>
    <w:rsid w:val="7DC147C3"/>
    <w:rsid w:val="7DC7DBBB"/>
    <w:rsid w:val="7DDDD625"/>
    <w:rsid w:val="7DE258A7"/>
    <w:rsid w:val="7DE368F3"/>
    <w:rsid w:val="7DEFBB95"/>
    <w:rsid w:val="7DF36387"/>
    <w:rsid w:val="7DF78F78"/>
    <w:rsid w:val="7DF96E92"/>
    <w:rsid w:val="7DFF034D"/>
    <w:rsid w:val="7EB18470"/>
    <w:rsid w:val="7EBD568A"/>
    <w:rsid w:val="7EEB254B"/>
    <w:rsid w:val="7EFF3AE2"/>
    <w:rsid w:val="7F011736"/>
    <w:rsid w:val="7F291E22"/>
    <w:rsid w:val="7F614812"/>
    <w:rsid w:val="7F725FCB"/>
    <w:rsid w:val="7F772AB0"/>
    <w:rsid w:val="7F9A5FCE"/>
    <w:rsid w:val="7F9FF67C"/>
    <w:rsid w:val="7FB012EE"/>
    <w:rsid w:val="7FB5FD31"/>
    <w:rsid w:val="7FBED7B6"/>
    <w:rsid w:val="7FBF0B51"/>
    <w:rsid w:val="7FBF7C80"/>
    <w:rsid w:val="7FC745A6"/>
    <w:rsid w:val="7FDACE6B"/>
    <w:rsid w:val="7FDBF052"/>
    <w:rsid w:val="7FEB1D43"/>
    <w:rsid w:val="7FEF46B7"/>
    <w:rsid w:val="7FEF983E"/>
    <w:rsid w:val="7FF74F1B"/>
    <w:rsid w:val="7FF79CBC"/>
    <w:rsid w:val="7FFDB8A2"/>
    <w:rsid w:val="7FFE15BE"/>
    <w:rsid w:val="7FFEE717"/>
    <w:rsid w:val="7FFF0B15"/>
    <w:rsid w:val="7FFF981E"/>
    <w:rsid w:val="8FFC0752"/>
    <w:rsid w:val="97E7CC65"/>
    <w:rsid w:val="97FB318F"/>
    <w:rsid w:val="9DFF1C46"/>
    <w:rsid w:val="9EB6FEDE"/>
    <w:rsid w:val="9F6F24DE"/>
    <w:rsid w:val="9F9BC935"/>
    <w:rsid w:val="A37DE1F9"/>
    <w:rsid w:val="AE7B40E5"/>
    <w:rsid w:val="AED74100"/>
    <w:rsid w:val="AEDD0642"/>
    <w:rsid w:val="AF7CA635"/>
    <w:rsid w:val="AFBFE431"/>
    <w:rsid w:val="AFFEC360"/>
    <w:rsid w:val="B1CF8AA9"/>
    <w:rsid w:val="B5ACF0F5"/>
    <w:rsid w:val="B5CF6245"/>
    <w:rsid w:val="B7BB977C"/>
    <w:rsid w:val="B7F7C062"/>
    <w:rsid w:val="B7FE121B"/>
    <w:rsid w:val="B97B2AC1"/>
    <w:rsid w:val="BA5D3850"/>
    <w:rsid w:val="BA7B23C6"/>
    <w:rsid w:val="BAEA6696"/>
    <w:rsid w:val="BAEE2ED5"/>
    <w:rsid w:val="BB6B7790"/>
    <w:rsid w:val="BBFB21DB"/>
    <w:rsid w:val="BBFE9D90"/>
    <w:rsid w:val="BD27257A"/>
    <w:rsid w:val="BDBEB99D"/>
    <w:rsid w:val="BDEFE3B2"/>
    <w:rsid w:val="BDF545AB"/>
    <w:rsid w:val="BE9DD132"/>
    <w:rsid w:val="BEEB48BF"/>
    <w:rsid w:val="BEED1961"/>
    <w:rsid w:val="BF3B6A1E"/>
    <w:rsid w:val="BF7FB329"/>
    <w:rsid w:val="BFBEB988"/>
    <w:rsid w:val="BFEBF6DE"/>
    <w:rsid w:val="BFF7311B"/>
    <w:rsid w:val="BFF7E6C6"/>
    <w:rsid w:val="C7E58DA2"/>
    <w:rsid w:val="C9BE0CF6"/>
    <w:rsid w:val="C9D7B462"/>
    <w:rsid w:val="CA6E7222"/>
    <w:rsid w:val="CABF63A9"/>
    <w:rsid w:val="CDFF0369"/>
    <w:rsid w:val="CEFC65DA"/>
    <w:rsid w:val="CF7CAD7F"/>
    <w:rsid w:val="CFB316D5"/>
    <w:rsid w:val="D2F68B74"/>
    <w:rsid w:val="D62F486B"/>
    <w:rsid w:val="D7FF56AA"/>
    <w:rsid w:val="D8CF6705"/>
    <w:rsid w:val="D93DFA64"/>
    <w:rsid w:val="D97C040F"/>
    <w:rsid w:val="DA3EDE7E"/>
    <w:rsid w:val="DBB5BA13"/>
    <w:rsid w:val="DBE7CE2B"/>
    <w:rsid w:val="DD7E525B"/>
    <w:rsid w:val="DDD55CC1"/>
    <w:rsid w:val="DDEF826A"/>
    <w:rsid w:val="DDFD6DFC"/>
    <w:rsid w:val="DDFF9B4E"/>
    <w:rsid w:val="DEE6E2B8"/>
    <w:rsid w:val="DEED4713"/>
    <w:rsid w:val="DEFAFE93"/>
    <w:rsid w:val="DF55CFEF"/>
    <w:rsid w:val="DF6D64D8"/>
    <w:rsid w:val="DF7C2067"/>
    <w:rsid w:val="DF7FB0BB"/>
    <w:rsid w:val="DF9339AA"/>
    <w:rsid w:val="DFBDB272"/>
    <w:rsid w:val="DFBF4ADB"/>
    <w:rsid w:val="DFDFF5DC"/>
    <w:rsid w:val="DFFCADEB"/>
    <w:rsid w:val="E3CB025F"/>
    <w:rsid w:val="E79F6D5E"/>
    <w:rsid w:val="E7E7C608"/>
    <w:rsid w:val="E7F97B92"/>
    <w:rsid w:val="EADFAC68"/>
    <w:rsid w:val="EBF48A27"/>
    <w:rsid w:val="ECF9775A"/>
    <w:rsid w:val="ECFF3DF4"/>
    <w:rsid w:val="ED8FFFB3"/>
    <w:rsid w:val="EDAF2962"/>
    <w:rsid w:val="EDF9503C"/>
    <w:rsid w:val="EDFEBA9C"/>
    <w:rsid w:val="EE35C357"/>
    <w:rsid w:val="EE6DADB8"/>
    <w:rsid w:val="EE6F41A7"/>
    <w:rsid w:val="EE8F9BCD"/>
    <w:rsid w:val="EF1FE2AB"/>
    <w:rsid w:val="EF2DAC26"/>
    <w:rsid w:val="EF655283"/>
    <w:rsid w:val="EF7EEC2C"/>
    <w:rsid w:val="EF9F1DA3"/>
    <w:rsid w:val="EFBBECC8"/>
    <w:rsid w:val="EFE7225F"/>
    <w:rsid w:val="EFED98B5"/>
    <w:rsid w:val="EFEF26B7"/>
    <w:rsid w:val="EFF6C0EA"/>
    <w:rsid w:val="EFFF43ED"/>
    <w:rsid w:val="EFFFDFB5"/>
    <w:rsid w:val="F1CB1FA6"/>
    <w:rsid w:val="F2C884FA"/>
    <w:rsid w:val="F3B79135"/>
    <w:rsid w:val="F4FFDBA7"/>
    <w:rsid w:val="F53B4A89"/>
    <w:rsid w:val="F5708814"/>
    <w:rsid w:val="F5A7D553"/>
    <w:rsid w:val="F5BF301F"/>
    <w:rsid w:val="F67F48A7"/>
    <w:rsid w:val="F6F23238"/>
    <w:rsid w:val="F6FFD2EB"/>
    <w:rsid w:val="F75FBCF0"/>
    <w:rsid w:val="F766D43F"/>
    <w:rsid w:val="F77D4B59"/>
    <w:rsid w:val="F7BC2989"/>
    <w:rsid w:val="F7CE2A21"/>
    <w:rsid w:val="F7DF98C6"/>
    <w:rsid w:val="F7DFCBC5"/>
    <w:rsid w:val="F7EF0113"/>
    <w:rsid w:val="F7FFBD61"/>
    <w:rsid w:val="F87F3F5C"/>
    <w:rsid w:val="F93FE5BA"/>
    <w:rsid w:val="F9B90BCB"/>
    <w:rsid w:val="F9B9C6CA"/>
    <w:rsid w:val="F9BECED6"/>
    <w:rsid w:val="F9ED2AE3"/>
    <w:rsid w:val="F9EF5376"/>
    <w:rsid w:val="FA7D90C2"/>
    <w:rsid w:val="FB45BCE3"/>
    <w:rsid w:val="FB775BEA"/>
    <w:rsid w:val="FB7EFCB2"/>
    <w:rsid w:val="FB9D6607"/>
    <w:rsid w:val="FBB3C1F4"/>
    <w:rsid w:val="FBEFF4A2"/>
    <w:rsid w:val="FBF71F6B"/>
    <w:rsid w:val="FBF90440"/>
    <w:rsid w:val="FBFCE370"/>
    <w:rsid w:val="FBFDB123"/>
    <w:rsid w:val="FBFDF85F"/>
    <w:rsid w:val="FC7F4C22"/>
    <w:rsid w:val="FCDFC6D9"/>
    <w:rsid w:val="FCEE7BAD"/>
    <w:rsid w:val="FCFEC27C"/>
    <w:rsid w:val="FD6F3609"/>
    <w:rsid w:val="FD7F19E4"/>
    <w:rsid w:val="FDDEA66A"/>
    <w:rsid w:val="FDE7AF7B"/>
    <w:rsid w:val="FDE7DC01"/>
    <w:rsid w:val="FDE7EA42"/>
    <w:rsid w:val="FDEDC90C"/>
    <w:rsid w:val="FDF70C60"/>
    <w:rsid w:val="FE3D0A8C"/>
    <w:rsid w:val="FE5FD254"/>
    <w:rsid w:val="FE9F5F95"/>
    <w:rsid w:val="FEBF8738"/>
    <w:rsid w:val="FED7A054"/>
    <w:rsid w:val="FEF50791"/>
    <w:rsid w:val="FF2FF816"/>
    <w:rsid w:val="FF3E2135"/>
    <w:rsid w:val="FF4BECF4"/>
    <w:rsid w:val="FF6DE1E3"/>
    <w:rsid w:val="FF7D1109"/>
    <w:rsid w:val="FFAFD762"/>
    <w:rsid w:val="FFB7A5F3"/>
    <w:rsid w:val="FFBD1FC0"/>
    <w:rsid w:val="FFBD8D01"/>
    <w:rsid w:val="FFBE3138"/>
    <w:rsid w:val="FFBF3758"/>
    <w:rsid w:val="FFBF5E44"/>
    <w:rsid w:val="FFC95106"/>
    <w:rsid w:val="FFCF5F7D"/>
    <w:rsid w:val="FFCFD4D5"/>
    <w:rsid w:val="FFDEE2B7"/>
    <w:rsid w:val="FFEB601E"/>
    <w:rsid w:val="FFF36FB2"/>
    <w:rsid w:val="FFF7FF31"/>
    <w:rsid w:val="FFFA64F5"/>
    <w:rsid w:val="FFFAA7F3"/>
    <w:rsid w:val="FFFF15BA"/>
    <w:rsid w:val="FFFF5CB6"/>
    <w:rsid w:val="FFFFDA41"/>
    <w:rsid w:val="FFFFF9BC"/>
    <w:rsid w:val="FFFFFA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annotation text"/>
    <w:basedOn w:val="1"/>
    <w:link w:val="36"/>
    <w:semiHidden/>
    <w:unhideWhenUsed/>
    <w:qFormat/>
    <w:uiPriority w:val="99"/>
    <w:pPr>
      <w:jc w:val="left"/>
    </w:pPr>
  </w:style>
  <w:style w:type="paragraph" w:styleId="3">
    <w:name w:val="Balloon Text"/>
    <w:basedOn w:val="1"/>
    <w:link w:val="25"/>
    <w:semiHidden/>
    <w:unhideWhenUsed/>
    <w:qFormat/>
    <w:uiPriority w:val="99"/>
    <w:rPr>
      <w:sz w:val="18"/>
      <w:szCs w:val="18"/>
    </w:rPr>
  </w:style>
  <w:style w:type="paragraph" w:styleId="4">
    <w:name w:val="footer"/>
    <w:basedOn w:val="1"/>
    <w:link w:val="24"/>
    <w:unhideWhenUsed/>
    <w:qFormat/>
    <w:uiPriority w:val="99"/>
    <w:pPr>
      <w:tabs>
        <w:tab w:val="center" w:pos="4153"/>
        <w:tab w:val="right" w:pos="8306"/>
      </w:tabs>
      <w:snapToGrid w:val="0"/>
      <w:jc w:val="left"/>
    </w:pPr>
    <w:rPr>
      <w:sz w:val="18"/>
      <w:szCs w:val="18"/>
    </w:rPr>
  </w:style>
  <w:style w:type="paragraph" w:styleId="5">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37"/>
    <w:semiHidden/>
    <w:unhideWhenUsed/>
    <w:qFormat/>
    <w:uiPriority w:val="99"/>
    <w:rPr>
      <w:b/>
      <w:bCs/>
    </w:rPr>
  </w:style>
  <w:style w:type="character" w:styleId="10">
    <w:name w:val="Strong"/>
    <w:basedOn w:val="9"/>
    <w:qFormat/>
    <w:uiPriority w:val="22"/>
    <w:rPr>
      <w:b/>
      <w:bCs/>
    </w:rPr>
  </w:style>
  <w:style w:type="character" w:styleId="11">
    <w:name w:val="FollowedHyperlink"/>
    <w:basedOn w:val="9"/>
    <w:semiHidden/>
    <w:unhideWhenUsed/>
    <w:qFormat/>
    <w:uiPriority w:val="99"/>
    <w:rPr>
      <w:color w:val="333333"/>
      <w:u w:val="none"/>
    </w:rPr>
  </w:style>
  <w:style w:type="character" w:styleId="12">
    <w:name w:val="Emphasis"/>
    <w:basedOn w:val="9"/>
    <w:qFormat/>
    <w:uiPriority w:val="20"/>
  </w:style>
  <w:style w:type="character" w:styleId="13">
    <w:name w:val="HTML Definition"/>
    <w:basedOn w:val="9"/>
    <w:semiHidden/>
    <w:unhideWhenUsed/>
    <w:qFormat/>
    <w:uiPriority w:val="99"/>
  </w:style>
  <w:style w:type="character" w:styleId="14">
    <w:name w:val="HTML Typewriter"/>
    <w:basedOn w:val="9"/>
    <w:semiHidden/>
    <w:unhideWhenUsed/>
    <w:qFormat/>
    <w:uiPriority w:val="99"/>
    <w:rPr>
      <w:rFonts w:ascii="Courier New" w:hAnsi="Courier New"/>
      <w:sz w:val="24"/>
      <w:szCs w:val="24"/>
    </w:rPr>
  </w:style>
  <w:style w:type="character" w:styleId="15">
    <w:name w:val="HTML Acronym"/>
    <w:basedOn w:val="9"/>
    <w:semiHidden/>
    <w:unhideWhenUsed/>
    <w:qFormat/>
    <w:uiPriority w:val="99"/>
  </w:style>
  <w:style w:type="character" w:styleId="16">
    <w:name w:val="HTML Variable"/>
    <w:basedOn w:val="9"/>
    <w:semiHidden/>
    <w:unhideWhenUsed/>
    <w:qFormat/>
    <w:uiPriority w:val="99"/>
  </w:style>
  <w:style w:type="character" w:styleId="17">
    <w:name w:val="Hyperlink"/>
    <w:basedOn w:val="9"/>
    <w:semiHidden/>
    <w:unhideWhenUsed/>
    <w:qFormat/>
    <w:uiPriority w:val="99"/>
    <w:rPr>
      <w:color w:val="333333"/>
      <w:u w:val="none"/>
    </w:rPr>
  </w:style>
  <w:style w:type="character" w:styleId="18">
    <w:name w:val="HTML Code"/>
    <w:basedOn w:val="9"/>
    <w:semiHidden/>
    <w:unhideWhenUsed/>
    <w:qFormat/>
    <w:uiPriority w:val="99"/>
    <w:rPr>
      <w:rFonts w:ascii="Courier New" w:hAnsi="Courier New"/>
      <w:sz w:val="20"/>
    </w:rPr>
  </w:style>
  <w:style w:type="character" w:styleId="19">
    <w:name w:val="annotation reference"/>
    <w:basedOn w:val="9"/>
    <w:semiHidden/>
    <w:unhideWhenUsed/>
    <w:qFormat/>
    <w:uiPriority w:val="99"/>
    <w:rPr>
      <w:sz w:val="21"/>
      <w:szCs w:val="21"/>
    </w:rPr>
  </w:style>
  <w:style w:type="character" w:styleId="20">
    <w:name w:val="HTML Cite"/>
    <w:basedOn w:val="9"/>
    <w:semiHidden/>
    <w:unhideWhenUsed/>
    <w:qFormat/>
    <w:uiPriority w:val="99"/>
  </w:style>
  <w:style w:type="character" w:styleId="21">
    <w:name w:val="HTML Keyboard"/>
    <w:basedOn w:val="9"/>
    <w:semiHidden/>
    <w:unhideWhenUsed/>
    <w:qFormat/>
    <w:uiPriority w:val="99"/>
    <w:rPr>
      <w:rFonts w:ascii="Courier New" w:hAnsi="Courier New"/>
      <w:sz w:val="24"/>
      <w:szCs w:val="24"/>
    </w:rPr>
  </w:style>
  <w:style w:type="character" w:styleId="22">
    <w:name w:val="HTML Sample"/>
    <w:basedOn w:val="9"/>
    <w:semiHidden/>
    <w:unhideWhenUsed/>
    <w:qFormat/>
    <w:uiPriority w:val="99"/>
    <w:rPr>
      <w:rFonts w:ascii="Courier New" w:hAnsi="Courier New"/>
      <w:sz w:val="24"/>
      <w:szCs w:val="24"/>
    </w:rPr>
  </w:style>
  <w:style w:type="character" w:customStyle="1" w:styleId="23">
    <w:name w:val="页眉 Char"/>
    <w:basedOn w:val="9"/>
    <w:link w:val="5"/>
    <w:qFormat/>
    <w:uiPriority w:val="99"/>
    <w:rPr>
      <w:sz w:val="18"/>
      <w:szCs w:val="18"/>
    </w:rPr>
  </w:style>
  <w:style w:type="character" w:customStyle="1" w:styleId="24">
    <w:name w:val="页脚 Char"/>
    <w:basedOn w:val="9"/>
    <w:link w:val="4"/>
    <w:qFormat/>
    <w:uiPriority w:val="99"/>
    <w:rPr>
      <w:sz w:val="18"/>
      <w:szCs w:val="18"/>
    </w:rPr>
  </w:style>
  <w:style w:type="character" w:customStyle="1" w:styleId="25">
    <w:name w:val="批注框文本 Char"/>
    <w:basedOn w:val="9"/>
    <w:link w:val="3"/>
    <w:semiHidden/>
    <w:qFormat/>
    <w:uiPriority w:val="99"/>
    <w:rPr>
      <w:sz w:val="18"/>
      <w:szCs w:val="18"/>
    </w:rPr>
  </w:style>
  <w:style w:type="character" w:customStyle="1" w:styleId="26">
    <w:name w:val="calendar-head__prev-range-btn"/>
    <w:basedOn w:val="9"/>
    <w:qFormat/>
    <w:uiPriority w:val="0"/>
    <w:rPr>
      <w:vanish/>
    </w:rPr>
  </w:style>
  <w:style w:type="character" w:customStyle="1" w:styleId="27">
    <w:name w:val="calendar-head__year-range"/>
    <w:basedOn w:val="9"/>
    <w:qFormat/>
    <w:uiPriority w:val="0"/>
    <w:rPr>
      <w:vanish/>
    </w:rPr>
  </w:style>
  <w:style w:type="character" w:customStyle="1" w:styleId="28">
    <w:name w:val="active"/>
    <w:basedOn w:val="9"/>
    <w:qFormat/>
    <w:uiPriority w:val="0"/>
    <w:rPr>
      <w:color w:val="333333"/>
    </w:rPr>
  </w:style>
  <w:style w:type="character" w:customStyle="1" w:styleId="29">
    <w:name w:val="hover"/>
    <w:basedOn w:val="9"/>
    <w:qFormat/>
    <w:uiPriority w:val="0"/>
    <w:rPr>
      <w:color w:val="2F6EA2"/>
    </w:rPr>
  </w:style>
  <w:style w:type="character" w:customStyle="1" w:styleId="30">
    <w:name w:val="calendar-head__text-display"/>
    <w:basedOn w:val="9"/>
    <w:qFormat/>
    <w:uiPriority w:val="0"/>
    <w:rPr>
      <w:vanish/>
    </w:rPr>
  </w:style>
  <w:style w:type="character" w:customStyle="1" w:styleId="31">
    <w:name w:val="calendar-head__next-year-btn"/>
    <w:basedOn w:val="9"/>
    <w:qFormat/>
    <w:uiPriority w:val="0"/>
  </w:style>
  <w:style w:type="character" w:customStyle="1" w:styleId="32">
    <w:name w:val="calendar-head__next-range-btn"/>
    <w:basedOn w:val="9"/>
    <w:qFormat/>
    <w:uiPriority w:val="0"/>
    <w:rPr>
      <w:vanish/>
    </w:rPr>
  </w:style>
  <w:style w:type="character" w:customStyle="1" w:styleId="33">
    <w:name w:val="calendar-head__next-month-btn"/>
    <w:basedOn w:val="9"/>
    <w:qFormat/>
    <w:uiPriority w:val="0"/>
  </w:style>
  <w:style w:type="character" w:customStyle="1" w:styleId="34">
    <w:name w:val="active2"/>
    <w:basedOn w:val="9"/>
    <w:qFormat/>
    <w:uiPriority w:val="0"/>
    <w:rPr>
      <w:color w:val="333333"/>
    </w:rPr>
  </w:style>
  <w:style w:type="character" w:customStyle="1" w:styleId="35">
    <w:name w:val="index-module_accountauthentication_3bwix"/>
    <w:basedOn w:val="9"/>
    <w:qFormat/>
    <w:uiPriority w:val="0"/>
  </w:style>
  <w:style w:type="character" w:customStyle="1" w:styleId="36">
    <w:name w:val="批注文字 Char"/>
    <w:basedOn w:val="9"/>
    <w:link w:val="2"/>
    <w:semiHidden/>
    <w:qFormat/>
    <w:uiPriority w:val="99"/>
    <w:rPr>
      <w:rFonts w:asciiTheme="minorHAnsi" w:hAnsiTheme="minorHAnsi" w:eastAsiaTheme="minorEastAsia" w:cstheme="minorBidi"/>
      <w:kern w:val="2"/>
      <w:sz w:val="21"/>
      <w:szCs w:val="22"/>
    </w:rPr>
  </w:style>
  <w:style w:type="character" w:customStyle="1" w:styleId="37">
    <w:name w:val="批注主题 Char"/>
    <w:basedOn w:val="36"/>
    <w:link w:val="7"/>
    <w:semiHidden/>
    <w:qFormat/>
    <w:uiPriority w:val="99"/>
    <w:rPr>
      <w:b/>
      <w:bCs/>
    </w:rPr>
  </w:style>
  <w:style w:type="character" w:customStyle="1" w:styleId="38">
    <w:name w:val="hover4"/>
    <w:basedOn w:val="9"/>
    <w:qFormat/>
    <w:uiPriority w:val="0"/>
    <w:rPr>
      <w:color w:val="315EF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4511</Words>
  <Characters>4568</Characters>
  <Lines>18</Lines>
  <Paragraphs>5</Paragraphs>
  <TotalTime>10</TotalTime>
  <ScaleCrop>false</ScaleCrop>
  <LinksUpToDate>false</LinksUpToDate>
  <CharactersWithSpaces>4629</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2021-12-01T01:17:00Z</dcterms:created>
  <dc:creator>yang liu</dc:creator>
  <cp:lastModifiedBy>李华润（驻场）</cp:lastModifiedBy>
  <cp:lastPrinted>2023-07-13T22:08:00Z</cp:lastPrinted>
  <dcterms:modified xsi:type="dcterms:W3CDTF">2023-07-26T00:35:07Z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3F07D89373A043A08633E840A3E0F1E3_13</vt:lpwstr>
  </property>
  <property fmtid="{D5CDD505-2E9C-101B-9397-08002B2CF9AE}" pid="4" name="close">
    <vt:lpwstr>true</vt:lpwstr>
  </property>
  <property fmtid="{D5CDD505-2E9C-101B-9397-08002B2CF9AE}" pid="5" name="ribbonExt">
    <vt:lpwstr>{"WPSExtOfficeTab":{"OnGetEnabled":false,"OnGetVisible":false}}</vt:lpwstr>
  </property>
  <property fmtid="{D5CDD505-2E9C-101B-9397-08002B2CF9AE}" pid="6" name="showFlag">
    <vt:bool>true</vt:bool>
  </property>
  <property fmtid="{D5CDD505-2E9C-101B-9397-08002B2CF9AE}" pid="7" name="userName">
    <vt:lpwstr>谭侃侃</vt:lpwstr>
  </property>
</Properties>
</file>