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6"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w:t>
      </w:r>
    </w:p>
    <w:p>
      <w:pPr>
        <w:keepNext w:val="0"/>
        <w:keepLines w:val="0"/>
        <w:pageBreakBefore w:val="0"/>
        <w:kinsoku/>
        <w:wordWrap/>
        <w:overflowPunct/>
        <w:topLinePunct w:val="0"/>
        <w:autoSpaceDE/>
        <w:autoSpaceDN/>
        <w:bidi w:val="0"/>
        <w:adjustRightInd/>
        <w:snapToGrid/>
        <w:spacing w:line="596" w:lineRule="exact"/>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宋体" w:cs="Times New Roman"/>
          <w:i w:val="0"/>
          <w:iCs w:val="0"/>
          <w:caps w:val="0"/>
          <w:color w:val="auto"/>
          <w:spacing w:val="0"/>
          <w:sz w:val="13"/>
          <w:szCs w:val="13"/>
          <w:highlight w:val="none"/>
          <w:shd w:val="clear" w:color="auto" w:fill="FFFFFF"/>
        </w:rPr>
        <w:t>________________</w:t>
      </w:r>
      <w:r>
        <w:rPr>
          <w:rFonts w:hint="default" w:ascii="Times New Roman" w:hAnsi="Times New Roman" w:eastAsia="宋体" w:cs="Times New Roman"/>
          <w:b/>
          <w:bCs/>
          <w:color w:val="auto"/>
          <w:sz w:val="44"/>
          <w:szCs w:val="44"/>
          <w:highlight w:val="none"/>
          <w:lang w:val="en-US" w:eastAsia="zh-CN"/>
        </w:rPr>
        <w:t>市</w:t>
      </w:r>
      <w:r>
        <w:rPr>
          <w:rFonts w:hint="eastAsia" w:ascii="Times New Roman" w:hAnsi="Times New Roman" w:eastAsia="宋体" w:cs="Times New Roman"/>
          <w:b/>
          <w:bCs/>
          <w:color w:val="auto"/>
          <w:sz w:val="44"/>
          <w:szCs w:val="44"/>
          <w:highlight w:val="none"/>
          <w:lang w:val="en-US" w:eastAsia="zh-CN"/>
        </w:rPr>
        <w:t>定点医药机构底数情况</w:t>
      </w:r>
      <w:r>
        <w:rPr>
          <w:rFonts w:hint="default" w:ascii="Times New Roman" w:hAnsi="Times New Roman" w:eastAsia="宋体" w:cs="Times New Roman"/>
          <w:b/>
          <w:bCs/>
          <w:color w:val="auto"/>
          <w:sz w:val="44"/>
          <w:szCs w:val="44"/>
          <w:highlight w:val="none"/>
          <w:lang w:val="en-US" w:eastAsia="zh-CN"/>
        </w:rPr>
        <w:t>表</w:t>
      </w:r>
      <w:r>
        <w:rPr>
          <w:rFonts w:hint="default" w:ascii="Times New Roman" w:hAnsi="Times New Roman" w:eastAsia="仿宋_GB2312" w:cs="Times New Roman"/>
          <w:b w:val="0"/>
          <w:bCs w:val="0"/>
          <w:color w:val="auto"/>
          <w:sz w:val="32"/>
          <w:szCs w:val="32"/>
          <w:highlight w:val="none"/>
          <w:lang w:val="en-US" w:eastAsia="zh-CN"/>
        </w:rPr>
        <w:t xml:space="preserve">   </w:t>
      </w:r>
    </w:p>
    <w:tbl>
      <w:tblPr>
        <w:tblStyle w:val="5"/>
        <w:tblpPr w:leftFromText="180" w:rightFromText="180" w:vertAnchor="text" w:horzAnchor="page" w:tblpXSpec="center" w:tblpY="1095"/>
        <w:tblOverlap w:val="never"/>
        <w:tblW w:w="13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33"/>
        <w:gridCol w:w="1553"/>
        <w:gridCol w:w="1490"/>
        <w:gridCol w:w="1521"/>
        <w:gridCol w:w="2176"/>
        <w:gridCol w:w="1489"/>
        <w:gridCol w:w="1585"/>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697"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6"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24"/>
                <w:szCs w:val="24"/>
                <w:highlight w:val="none"/>
                <w:u w:val="none"/>
                <w:lang w:val="en-US" w:eastAsia="zh-CN"/>
              </w:rPr>
              <w:t>定点医疗机构</w:t>
            </w:r>
          </w:p>
        </w:tc>
        <w:tc>
          <w:tcPr>
            <w:tcW w:w="6804"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6"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24"/>
                <w:szCs w:val="24"/>
                <w:highlight w:val="none"/>
                <w:u w:val="none"/>
                <w:lang w:val="en-US" w:eastAsia="zh-CN"/>
              </w:rPr>
              <w:t>定点零售药店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09" w:hRule="atLeast"/>
          <w:jc w:val="center"/>
        </w:trPr>
        <w:tc>
          <w:tcPr>
            <w:tcW w:w="21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24"/>
                <w:szCs w:val="24"/>
                <w:highlight w:val="none"/>
                <w:u w:val="none"/>
                <w:lang w:val="en-US" w:eastAsia="zh-CN"/>
              </w:rPr>
              <w:t>总数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18"/>
                <w:szCs w:val="18"/>
                <w:highlight w:val="none"/>
                <w:u w:val="none"/>
                <w:lang w:val="en-US" w:eastAsia="zh-CN"/>
              </w:rPr>
              <w:t>（1）=（2）+（3）+（4）</w:t>
            </w:r>
          </w:p>
        </w:tc>
        <w:tc>
          <w:tcPr>
            <w:tcW w:w="15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24"/>
                <w:szCs w:val="24"/>
                <w:highlight w:val="none"/>
                <w:u w:val="none"/>
                <w:lang w:val="en-US" w:eastAsia="zh-CN"/>
              </w:rPr>
              <w:t>按照</w:t>
            </w:r>
            <w:r>
              <w:rPr>
                <w:rFonts w:hint="default" w:ascii="Times New Roman" w:hAnsi="Times New Roman" w:eastAsia="仿宋_GB2312" w:cs="仿宋_GB2312"/>
                <w:i w:val="0"/>
                <w:iCs w:val="0"/>
                <w:color w:val="auto"/>
                <w:kern w:val="0"/>
                <w:sz w:val="24"/>
                <w:szCs w:val="24"/>
                <w:highlight w:val="none"/>
                <w:u w:val="none"/>
                <w:lang w:val="en-US" w:eastAsia="zh-CN"/>
              </w:rPr>
              <w:t>I</w:t>
            </w:r>
            <w:r>
              <w:rPr>
                <w:rFonts w:hint="eastAsia" w:ascii="Times New Roman" w:hAnsi="Times New Roman" w:eastAsia="仿宋_GB2312" w:cs="仿宋_GB2312"/>
                <w:i w:val="0"/>
                <w:iCs w:val="0"/>
                <w:color w:val="auto"/>
                <w:kern w:val="0"/>
                <w:sz w:val="24"/>
                <w:szCs w:val="24"/>
                <w:highlight w:val="none"/>
                <w:u w:val="none"/>
                <w:lang w:val="en-US" w:eastAsia="zh-CN"/>
              </w:rPr>
              <w:t>级定点医药机构</w:t>
            </w:r>
            <w:bookmarkStart w:id="0" w:name="OLE_LINK36"/>
            <w:r>
              <w:rPr>
                <w:rFonts w:hint="eastAsia" w:ascii="Times New Roman" w:hAnsi="Times New Roman" w:eastAsia="仿宋_GB2312" w:cs="仿宋_GB2312"/>
                <w:i w:val="0"/>
                <w:iCs w:val="0"/>
                <w:color w:val="auto"/>
                <w:kern w:val="0"/>
                <w:sz w:val="24"/>
                <w:szCs w:val="24"/>
                <w:highlight w:val="none"/>
                <w:u w:val="none"/>
                <w:lang w:val="en-US" w:eastAsia="zh-CN"/>
              </w:rPr>
              <w:t>管理</w:t>
            </w:r>
            <w:bookmarkEnd w:id="0"/>
            <w:r>
              <w:rPr>
                <w:rFonts w:hint="eastAsia" w:ascii="Times New Roman" w:hAnsi="Times New Roman" w:eastAsia="仿宋_GB2312" w:cs="仿宋_GB2312"/>
                <w:i w:val="0"/>
                <w:iCs w:val="0"/>
                <w:color w:val="auto"/>
                <w:kern w:val="0"/>
                <w:sz w:val="24"/>
                <w:szCs w:val="24"/>
                <w:highlight w:val="none"/>
                <w:u w:val="none"/>
                <w:lang w:val="en-US" w:eastAsia="zh-CN"/>
              </w:rPr>
              <w:t>的数量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18"/>
                <w:szCs w:val="18"/>
                <w:highlight w:val="none"/>
                <w:u w:val="none"/>
                <w:lang w:val="en-US" w:eastAsia="zh-CN"/>
              </w:rPr>
              <w:t>（2）</w:t>
            </w:r>
          </w:p>
        </w:tc>
        <w:tc>
          <w:tcPr>
            <w:tcW w:w="14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bookmarkStart w:id="1" w:name="OLE_LINK13"/>
            <w:r>
              <w:rPr>
                <w:rFonts w:hint="eastAsia" w:ascii="Times New Roman" w:hAnsi="Times New Roman" w:eastAsia="仿宋_GB2312" w:cs="仿宋_GB2312"/>
                <w:i w:val="0"/>
                <w:iCs w:val="0"/>
                <w:color w:val="auto"/>
                <w:kern w:val="0"/>
                <w:sz w:val="24"/>
                <w:szCs w:val="24"/>
                <w:highlight w:val="none"/>
                <w:u w:val="none"/>
                <w:lang w:val="en-US" w:eastAsia="zh-CN"/>
              </w:rPr>
              <w:t>按照</w:t>
            </w:r>
            <w:bookmarkEnd w:id="1"/>
            <w:r>
              <w:rPr>
                <w:rFonts w:hint="default" w:ascii="Times New Roman" w:hAnsi="Times New Roman" w:eastAsia="仿宋_GB2312" w:cs="仿宋_GB2312"/>
                <w:i w:val="0"/>
                <w:iCs w:val="0"/>
                <w:color w:val="auto"/>
                <w:kern w:val="0"/>
                <w:sz w:val="24"/>
                <w:szCs w:val="24"/>
                <w:highlight w:val="none"/>
                <w:u w:val="none"/>
                <w:lang w:val="en-US" w:eastAsia="zh-CN"/>
              </w:rPr>
              <w:t>II</w:t>
            </w:r>
            <w:r>
              <w:rPr>
                <w:rFonts w:hint="eastAsia" w:ascii="Times New Roman" w:hAnsi="Times New Roman" w:eastAsia="仿宋_GB2312" w:cs="仿宋_GB2312"/>
                <w:i w:val="0"/>
                <w:iCs w:val="0"/>
                <w:color w:val="auto"/>
                <w:kern w:val="0"/>
                <w:sz w:val="24"/>
                <w:szCs w:val="24"/>
                <w:highlight w:val="none"/>
                <w:u w:val="none"/>
                <w:lang w:val="en-US" w:eastAsia="zh-CN"/>
              </w:rPr>
              <w:t>级定点医药机构管理的数量</w:t>
            </w:r>
            <w:r>
              <w:rPr>
                <w:rFonts w:hint="eastAsia" w:ascii="Times New Roman" w:hAnsi="Times New Roman" w:eastAsia="仿宋_GB2312" w:cs="仿宋_GB2312"/>
                <w:i w:val="0"/>
                <w:iCs w:val="0"/>
                <w:color w:val="auto"/>
                <w:kern w:val="0"/>
                <w:sz w:val="18"/>
                <w:szCs w:val="18"/>
                <w:highlight w:val="none"/>
                <w:u w:val="none"/>
                <w:lang w:val="en-US" w:eastAsia="zh-CN"/>
              </w:rPr>
              <w:t>（3）</w:t>
            </w:r>
          </w:p>
        </w:tc>
        <w:tc>
          <w:tcPr>
            <w:tcW w:w="15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24"/>
                <w:szCs w:val="24"/>
                <w:highlight w:val="none"/>
                <w:u w:val="none"/>
                <w:lang w:val="en-US" w:eastAsia="zh-CN"/>
              </w:rPr>
              <w:t>按照</w:t>
            </w:r>
            <w:r>
              <w:rPr>
                <w:rFonts w:hint="default" w:ascii="Times New Roman" w:hAnsi="Times New Roman" w:eastAsia="仿宋_GB2312" w:cs="仿宋_GB2312"/>
                <w:i w:val="0"/>
                <w:iCs w:val="0"/>
                <w:color w:val="auto"/>
                <w:kern w:val="0"/>
                <w:sz w:val="24"/>
                <w:szCs w:val="24"/>
                <w:highlight w:val="none"/>
                <w:u w:val="none"/>
                <w:lang w:val="en-US" w:eastAsia="zh-CN"/>
              </w:rPr>
              <w:t>III</w:t>
            </w:r>
            <w:r>
              <w:rPr>
                <w:rFonts w:hint="eastAsia" w:ascii="Times New Roman" w:hAnsi="Times New Roman" w:eastAsia="仿宋_GB2312" w:cs="仿宋_GB2312"/>
                <w:i w:val="0"/>
                <w:iCs w:val="0"/>
                <w:color w:val="auto"/>
                <w:kern w:val="0"/>
                <w:sz w:val="24"/>
                <w:szCs w:val="24"/>
                <w:highlight w:val="none"/>
                <w:u w:val="none"/>
                <w:lang w:val="en-US" w:eastAsia="zh-CN"/>
              </w:rPr>
              <w:t>级定点医药机构管理的数量</w:t>
            </w:r>
            <w:r>
              <w:rPr>
                <w:rFonts w:hint="eastAsia" w:ascii="Times New Roman" w:hAnsi="Times New Roman" w:eastAsia="仿宋_GB2312" w:cs="仿宋_GB2312"/>
                <w:i w:val="0"/>
                <w:iCs w:val="0"/>
                <w:color w:val="auto"/>
                <w:kern w:val="0"/>
                <w:sz w:val="18"/>
                <w:szCs w:val="18"/>
                <w:highlight w:val="none"/>
                <w:u w:val="none"/>
                <w:lang w:val="en-US" w:eastAsia="zh-CN"/>
              </w:rPr>
              <w:t>（4）</w:t>
            </w:r>
          </w:p>
        </w:tc>
        <w:tc>
          <w:tcPr>
            <w:tcW w:w="21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24"/>
                <w:szCs w:val="24"/>
                <w:highlight w:val="none"/>
                <w:u w:val="none"/>
                <w:lang w:val="en-US" w:eastAsia="zh-CN"/>
              </w:rPr>
              <w:t>总数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2"/>
                <w:sz w:val="24"/>
                <w:szCs w:val="24"/>
                <w:highlight w:val="none"/>
                <w:u w:val="none"/>
                <w:lang w:val="en-US" w:eastAsia="zh-CN" w:bidi="ar-SA"/>
              </w:rPr>
            </w:pPr>
            <w:r>
              <w:rPr>
                <w:rFonts w:hint="eastAsia" w:ascii="Times New Roman" w:hAnsi="Times New Roman" w:eastAsia="仿宋_GB2312" w:cs="仿宋_GB2312"/>
                <w:i w:val="0"/>
                <w:iCs w:val="0"/>
                <w:color w:val="auto"/>
                <w:kern w:val="0"/>
                <w:sz w:val="18"/>
                <w:szCs w:val="18"/>
                <w:highlight w:val="none"/>
                <w:u w:val="none"/>
                <w:lang w:val="en-US" w:eastAsia="zh-CN"/>
              </w:rPr>
              <w:t>（5）=（6）+（7）+（8）</w:t>
            </w:r>
          </w:p>
        </w:tc>
        <w:tc>
          <w:tcPr>
            <w:tcW w:w="14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24"/>
                <w:szCs w:val="24"/>
                <w:highlight w:val="none"/>
                <w:u w:val="none"/>
                <w:lang w:val="en-US" w:eastAsia="zh-CN"/>
              </w:rPr>
              <w:t>按照</w:t>
            </w:r>
            <w:r>
              <w:rPr>
                <w:rFonts w:hint="default" w:ascii="Times New Roman" w:hAnsi="Times New Roman" w:eastAsia="仿宋_GB2312" w:cs="仿宋_GB2312"/>
                <w:i w:val="0"/>
                <w:iCs w:val="0"/>
                <w:color w:val="auto"/>
                <w:kern w:val="0"/>
                <w:sz w:val="24"/>
                <w:szCs w:val="24"/>
                <w:highlight w:val="none"/>
                <w:u w:val="none"/>
                <w:lang w:val="en-US" w:eastAsia="zh-CN"/>
              </w:rPr>
              <w:t>I</w:t>
            </w:r>
            <w:r>
              <w:rPr>
                <w:rFonts w:hint="eastAsia" w:ascii="Times New Roman" w:hAnsi="Times New Roman" w:eastAsia="仿宋_GB2312" w:cs="仿宋_GB2312"/>
                <w:i w:val="0"/>
                <w:iCs w:val="0"/>
                <w:color w:val="auto"/>
                <w:kern w:val="0"/>
                <w:sz w:val="24"/>
                <w:szCs w:val="24"/>
                <w:highlight w:val="none"/>
                <w:u w:val="none"/>
                <w:lang w:val="en-US" w:eastAsia="zh-CN"/>
              </w:rPr>
              <w:t>级定点医药机构管理的数量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18"/>
                <w:szCs w:val="18"/>
                <w:highlight w:val="none"/>
                <w:u w:val="none"/>
                <w:lang w:val="en-US" w:eastAsia="zh-CN"/>
              </w:rPr>
              <w:t>（6）</w:t>
            </w:r>
          </w:p>
        </w:tc>
        <w:tc>
          <w:tcPr>
            <w:tcW w:w="1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24"/>
                <w:szCs w:val="24"/>
                <w:highlight w:val="none"/>
                <w:u w:val="none"/>
                <w:lang w:val="en-US" w:eastAsia="zh-CN"/>
              </w:rPr>
              <w:t>按照</w:t>
            </w:r>
            <w:r>
              <w:rPr>
                <w:rFonts w:hint="default" w:ascii="Times New Roman" w:hAnsi="Times New Roman" w:eastAsia="仿宋_GB2312" w:cs="仿宋_GB2312"/>
                <w:i w:val="0"/>
                <w:iCs w:val="0"/>
                <w:color w:val="auto"/>
                <w:kern w:val="0"/>
                <w:sz w:val="24"/>
                <w:szCs w:val="24"/>
                <w:highlight w:val="none"/>
                <w:u w:val="none"/>
                <w:lang w:val="en-US" w:eastAsia="zh-CN"/>
              </w:rPr>
              <w:t>II</w:t>
            </w:r>
            <w:r>
              <w:rPr>
                <w:rFonts w:hint="eastAsia" w:ascii="Times New Roman" w:hAnsi="Times New Roman" w:eastAsia="仿宋_GB2312" w:cs="仿宋_GB2312"/>
                <w:i w:val="0"/>
                <w:iCs w:val="0"/>
                <w:color w:val="auto"/>
                <w:kern w:val="0"/>
                <w:sz w:val="24"/>
                <w:szCs w:val="24"/>
                <w:highlight w:val="none"/>
                <w:u w:val="none"/>
                <w:lang w:val="en-US" w:eastAsia="zh-CN"/>
              </w:rPr>
              <w:t>级定点医药机构管理的数量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2"/>
                <w:sz w:val="24"/>
                <w:szCs w:val="24"/>
                <w:highlight w:val="none"/>
                <w:u w:val="none"/>
                <w:lang w:val="en-US" w:eastAsia="zh-CN" w:bidi="ar-SA"/>
              </w:rPr>
            </w:pPr>
            <w:r>
              <w:rPr>
                <w:rFonts w:hint="eastAsia" w:ascii="Times New Roman" w:hAnsi="Times New Roman" w:eastAsia="仿宋_GB2312" w:cs="仿宋_GB2312"/>
                <w:i w:val="0"/>
                <w:iCs w:val="0"/>
                <w:color w:val="auto"/>
                <w:kern w:val="0"/>
                <w:sz w:val="18"/>
                <w:szCs w:val="18"/>
                <w:highlight w:val="none"/>
                <w:u w:val="none"/>
                <w:lang w:val="en-US" w:eastAsia="zh-CN"/>
              </w:rPr>
              <w:t>（7）</w:t>
            </w:r>
          </w:p>
        </w:tc>
        <w:tc>
          <w:tcPr>
            <w:tcW w:w="15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r>
              <w:rPr>
                <w:rFonts w:hint="eastAsia" w:ascii="Times New Roman" w:hAnsi="Times New Roman" w:eastAsia="仿宋_GB2312" w:cs="仿宋_GB2312"/>
                <w:i w:val="0"/>
                <w:iCs w:val="0"/>
                <w:color w:val="auto"/>
                <w:kern w:val="0"/>
                <w:sz w:val="24"/>
                <w:szCs w:val="24"/>
                <w:highlight w:val="none"/>
                <w:u w:val="none"/>
                <w:lang w:val="en-US" w:eastAsia="zh-CN"/>
              </w:rPr>
              <w:t>按照</w:t>
            </w:r>
            <w:r>
              <w:rPr>
                <w:rFonts w:hint="default" w:ascii="Times New Roman" w:hAnsi="Times New Roman" w:eastAsia="仿宋_GB2312" w:cs="仿宋_GB2312"/>
                <w:i w:val="0"/>
                <w:iCs w:val="0"/>
                <w:color w:val="auto"/>
                <w:kern w:val="0"/>
                <w:sz w:val="24"/>
                <w:szCs w:val="24"/>
                <w:highlight w:val="none"/>
                <w:u w:val="none"/>
                <w:lang w:val="en-US" w:eastAsia="zh-CN"/>
              </w:rPr>
              <w:t>III</w:t>
            </w:r>
            <w:r>
              <w:rPr>
                <w:rFonts w:hint="eastAsia" w:ascii="Times New Roman" w:hAnsi="Times New Roman" w:eastAsia="仿宋_GB2312" w:cs="仿宋_GB2312"/>
                <w:i w:val="0"/>
                <w:iCs w:val="0"/>
                <w:color w:val="auto"/>
                <w:kern w:val="0"/>
                <w:sz w:val="24"/>
                <w:szCs w:val="24"/>
                <w:highlight w:val="none"/>
                <w:u w:val="none"/>
                <w:lang w:val="en-US" w:eastAsia="zh-CN"/>
              </w:rPr>
              <w:t>级定点医药机构管理的数量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2"/>
                <w:sz w:val="24"/>
                <w:szCs w:val="24"/>
                <w:highlight w:val="none"/>
                <w:u w:val="none"/>
                <w:lang w:val="en-US" w:eastAsia="zh-CN" w:bidi="ar-SA"/>
              </w:rPr>
            </w:pPr>
            <w:r>
              <w:rPr>
                <w:rFonts w:hint="eastAsia" w:ascii="Times New Roman" w:hAnsi="Times New Roman" w:eastAsia="仿宋_GB2312" w:cs="仿宋_GB2312"/>
                <w:i w:val="0"/>
                <w:iCs w:val="0"/>
                <w:color w:val="auto"/>
                <w:kern w:val="0"/>
                <w:sz w:val="18"/>
                <w:szCs w:val="18"/>
                <w:highlight w:val="none"/>
                <w:u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jc w:val="center"/>
        </w:trPr>
        <w:tc>
          <w:tcPr>
            <w:tcW w:w="2133" w:type="dxa"/>
            <w:shd w:val="clear" w:color="auto" w:fill="auto"/>
            <w:vAlign w:val="center"/>
          </w:tcPr>
          <w:p>
            <w:pPr>
              <w:keepNext w:val="0"/>
              <w:keepLines w:val="0"/>
              <w:pageBreakBefore w:val="0"/>
              <w:kinsoku/>
              <w:wordWrap/>
              <w:overflowPunct/>
              <w:topLinePunct w:val="0"/>
              <w:autoSpaceDE/>
              <w:autoSpaceDN/>
              <w:bidi w:val="0"/>
              <w:adjustRightInd/>
              <w:snapToGrid/>
              <w:spacing w:line="596" w:lineRule="exact"/>
              <w:jc w:val="center"/>
              <w:rPr>
                <w:rFonts w:hint="eastAsia" w:ascii="Times New Roman" w:hAnsi="Times New Roman" w:eastAsia="仿宋_GB2312" w:cs="仿宋_GB2312"/>
                <w:i w:val="0"/>
                <w:iCs w:val="0"/>
                <w:color w:val="auto"/>
                <w:sz w:val="24"/>
                <w:szCs w:val="24"/>
                <w:highlight w:val="none"/>
                <w:u w:val="none"/>
              </w:rPr>
            </w:pPr>
          </w:p>
        </w:tc>
        <w:tc>
          <w:tcPr>
            <w:tcW w:w="1553" w:type="dxa"/>
            <w:shd w:val="clear" w:color="auto" w:fill="auto"/>
            <w:vAlign w:val="center"/>
          </w:tcPr>
          <w:p>
            <w:pPr>
              <w:keepNext w:val="0"/>
              <w:keepLines w:val="0"/>
              <w:pageBreakBefore w:val="0"/>
              <w:kinsoku/>
              <w:wordWrap/>
              <w:overflowPunct/>
              <w:topLinePunct w:val="0"/>
              <w:autoSpaceDE/>
              <w:autoSpaceDN/>
              <w:bidi w:val="0"/>
              <w:adjustRightInd/>
              <w:snapToGrid/>
              <w:spacing w:line="596" w:lineRule="exact"/>
              <w:jc w:val="center"/>
              <w:rPr>
                <w:rFonts w:hint="eastAsia" w:ascii="Times New Roman" w:hAnsi="Times New Roman" w:eastAsia="仿宋_GB2312" w:cs="仿宋_GB2312"/>
                <w:i w:val="0"/>
                <w:iCs w:val="0"/>
                <w:color w:val="auto"/>
                <w:sz w:val="24"/>
                <w:szCs w:val="24"/>
                <w:highlight w:val="none"/>
                <w:u w:val="none"/>
              </w:rPr>
            </w:pPr>
          </w:p>
        </w:tc>
        <w:tc>
          <w:tcPr>
            <w:tcW w:w="1490" w:type="dxa"/>
            <w:shd w:val="clear" w:color="auto" w:fill="auto"/>
            <w:vAlign w:val="center"/>
          </w:tcPr>
          <w:p>
            <w:pPr>
              <w:keepNext w:val="0"/>
              <w:keepLines w:val="0"/>
              <w:pageBreakBefore w:val="0"/>
              <w:kinsoku/>
              <w:wordWrap/>
              <w:overflowPunct/>
              <w:topLinePunct w:val="0"/>
              <w:autoSpaceDE/>
              <w:autoSpaceDN/>
              <w:bidi w:val="0"/>
              <w:adjustRightInd/>
              <w:snapToGrid/>
              <w:spacing w:line="596" w:lineRule="exact"/>
              <w:jc w:val="center"/>
              <w:rPr>
                <w:rFonts w:hint="eastAsia" w:ascii="Times New Roman" w:hAnsi="Times New Roman" w:eastAsia="仿宋_GB2312" w:cs="仿宋_GB2312"/>
                <w:i w:val="0"/>
                <w:iCs w:val="0"/>
                <w:color w:val="auto"/>
                <w:sz w:val="24"/>
                <w:szCs w:val="24"/>
                <w:highlight w:val="none"/>
                <w:u w:val="none"/>
              </w:rPr>
            </w:pPr>
          </w:p>
        </w:tc>
        <w:tc>
          <w:tcPr>
            <w:tcW w:w="1521" w:type="dxa"/>
            <w:shd w:val="clear" w:color="auto" w:fill="auto"/>
            <w:vAlign w:val="center"/>
          </w:tcPr>
          <w:p>
            <w:pPr>
              <w:keepNext w:val="0"/>
              <w:keepLines w:val="0"/>
              <w:pageBreakBefore w:val="0"/>
              <w:kinsoku/>
              <w:wordWrap/>
              <w:overflowPunct/>
              <w:topLinePunct w:val="0"/>
              <w:autoSpaceDE/>
              <w:autoSpaceDN/>
              <w:bidi w:val="0"/>
              <w:adjustRightInd/>
              <w:snapToGrid/>
              <w:spacing w:line="596" w:lineRule="exact"/>
              <w:jc w:val="center"/>
              <w:rPr>
                <w:rFonts w:hint="eastAsia" w:ascii="Times New Roman" w:hAnsi="Times New Roman" w:eastAsia="仿宋_GB2312" w:cs="仿宋_GB2312"/>
                <w:i w:val="0"/>
                <w:iCs w:val="0"/>
                <w:color w:val="auto"/>
                <w:sz w:val="24"/>
                <w:szCs w:val="24"/>
                <w:highlight w:val="none"/>
                <w:u w:val="none"/>
              </w:rPr>
            </w:pPr>
          </w:p>
        </w:tc>
        <w:tc>
          <w:tcPr>
            <w:tcW w:w="21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6" w:lineRule="exact"/>
              <w:jc w:val="center"/>
              <w:textAlignment w:val="center"/>
              <w:rPr>
                <w:rFonts w:hint="eastAsia" w:ascii="Times New Roman" w:hAnsi="Times New Roman" w:eastAsia="仿宋_GB2312" w:cs="仿宋_GB2312"/>
                <w:i w:val="0"/>
                <w:iCs w:val="0"/>
                <w:color w:val="auto"/>
                <w:kern w:val="2"/>
                <w:sz w:val="24"/>
                <w:szCs w:val="24"/>
                <w:highlight w:val="none"/>
                <w:u w:val="none"/>
                <w:lang w:val="en-US" w:eastAsia="zh-CN" w:bidi="ar-SA"/>
              </w:rPr>
            </w:pPr>
          </w:p>
        </w:tc>
        <w:tc>
          <w:tcPr>
            <w:tcW w:w="14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6" w:lineRule="exact"/>
              <w:jc w:val="center"/>
              <w:textAlignment w:val="center"/>
              <w:rPr>
                <w:rFonts w:hint="eastAsia" w:ascii="Times New Roman" w:hAnsi="Times New Roman" w:eastAsia="仿宋_GB2312" w:cs="仿宋_GB2312"/>
                <w:i w:val="0"/>
                <w:iCs w:val="0"/>
                <w:color w:val="auto"/>
                <w:kern w:val="2"/>
                <w:sz w:val="24"/>
                <w:szCs w:val="24"/>
                <w:highlight w:val="none"/>
                <w:u w:val="none"/>
                <w:lang w:val="en-US" w:eastAsia="zh-CN" w:bidi="ar-SA"/>
              </w:rPr>
            </w:pPr>
          </w:p>
        </w:tc>
        <w:tc>
          <w:tcPr>
            <w:tcW w:w="1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6" w:lineRule="exact"/>
              <w:jc w:val="center"/>
              <w:textAlignment w:val="center"/>
              <w:rPr>
                <w:rFonts w:hint="eastAsia" w:ascii="Times New Roman" w:hAnsi="Times New Roman" w:eastAsia="仿宋_GB2312" w:cs="仿宋_GB2312"/>
                <w:i w:val="0"/>
                <w:iCs w:val="0"/>
                <w:color w:val="auto"/>
                <w:kern w:val="2"/>
                <w:sz w:val="24"/>
                <w:szCs w:val="24"/>
                <w:highlight w:val="none"/>
                <w:u w:val="none"/>
                <w:lang w:val="en-US" w:eastAsia="zh-CN" w:bidi="ar-SA"/>
              </w:rPr>
            </w:pPr>
          </w:p>
        </w:tc>
        <w:tc>
          <w:tcPr>
            <w:tcW w:w="15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6" w:lineRule="exact"/>
              <w:jc w:val="center"/>
              <w:textAlignment w:val="center"/>
              <w:rPr>
                <w:rFonts w:hint="eastAsia" w:ascii="Times New Roman" w:hAnsi="Times New Roman" w:eastAsia="仿宋_GB2312" w:cs="仿宋_GB2312"/>
                <w:i w:val="0"/>
                <w:iCs w:val="0"/>
                <w:color w:val="auto"/>
                <w:kern w:val="0"/>
                <w:sz w:val="24"/>
                <w:szCs w:val="24"/>
                <w:highlight w:val="none"/>
                <w:u w:val="none"/>
                <w:lang w:val="en-US" w:eastAsia="zh-CN"/>
              </w:rPr>
            </w:pPr>
          </w:p>
        </w:tc>
      </w:tr>
    </w:tbl>
    <w:p>
      <w:pPr>
        <w:keepNext w:val="0"/>
        <w:keepLines w:val="0"/>
        <w:pageBreakBefore w:val="0"/>
        <w:kinsoku/>
        <w:wordWrap/>
        <w:overflowPunct/>
        <w:topLinePunct w:val="0"/>
        <w:autoSpaceDE/>
        <w:autoSpaceDN/>
        <w:bidi w:val="0"/>
        <w:adjustRightInd/>
        <w:snapToGrid/>
        <w:spacing w:line="596" w:lineRule="exact"/>
        <w:jc w:val="both"/>
        <w:rPr>
          <w:rFonts w:hint="default" w:ascii="Times New Roman" w:hAnsi="Times New Roman" w:eastAsia="仿宋_GB2312" w:cs="Times New Roman"/>
          <w:i w:val="0"/>
          <w:iCs w:val="0"/>
          <w:caps w:val="0"/>
          <w:color w:val="auto"/>
          <w:spacing w:val="0"/>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lang w:val="en-US" w:eastAsia="zh-CN"/>
        </w:rPr>
        <w:t>填报单位：</w:t>
      </w:r>
      <w:r>
        <w:rPr>
          <w:rFonts w:hint="default" w:ascii="Times New Roman" w:hAnsi="Times New Roman" w:eastAsia="宋体" w:cs="Times New Roman"/>
          <w:i w:val="0"/>
          <w:iCs w:val="0"/>
          <w:caps w:val="0"/>
          <w:color w:val="auto"/>
          <w:spacing w:val="0"/>
          <w:sz w:val="13"/>
          <w:szCs w:val="13"/>
          <w:highlight w:val="none"/>
          <w:shd w:val="clear" w:color="auto" w:fill="FFFFFF"/>
        </w:rPr>
        <w:t>_______________________________________________</w:t>
      </w:r>
      <w:r>
        <w:rPr>
          <w:rFonts w:hint="default" w:ascii="Times New Roman" w:hAnsi="Times New Roman" w:eastAsia="仿宋_GB2312" w:cs="Times New Roman"/>
          <w:i w:val="0"/>
          <w:iCs w:val="0"/>
          <w:caps w:val="0"/>
          <w:color w:val="auto"/>
          <w:spacing w:val="0"/>
          <w:sz w:val="30"/>
          <w:szCs w:val="30"/>
          <w:highlight w:val="none"/>
          <w:shd w:val="clear" w:color="auto" w:fill="FFFFFF"/>
          <w:lang w:eastAsia="zh-CN"/>
        </w:rPr>
        <w:t>（</w:t>
      </w:r>
      <w:r>
        <w:rPr>
          <w:rFonts w:hint="default" w:ascii="Times New Roman" w:hAnsi="Times New Roman" w:eastAsia="仿宋_GB2312" w:cs="Times New Roman"/>
          <w:i w:val="0"/>
          <w:iCs w:val="0"/>
          <w:caps w:val="0"/>
          <w:color w:val="auto"/>
          <w:spacing w:val="0"/>
          <w:sz w:val="30"/>
          <w:szCs w:val="30"/>
          <w:highlight w:val="none"/>
          <w:shd w:val="clear" w:color="auto" w:fill="FFFFFF"/>
          <w:lang w:val="en-US" w:eastAsia="zh-CN"/>
        </w:rPr>
        <w:t>单位盖章</w:t>
      </w:r>
      <w:r>
        <w:rPr>
          <w:rFonts w:hint="default" w:ascii="Times New Roman" w:hAnsi="Times New Roman" w:eastAsia="仿宋_GB2312" w:cs="Times New Roman"/>
          <w:i w:val="0"/>
          <w:iCs w:val="0"/>
          <w:caps w:val="0"/>
          <w:color w:val="auto"/>
          <w:spacing w:val="0"/>
          <w:sz w:val="30"/>
          <w:szCs w:val="30"/>
          <w:highlight w:val="none"/>
          <w:shd w:val="clear" w:color="auto" w:fill="FFFFFF"/>
          <w:lang w:eastAsia="zh-CN"/>
        </w:rPr>
        <w:t>）</w:t>
      </w:r>
      <w:r>
        <w:rPr>
          <w:rFonts w:hint="eastAsia" w:ascii="Times New Roman" w:hAnsi="Times New Roman" w:eastAsia="仿宋_GB2312" w:cs="Times New Roman"/>
          <w:i w:val="0"/>
          <w:iCs w:val="0"/>
          <w:caps w:val="0"/>
          <w:color w:val="auto"/>
          <w:spacing w:val="0"/>
          <w:sz w:val="30"/>
          <w:szCs w:val="30"/>
          <w:highlight w:val="none"/>
          <w:shd w:val="clear" w:color="auto" w:fill="FFFFFF"/>
          <w:lang w:val="en-US" w:eastAsia="zh-CN"/>
        </w:rPr>
        <w:t xml:space="preserve">            联系人：            联系方式：</w:t>
      </w:r>
    </w:p>
    <w:p>
      <w:pPr>
        <w:keepNext w:val="0"/>
        <w:keepLines w:val="0"/>
        <w:pageBreakBefore w:val="0"/>
        <w:kinsoku/>
        <w:wordWrap/>
        <w:overflowPunct/>
        <w:topLinePunct w:val="0"/>
        <w:autoSpaceDE/>
        <w:autoSpaceDN/>
        <w:bidi w:val="0"/>
        <w:adjustRightInd/>
        <w:snapToGrid/>
        <w:spacing w:line="596" w:lineRule="exact"/>
        <w:rPr>
          <w:rFonts w:ascii="Times New Roman" w:hAnsi="Times New Roman"/>
          <w:color w:val="auto"/>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320" w:firstLineChars="100"/>
        <w:jc w:val="left"/>
        <w:textAlignment w:val="center"/>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仿宋_GB2312"/>
          <w:i w:val="0"/>
          <w:iCs w:val="0"/>
          <w:color w:val="auto"/>
          <w:kern w:val="0"/>
          <w:sz w:val="32"/>
          <w:szCs w:val="32"/>
          <w:highlight w:val="none"/>
          <w:u w:val="none"/>
          <w:lang w:val="en-US" w:eastAsia="zh-CN"/>
        </w:rPr>
        <w:t>说明：定点医疗机构特指纳入我省医保门诊结算分级管理范围的定点医疗机构，下表同。</w:t>
      </w:r>
      <w:bookmarkStart w:id="2" w:name="_GoBack"/>
      <w:bookmarkEnd w:id="2"/>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664D7"/>
    <w:rsid w:val="01715F8E"/>
    <w:rsid w:val="01E64B39"/>
    <w:rsid w:val="027735EC"/>
    <w:rsid w:val="03336ACD"/>
    <w:rsid w:val="04BA1CF1"/>
    <w:rsid w:val="05A50541"/>
    <w:rsid w:val="08E21303"/>
    <w:rsid w:val="09824780"/>
    <w:rsid w:val="0BE23536"/>
    <w:rsid w:val="0DD51F18"/>
    <w:rsid w:val="0F6845F0"/>
    <w:rsid w:val="105C4ECC"/>
    <w:rsid w:val="1257759D"/>
    <w:rsid w:val="1684640B"/>
    <w:rsid w:val="17BA6A6A"/>
    <w:rsid w:val="17C30FA0"/>
    <w:rsid w:val="19500FA8"/>
    <w:rsid w:val="199311B9"/>
    <w:rsid w:val="1CC35E36"/>
    <w:rsid w:val="211B18A2"/>
    <w:rsid w:val="23B720F8"/>
    <w:rsid w:val="25D462B2"/>
    <w:rsid w:val="295A74FA"/>
    <w:rsid w:val="29F06BAF"/>
    <w:rsid w:val="2B1819D4"/>
    <w:rsid w:val="2EE8759E"/>
    <w:rsid w:val="2FDC61FB"/>
    <w:rsid w:val="30C8647F"/>
    <w:rsid w:val="320E5303"/>
    <w:rsid w:val="35D273BC"/>
    <w:rsid w:val="361B2894"/>
    <w:rsid w:val="36F25AA0"/>
    <w:rsid w:val="37B336C5"/>
    <w:rsid w:val="388B0C24"/>
    <w:rsid w:val="38AD50FE"/>
    <w:rsid w:val="3A2E0CF7"/>
    <w:rsid w:val="3CD07BD7"/>
    <w:rsid w:val="3E9A7668"/>
    <w:rsid w:val="40FA0562"/>
    <w:rsid w:val="412C5B90"/>
    <w:rsid w:val="41C23487"/>
    <w:rsid w:val="43274941"/>
    <w:rsid w:val="4359118C"/>
    <w:rsid w:val="44ED7E56"/>
    <w:rsid w:val="45806FC2"/>
    <w:rsid w:val="48983A45"/>
    <w:rsid w:val="48CA0155"/>
    <w:rsid w:val="48DD28EF"/>
    <w:rsid w:val="493C6539"/>
    <w:rsid w:val="4A3F43C1"/>
    <w:rsid w:val="4F225385"/>
    <w:rsid w:val="50CA2BBB"/>
    <w:rsid w:val="51B40F8C"/>
    <w:rsid w:val="51D81A6E"/>
    <w:rsid w:val="525C36F3"/>
    <w:rsid w:val="544C0398"/>
    <w:rsid w:val="54C11B32"/>
    <w:rsid w:val="55C649CF"/>
    <w:rsid w:val="596A7AE3"/>
    <w:rsid w:val="5AB36911"/>
    <w:rsid w:val="5C752F99"/>
    <w:rsid w:val="5CCB4880"/>
    <w:rsid w:val="5D08598D"/>
    <w:rsid w:val="5F844AC9"/>
    <w:rsid w:val="5FAC7B23"/>
    <w:rsid w:val="5FB0533C"/>
    <w:rsid w:val="60AB21A2"/>
    <w:rsid w:val="615A275D"/>
    <w:rsid w:val="62243596"/>
    <w:rsid w:val="623F6247"/>
    <w:rsid w:val="62B31701"/>
    <w:rsid w:val="651D1692"/>
    <w:rsid w:val="670703C2"/>
    <w:rsid w:val="684F3C7A"/>
    <w:rsid w:val="690C25C3"/>
    <w:rsid w:val="6AE10DD5"/>
    <w:rsid w:val="6B0D4304"/>
    <w:rsid w:val="6B393F40"/>
    <w:rsid w:val="6B6C03F8"/>
    <w:rsid w:val="6B8262D3"/>
    <w:rsid w:val="6BDC1A3A"/>
    <w:rsid w:val="6C276CBC"/>
    <w:rsid w:val="6C69349C"/>
    <w:rsid w:val="6D7E0836"/>
    <w:rsid w:val="6FC47E1D"/>
    <w:rsid w:val="71A1173D"/>
    <w:rsid w:val="73CE5E43"/>
    <w:rsid w:val="76004952"/>
    <w:rsid w:val="77EA64B4"/>
    <w:rsid w:val="78DC2786"/>
    <w:rsid w:val="79B00B74"/>
    <w:rsid w:val="7C081A13"/>
    <w:rsid w:val="7D081559"/>
    <w:rsid w:val="7D0A1C33"/>
    <w:rsid w:val="7D4F07D1"/>
    <w:rsid w:val="7E3F2049"/>
    <w:rsid w:val="979D847B"/>
    <w:rsid w:val="B6F7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Autospacing="0" w:line="560" w:lineRule="exact"/>
      <w:ind w:firstLine="880" w:firstLine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3196</Words>
  <Characters>3438</Characters>
  <Paragraphs>148</Paragraphs>
  <TotalTime>18</TotalTime>
  <ScaleCrop>false</ScaleCrop>
  <LinksUpToDate>false</LinksUpToDate>
  <CharactersWithSpaces>3553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2025-04-04T04:23:00Z</dcterms:created>
  <dc:creator>lenovo</dc:creator>
  <cp:lastModifiedBy>thtf</cp:lastModifiedBy>
  <cp:lastPrinted>2025-09-04T09:45:00Z</cp:lastPrinted>
  <dcterms:modified xsi:type="dcterms:W3CDTF">2025-09-22T10:27:23Z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eyJoZGlkIjoiMDQyZjcyY2RlMWNhMzcwYjdhMDg3YTA0MzVjNmY0M2MiLCJ1c2VySWQiOiIzMzAxOTI0NTMifQ==</vt:lpwstr>
  </property>
  <property fmtid="{D5CDD505-2E9C-101B-9397-08002B2CF9AE}" pid="4" name="ICV">
    <vt:lpwstr>C19C053324E84D5EA8CDB991A806C3E4_13</vt:lpwstr>
  </property>
</Properties>
</file>