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02EDF" w14:textId="77777777" w:rsidR="001F5498" w:rsidRPr="00C33093" w:rsidRDefault="001F5498" w:rsidP="001F5498">
      <w:pPr>
        <w:adjustRightInd w:val="0"/>
        <w:snapToGrid w:val="0"/>
        <w:jc w:val="center"/>
        <w:rPr>
          <w:rFonts w:ascii="Times New Roman" w:eastAsia="方正小标宋简体" w:hAnsi="Times New Roman" w:cs="Times New Roman"/>
          <w:sz w:val="36"/>
          <w:szCs w:val="36"/>
        </w:rPr>
      </w:pPr>
      <w:bookmarkStart w:id="0" w:name="_GoBack"/>
      <w:bookmarkEnd w:id="0"/>
      <w:r w:rsidRPr="00C33093">
        <w:rPr>
          <w:rFonts w:ascii="Times New Roman" w:eastAsia="方正小标宋简体" w:hAnsi="Times New Roman" w:cs="Times New Roman"/>
          <w:sz w:val="36"/>
          <w:szCs w:val="36"/>
        </w:rPr>
        <w:t>《</w:t>
      </w:r>
      <w:r w:rsidR="00657FF4" w:rsidRPr="00657FF4">
        <w:rPr>
          <w:rFonts w:ascii="Times New Roman" w:eastAsia="方正小标宋简体" w:hAnsi="Times New Roman" w:cs="Times New Roman" w:hint="eastAsia"/>
          <w:sz w:val="36"/>
          <w:szCs w:val="36"/>
        </w:rPr>
        <w:t>成人用药数据外推至儿科人群的定量方法学指导原则</w:t>
      </w:r>
      <w:r w:rsidR="009C26D1" w:rsidRPr="009C26D1">
        <w:rPr>
          <w:rFonts w:ascii="Times New Roman" w:eastAsia="方正小标宋简体" w:hAnsi="Times New Roman" w:cs="Times New Roman" w:hint="eastAsia"/>
          <w:sz w:val="36"/>
          <w:szCs w:val="36"/>
        </w:rPr>
        <w:t>（征求意见稿）</w:t>
      </w:r>
      <w:r w:rsidRPr="00C33093">
        <w:rPr>
          <w:rFonts w:ascii="Times New Roman" w:eastAsia="方正小标宋简体" w:hAnsi="Times New Roman" w:cs="Times New Roman"/>
          <w:sz w:val="36"/>
          <w:szCs w:val="36"/>
        </w:rPr>
        <w:t>》起草说明</w:t>
      </w:r>
    </w:p>
    <w:p w14:paraId="4CC2FD3F" w14:textId="77777777" w:rsidR="001F5498" w:rsidRPr="00C33093" w:rsidRDefault="001F5498" w:rsidP="001F5498">
      <w:pPr>
        <w:rPr>
          <w:rFonts w:ascii="Times New Roman" w:eastAsia="仿宋_GB2312" w:hAnsi="Times New Roman" w:cs="Times New Roman"/>
          <w:sz w:val="32"/>
          <w:szCs w:val="32"/>
        </w:rPr>
      </w:pPr>
    </w:p>
    <w:p w14:paraId="6F7A4ABA" w14:textId="77777777" w:rsidR="001F5498" w:rsidRPr="00C33093" w:rsidRDefault="001F5498" w:rsidP="001F5498">
      <w:pPr>
        <w:adjustRightInd w:val="0"/>
        <w:snapToGrid w:val="0"/>
        <w:spacing w:line="360" w:lineRule="auto"/>
        <w:ind w:firstLineChars="200" w:firstLine="640"/>
        <w:rPr>
          <w:rFonts w:ascii="Times New Roman" w:eastAsia="仿宋_GB2312" w:hAnsi="Times New Roman" w:cs="Times New Roman"/>
          <w:sz w:val="32"/>
          <w:szCs w:val="32"/>
        </w:rPr>
      </w:pPr>
      <w:r w:rsidRPr="00C33093">
        <w:rPr>
          <w:rFonts w:ascii="Times New Roman" w:eastAsia="黑体" w:hAnsi="Times New Roman" w:cs="Times New Roman"/>
          <w:sz w:val="32"/>
          <w:szCs w:val="32"/>
        </w:rPr>
        <w:t>一、起草目的</w:t>
      </w:r>
    </w:p>
    <w:p w14:paraId="4191B08A" w14:textId="0425F12C" w:rsidR="001F5498" w:rsidRPr="00657FF4" w:rsidRDefault="00792C81" w:rsidP="001E7261">
      <w:pPr>
        <w:ind w:firstLineChars="221" w:firstLine="707"/>
        <w:rPr>
          <w:rFonts w:ascii="Times New Roman" w:eastAsia="仿宋_GB2312" w:hAnsi="Times New Roman" w:cs="Times New Roman"/>
          <w:sz w:val="32"/>
          <w:szCs w:val="36"/>
          <w:highlight w:val="yellow"/>
        </w:rPr>
      </w:pPr>
      <w:r>
        <w:rPr>
          <w:rFonts w:ascii="Times New Roman" w:eastAsia="仿宋_GB2312" w:hAnsi="Times New Roman" w:cs="Times New Roman" w:hint="eastAsia"/>
          <w:sz w:val="32"/>
          <w:szCs w:val="36"/>
        </w:rPr>
        <w:t>对于</w:t>
      </w:r>
      <w:r>
        <w:rPr>
          <w:rFonts w:ascii="Times New Roman" w:eastAsia="仿宋_GB2312" w:hAnsi="Times New Roman" w:cs="Times New Roman"/>
          <w:sz w:val="32"/>
          <w:szCs w:val="36"/>
        </w:rPr>
        <w:t>儿科药物研发，</w:t>
      </w:r>
      <w:r>
        <w:rPr>
          <w:rFonts w:ascii="Times New Roman" w:eastAsia="仿宋_GB2312" w:hAnsi="Times New Roman" w:cs="Times New Roman" w:hint="eastAsia"/>
          <w:sz w:val="32"/>
          <w:szCs w:val="36"/>
        </w:rPr>
        <w:t>在</w:t>
      </w:r>
      <w:r w:rsidR="00344129">
        <w:rPr>
          <w:rFonts w:ascii="Times New Roman" w:eastAsia="仿宋_GB2312" w:hAnsi="Times New Roman" w:cs="Times New Roman" w:hint="eastAsia"/>
          <w:sz w:val="32"/>
          <w:szCs w:val="36"/>
        </w:rPr>
        <w:t>一般</w:t>
      </w:r>
      <w:r w:rsidR="00344129">
        <w:rPr>
          <w:rFonts w:ascii="Times New Roman" w:eastAsia="仿宋_GB2312" w:hAnsi="Times New Roman" w:cs="Times New Roman"/>
          <w:sz w:val="32"/>
          <w:szCs w:val="36"/>
        </w:rPr>
        <w:t>情况下，</w:t>
      </w:r>
      <w:r w:rsidR="00344129" w:rsidRPr="001E69FA">
        <w:rPr>
          <w:rFonts w:eastAsia="仿宋_GB2312" w:hint="eastAsia"/>
          <w:sz w:val="32"/>
          <w:szCs w:val="32"/>
        </w:rPr>
        <w:t>在研发之初可能存在一些可被利用的成人数据</w:t>
      </w:r>
      <w:r w:rsidR="00923EA9">
        <w:rPr>
          <w:rFonts w:ascii="Times New Roman" w:eastAsia="仿宋_GB2312" w:hAnsi="Times New Roman" w:cs="Times New Roman" w:hint="eastAsia"/>
          <w:sz w:val="32"/>
          <w:szCs w:val="36"/>
        </w:rPr>
        <w:t>。药品审评</w:t>
      </w:r>
      <w:r w:rsidR="00344129">
        <w:rPr>
          <w:rFonts w:ascii="Times New Roman" w:eastAsia="仿宋_GB2312" w:hAnsi="Times New Roman" w:cs="Times New Roman" w:hint="eastAsia"/>
          <w:sz w:val="32"/>
          <w:szCs w:val="36"/>
        </w:rPr>
        <w:t>中心</w:t>
      </w:r>
      <w:r w:rsidR="00344129">
        <w:rPr>
          <w:rFonts w:ascii="Times New Roman" w:eastAsia="仿宋_GB2312" w:hAnsi="Times New Roman" w:cs="Times New Roman"/>
          <w:sz w:val="32"/>
          <w:szCs w:val="36"/>
        </w:rPr>
        <w:t>在</w:t>
      </w:r>
      <w:r w:rsidR="00344129">
        <w:rPr>
          <w:rFonts w:ascii="Times New Roman" w:eastAsia="仿宋_GB2312" w:hAnsi="Times New Roman" w:cs="Times New Roman" w:hint="eastAsia"/>
          <w:sz w:val="32"/>
          <w:szCs w:val="36"/>
        </w:rPr>
        <w:t>2017</w:t>
      </w:r>
      <w:r w:rsidR="00344129">
        <w:rPr>
          <w:rFonts w:ascii="Times New Roman" w:eastAsia="仿宋_GB2312" w:hAnsi="Times New Roman" w:cs="Times New Roman" w:hint="eastAsia"/>
          <w:sz w:val="32"/>
          <w:szCs w:val="36"/>
        </w:rPr>
        <w:t>年</w:t>
      </w:r>
      <w:r w:rsidR="00344129">
        <w:rPr>
          <w:rFonts w:ascii="Times New Roman" w:eastAsia="仿宋_GB2312" w:hAnsi="Times New Roman" w:cs="Times New Roman"/>
          <w:sz w:val="32"/>
          <w:szCs w:val="36"/>
        </w:rPr>
        <w:t>发布了</w:t>
      </w:r>
      <w:r w:rsidR="00344129">
        <w:rPr>
          <w:rFonts w:ascii="Times New Roman" w:eastAsia="仿宋_GB2312" w:hAnsi="Times New Roman" w:cs="Times New Roman" w:hint="eastAsia"/>
          <w:sz w:val="32"/>
          <w:szCs w:val="36"/>
        </w:rPr>
        <w:t>《</w:t>
      </w:r>
      <w:r w:rsidR="00344129" w:rsidRPr="00AF7C98">
        <w:rPr>
          <w:rFonts w:ascii="Times New Roman" w:eastAsia="仿宋_GB2312" w:hAnsi="Times New Roman" w:cs="Times New Roman"/>
          <w:sz w:val="32"/>
          <w:szCs w:val="36"/>
        </w:rPr>
        <w:t>成人用药数据外推至儿科人群的技术指导原则</w:t>
      </w:r>
      <w:r w:rsidR="00344129">
        <w:rPr>
          <w:rFonts w:ascii="Times New Roman" w:eastAsia="仿宋_GB2312" w:hAnsi="Times New Roman" w:cs="Times New Roman" w:hint="eastAsia"/>
          <w:sz w:val="32"/>
          <w:szCs w:val="36"/>
        </w:rPr>
        <w:t>》</w:t>
      </w:r>
      <w:r w:rsidR="00923EA9">
        <w:rPr>
          <w:rFonts w:ascii="Times New Roman" w:eastAsia="仿宋_GB2312" w:hAnsi="Times New Roman" w:cs="Times New Roman" w:hint="eastAsia"/>
          <w:sz w:val="32"/>
          <w:szCs w:val="36"/>
        </w:rPr>
        <w:t>，</w:t>
      </w:r>
      <w:r w:rsidR="00344129">
        <w:rPr>
          <w:rFonts w:ascii="Times New Roman" w:eastAsia="仿宋_GB2312" w:hAnsi="Times New Roman" w:cs="Times New Roman" w:hint="eastAsia"/>
          <w:sz w:val="32"/>
          <w:szCs w:val="36"/>
        </w:rPr>
        <w:t>对</w:t>
      </w:r>
      <w:r w:rsidR="00344129">
        <w:rPr>
          <w:rFonts w:ascii="Times New Roman" w:eastAsia="仿宋_GB2312" w:hAnsi="Times New Roman" w:cs="Times New Roman"/>
          <w:sz w:val="32"/>
          <w:szCs w:val="36"/>
        </w:rPr>
        <w:t>利用成人用药</w:t>
      </w:r>
      <w:r w:rsidR="00344129">
        <w:rPr>
          <w:rFonts w:ascii="Times New Roman" w:eastAsia="仿宋_GB2312" w:hAnsi="Times New Roman" w:cs="Times New Roman" w:hint="eastAsia"/>
          <w:sz w:val="32"/>
          <w:szCs w:val="36"/>
        </w:rPr>
        <w:t>数据</w:t>
      </w:r>
      <w:r w:rsidR="00344129">
        <w:rPr>
          <w:rFonts w:ascii="Times New Roman" w:eastAsia="仿宋_GB2312" w:hAnsi="Times New Roman" w:cs="Times New Roman"/>
          <w:sz w:val="32"/>
          <w:szCs w:val="36"/>
        </w:rPr>
        <w:t>外推至儿科人群提供了概括性的指导</w:t>
      </w:r>
      <w:r w:rsidR="00344129">
        <w:rPr>
          <w:rFonts w:ascii="Times New Roman" w:eastAsia="仿宋_GB2312" w:hAnsi="Times New Roman" w:cs="Times New Roman" w:hint="eastAsia"/>
          <w:sz w:val="32"/>
          <w:szCs w:val="36"/>
        </w:rPr>
        <w:t>。</w:t>
      </w:r>
      <w:r w:rsidR="00344129" w:rsidRPr="00C86C8E">
        <w:rPr>
          <w:rFonts w:ascii="Times New Roman" w:eastAsia="仿宋_GB2312" w:hAnsi="Times New Roman" w:cs="Times New Roman" w:hint="eastAsia"/>
          <w:sz w:val="32"/>
          <w:szCs w:val="36"/>
        </w:rPr>
        <w:t>为</w:t>
      </w:r>
      <w:r w:rsidR="00344129">
        <w:rPr>
          <w:rFonts w:ascii="Times New Roman" w:eastAsia="仿宋_GB2312" w:hAnsi="Times New Roman" w:cs="Times New Roman" w:hint="eastAsia"/>
          <w:sz w:val="32"/>
          <w:szCs w:val="36"/>
        </w:rPr>
        <w:t>解决申办者</w:t>
      </w:r>
      <w:r w:rsidR="00344129">
        <w:rPr>
          <w:rFonts w:ascii="Times New Roman" w:eastAsia="仿宋_GB2312" w:hAnsi="Times New Roman" w:cs="Times New Roman"/>
          <w:sz w:val="32"/>
          <w:szCs w:val="36"/>
        </w:rPr>
        <w:t>在</w:t>
      </w:r>
      <w:r w:rsidR="00344129">
        <w:rPr>
          <w:rFonts w:ascii="Times New Roman" w:eastAsia="仿宋_GB2312" w:hAnsi="Times New Roman" w:cs="Times New Roman" w:hint="eastAsia"/>
          <w:sz w:val="32"/>
          <w:szCs w:val="36"/>
        </w:rPr>
        <w:t>实际研发</w:t>
      </w:r>
      <w:r w:rsidR="00344129">
        <w:rPr>
          <w:rFonts w:ascii="Times New Roman" w:eastAsia="仿宋_GB2312" w:hAnsi="Times New Roman" w:cs="Times New Roman"/>
          <w:sz w:val="32"/>
          <w:szCs w:val="36"/>
        </w:rPr>
        <w:t>中</w:t>
      </w:r>
      <w:r w:rsidR="00923EA9">
        <w:rPr>
          <w:rFonts w:ascii="Times New Roman" w:eastAsia="仿宋_GB2312" w:hAnsi="Times New Roman" w:cs="Times New Roman" w:hint="eastAsia"/>
          <w:sz w:val="32"/>
          <w:szCs w:val="36"/>
        </w:rPr>
        <w:t>采用具体</w:t>
      </w:r>
      <w:r w:rsidR="00344129">
        <w:rPr>
          <w:rFonts w:ascii="Times New Roman" w:eastAsia="仿宋_GB2312" w:hAnsi="Times New Roman" w:cs="Times New Roman"/>
          <w:sz w:val="32"/>
          <w:szCs w:val="36"/>
        </w:rPr>
        <w:t>方法的问题，</w:t>
      </w:r>
      <w:r w:rsidR="00344129" w:rsidRPr="00C86C8E">
        <w:rPr>
          <w:rFonts w:ascii="Times New Roman" w:eastAsia="仿宋_GB2312" w:hAnsi="Times New Roman" w:cs="Times New Roman" w:hint="eastAsia"/>
          <w:sz w:val="32"/>
          <w:szCs w:val="36"/>
        </w:rPr>
        <w:t>进一步完善</w:t>
      </w:r>
      <w:r w:rsidR="00344129" w:rsidRPr="00C86C8E">
        <w:rPr>
          <w:rFonts w:ascii="Times New Roman" w:eastAsia="仿宋_GB2312" w:hAnsi="Times New Roman" w:cs="Times New Roman"/>
          <w:sz w:val="32"/>
          <w:szCs w:val="36"/>
        </w:rPr>
        <w:t>国内</w:t>
      </w:r>
      <w:r w:rsidR="00344129" w:rsidRPr="00C86C8E">
        <w:rPr>
          <w:rFonts w:ascii="Times New Roman" w:eastAsia="仿宋_GB2312" w:hAnsi="Times New Roman" w:cs="Times New Roman" w:hint="eastAsia"/>
          <w:sz w:val="32"/>
          <w:szCs w:val="36"/>
        </w:rPr>
        <w:t>儿科用药指导原则体系，</w:t>
      </w:r>
      <w:r w:rsidR="00611D5D" w:rsidRPr="00EE5BF9">
        <w:rPr>
          <w:rFonts w:ascii="Times New Roman" w:eastAsia="仿宋_GB2312" w:hAnsi="Times New Roman" w:cs="Times New Roman" w:hint="eastAsia"/>
          <w:sz w:val="32"/>
          <w:szCs w:val="36"/>
        </w:rPr>
        <w:t>本指导原则</w:t>
      </w:r>
      <w:r w:rsidR="00B57484">
        <w:rPr>
          <w:rFonts w:ascii="Times New Roman" w:eastAsia="仿宋_GB2312" w:hAnsi="Times New Roman" w:cs="Times New Roman"/>
          <w:sz w:val="32"/>
          <w:szCs w:val="36"/>
        </w:rPr>
        <w:t>在</w:t>
      </w:r>
      <w:r w:rsidR="000F3B39" w:rsidRPr="00EE5BF9">
        <w:rPr>
          <w:rFonts w:ascii="Times New Roman" w:eastAsia="仿宋_GB2312" w:hAnsi="Times New Roman" w:cs="Times New Roman"/>
          <w:sz w:val="32"/>
          <w:szCs w:val="32"/>
        </w:rPr>
        <w:t>ICH</w:t>
      </w:r>
      <w:r w:rsidR="000F3B39" w:rsidRPr="00EE5BF9">
        <w:rPr>
          <w:rFonts w:ascii="Times New Roman" w:eastAsia="仿宋_GB2312" w:hAnsi="Times New Roman" w:cs="Times New Roman"/>
          <w:sz w:val="32"/>
          <w:szCs w:val="32"/>
        </w:rPr>
        <w:t>《</w:t>
      </w:r>
      <w:r w:rsidR="000F3B39" w:rsidRPr="00EE5BF9">
        <w:rPr>
          <w:rFonts w:ascii="Times New Roman" w:eastAsia="仿宋_GB2312" w:hAnsi="Times New Roman" w:cs="Times New Roman"/>
          <w:sz w:val="32"/>
          <w:szCs w:val="32"/>
        </w:rPr>
        <w:t>E11A</w:t>
      </w:r>
      <w:r w:rsidR="000F3B39" w:rsidRPr="00EE5BF9">
        <w:rPr>
          <w:rFonts w:ascii="Times New Roman" w:eastAsia="仿宋_GB2312" w:hAnsi="Times New Roman" w:cs="Times New Roman"/>
          <w:sz w:val="32"/>
          <w:szCs w:val="32"/>
        </w:rPr>
        <w:t>：儿科外推》</w:t>
      </w:r>
      <w:r w:rsidR="000F3B39">
        <w:rPr>
          <w:rFonts w:ascii="Times New Roman" w:eastAsia="仿宋_GB2312" w:hAnsi="Times New Roman" w:cs="Times New Roman" w:hint="eastAsia"/>
          <w:sz w:val="32"/>
          <w:szCs w:val="32"/>
        </w:rPr>
        <w:t>的</w:t>
      </w:r>
      <w:r w:rsidR="000F3B39">
        <w:rPr>
          <w:rFonts w:ascii="Times New Roman" w:eastAsia="仿宋_GB2312" w:hAnsi="Times New Roman" w:cs="Times New Roman"/>
          <w:sz w:val="32"/>
          <w:szCs w:val="32"/>
        </w:rPr>
        <w:t>基础上，</w:t>
      </w:r>
      <w:r w:rsidR="00B57484">
        <w:rPr>
          <w:rFonts w:ascii="Times New Roman" w:eastAsia="仿宋_GB2312" w:hAnsi="Times New Roman" w:cs="Times New Roman" w:hint="eastAsia"/>
          <w:sz w:val="32"/>
          <w:szCs w:val="36"/>
        </w:rPr>
        <w:t>对</w:t>
      </w:r>
      <w:r w:rsidR="00EE5BF9" w:rsidRPr="00EE5BF9">
        <w:rPr>
          <w:rFonts w:ascii="Times New Roman" w:eastAsia="仿宋_GB2312" w:hAnsi="Times New Roman" w:cs="Times New Roman" w:hint="eastAsia"/>
          <w:sz w:val="32"/>
          <w:szCs w:val="36"/>
        </w:rPr>
        <w:t>成人用药数据外推至儿科人群采用的</w:t>
      </w:r>
      <w:r w:rsidR="00EE5BF9" w:rsidRPr="00EE5BF9">
        <w:rPr>
          <w:rFonts w:ascii="Times New Roman" w:eastAsia="仿宋_GB2312" w:hAnsi="Times New Roman" w:cs="Times New Roman"/>
          <w:sz w:val="32"/>
          <w:szCs w:val="36"/>
        </w:rPr>
        <w:t>定量</w:t>
      </w:r>
      <w:r w:rsidR="00EE5BF9" w:rsidRPr="00EE5BF9">
        <w:rPr>
          <w:rFonts w:ascii="Times New Roman" w:eastAsia="仿宋_GB2312" w:hAnsi="Times New Roman" w:cs="Times New Roman" w:hint="eastAsia"/>
          <w:sz w:val="32"/>
          <w:szCs w:val="36"/>
        </w:rPr>
        <w:t>方法学</w:t>
      </w:r>
      <w:r w:rsidR="00EE5BF9" w:rsidRPr="00EE5BF9">
        <w:rPr>
          <w:rFonts w:ascii="Times New Roman" w:eastAsia="仿宋_GB2312" w:hAnsi="Times New Roman" w:cs="Times New Roman"/>
          <w:sz w:val="32"/>
          <w:szCs w:val="36"/>
        </w:rPr>
        <w:t>方面</w:t>
      </w:r>
      <w:r w:rsidR="00611D5D" w:rsidRPr="00EE5BF9">
        <w:rPr>
          <w:rFonts w:ascii="Times New Roman" w:eastAsia="仿宋_GB2312" w:hAnsi="Times New Roman" w:cs="Times New Roman" w:hint="eastAsia"/>
          <w:sz w:val="32"/>
          <w:szCs w:val="36"/>
        </w:rPr>
        <w:t>给出</w:t>
      </w:r>
      <w:r w:rsidR="00376C83">
        <w:rPr>
          <w:rFonts w:ascii="Times New Roman" w:eastAsia="仿宋_GB2312" w:hAnsi="Times New Roman" w:cs="Times New Roman" w:hint="eastAsia"/>
          <w:sz w:val="32"/>
          <w:szCs w:val="36"/>
        </w:rPr>
        <w:t>具体</w:t>
      </w:r>
      <w:r w:rsidR="00804AEE" w:rsidRPr="00EE5BF9">
        <w:rPr>
          <w:rFonts w:ascii="Times New Roman" w:eastAsia="仿宋_GB2312" w:hAnsi="Times New Roman" w:cs="Times New Roman" w:hint="eastAsia"/>
          <w:sz w:val="32"/>
          <w:szCs w:val="36"/>
        </w:rPr>
        <w:t>指导性建议</w:t>
      </w:r>
      <w:r w:rsidR="00804AEE">
        <w:rPr>
          <w:rFonts w:ascii="Times New Roman" w:eastAsia="仿宋_GB2312" w:hAnsi="Times New Roman" w:cs="Times New Roman" w:hint="eastAsia"/>
          <w:sz w:val="32"/>
          <w:szCs w:val="36"/>
        </w:rPr>
        <w:t>，</w:t>
      </w:r>
      <w:r w:rsidR="000F3B39" w:rsidRPr="00EE5BF9">
        <w:rPr>
          <w:rFonts w:ascii="Times New Roman" w:eastAsia="仿宋_GB2312" w:hAnsi="Times New Roman" w:cs="Times New Roman" w:hint="eastAsia"/>
          <w:sz w:val="32"/>
          <w:szCs w:val="36"/>
        </w:rPr>
        <w:t>旨在</w:t>
      </w:r>
      <w:r w:rsidR="00804AEE">
        <w:rPr>
          <w:rFonts w:ascii="Times New Roman" w:eastAsia="仿宋_GB2312" w:hAnsi="Times New Roman" w:cs="Times New Roman" w:hint="eastAsia"/>
          <w:sz w:val="32"/>
          <w:szCs w:val="36"/>
        </w:rPr>
        <w:t>帮助</w:t>
      </w:r>
      <w:r w:rsidR="00B57484">
        <w:rPr>
          <w:rFonts w:ascii="Times New Roman" w:eastAsia="仿宋_GB2312" w:hAnsi="Times New Roman" w:cs="Times New Roman" w:hint="eastAsia"/>
          <w:sz w:val="32"/>
          <w:szCs w:val="36"/>
        </w:rPr>
        <w:t>申办者</w:t>
      </w:r>
      <w:r w:rsidR="00611D5D" w:rsidRPr="00EE5BF9">
        <w:rPr>
          <w:rFonts w:ascii="Times New Roman" w:eastAsia="仿宋_GB2312" w:hAnsi="Times New Roman" w:cs="Times New Roman" w:hint="eastAsia"/>
          <w:sz w:val="32"/>
          <w:szCs w:val="36"/>
        </w:rPr>
        <w:t>提高研发效率。</w:t>
      </w:r>
    </w:p>
    <w:p w14:paraId="0D2E786D" w14:textId="77777777" w:rsidR="001F5498" w:rsidRPr="00EE5BF9" w:rsidRDefault="001F5498" w:rsidP="001F5498">
      <w:pPr>
        <w:adjustRightInd w:val="0"/>
        <w:snapToGrid w:val="0"/>
        <w:spacing w:line="360" w:lineRule="auto"/>
        <w:ind w:firstLineChars="200" w:firstLine="640"/>
        <w:rPr>
          <w:rFonts w:ascii="Times New Roman" w:eastAsia="黑体" w:hAnsi="Times New Roman" w:cs="Times New Roman"/>
          <w:sz w:val="32"/>
          <w:szCs w:val="32"/>
        </w:rPr>
      </w:pPr>
      <w:r w:rsidRPr="00EE5BF9">
        <w:rPr>
          <w:rFonts w:ascii="Times New Roman" w:eastAsia="黑体" w:hAnsi="Times New Roman" w:cs="Times New Roman"/>
          <w:sz w:val="32"/>
          <w:szCs w:val="32"/>
        </w:rPr>
        <w:t>二、起草过程</w:t>
      </w:r>
    </w:p>
    <w:p w14:paraId="4ACE9C5A" w14:textId="77777777" w:rsidR="001F5498" w:rsidRPr="00EE5BF9" w:rsidRDefault="001F5498" w:rsidP="001F5498">
      <w:pPr>
        <w:spacing w:line="360" w:lineRule="auto"/>
        <w:ind w:firstLineChars="200" w:firstLine="640"/>
        <w:rPr>
          <w:rFonts w:ascii="Times New Roman" w:eastAsia="楷体_GB2312" w:hAnsi="Times New Roman" w:cs="Times New Roman"/>
          <w:sz w:val="32"/>
          <w:szCs w:val="32"/>
        </w:rPr>
      </w:pPr>
      <w:r w:rsidRPr="00EE5BF9">
        <w:rPr>
          <w:rFonts w:ascii="Times New Roman" w:eastAsia="楷体_GB2312" w:hAnsi="Times New Roman" w:cs="Times New Roman"/>
          <w:sz w:val="32"/>
          <w:szCs w:val="32"/>
        </w:rPr>
        <w:t>（一）起草前期调研论证情况</w:t>
      </w:r>
    </w:p>
    <w:p w14:paraId="73510FB8" w14:textId="77777777" w:rsidR="00740EA2" w:rsidRPr="00EE5BF9" w:rsidRDefault="00740EA2" w:rsidP="00740EA2">
      <w:pPr>
        <w:spacing w:line="360" w:lineRule="auto"/>
        <w:ind w:firstLineChars="200" w:firstLine="640"/>
        <w:rPr>
          <w:rFonts w:ascii="Times New Roman" w:eastAsia="仿宋_GB2312" w:hAnsi="Times New Roman" w:cs="Times New Roman"/>
          <w:sz w:val="32"/>
          <w:szCs w:val="32"/>
        </w:rPr>
      </w:pPr>
      <w:r w:rsidRPr="00EE5BF9">
        <w:rPr>
          <w:rFonts w:ascii="Times New Roman" w:eastAsia="仿宋_GB2312" w:hAnsi="Times New Roman" w:cs="Times New Roman" w:hint="eastAsia"/>
          <w:sz w:val="32"/>
          <w:szCs w:val="32"/>
        </w:rPr>
        <w:t>本指导原则的起草小组基于药审中心与南方医科大学战略合作建立的三方学术协调委员会，由学术界、制药工业界和</w:t>
      </w:r>
      <w:r w:rsidR="007A18F4" w:rsidRPr="00EE5BF9">
        <w:rPr>
          <w:rFonts w:ascii="Times New Roman" w:eastAsia="仿宋_GB2312" w:hAnsi="Times New Roman" w:cs="Times New Roman" w:hint="eastAsia"/>
          <w:sz w:val="32"/>
          <w:szCs w:val="32"/>
        </w:rPr>
        <w:t>审评机构</w:t>
      </w:r>
      <w:r w:rsidRPr="00EE5BF9">
        <w:rPr>
          <w:rFonts w:ascii="Times New Roman" w:eastAsia="仿宋_GB2312" w:hAnsi="Times New Roman" w:cs="Times New Roman" w:hint="eastAsia"/>
          <w:sz w:val="32"/>
          <w:szCs w:val="32"/>
        </w:rPr>
        <w:t>代表共同组成，保证了本指导原则高效、高质量完成。</w:t>
      </w:r>
    </w:p>
    <w:p w14:paraId="07D4FCAF" w14:textId="77777777" w:rsidR="001F5498" w:rsidRPr="00EE5BF9" w:rsidRDefault="001C5260" w:rsidP="001C5260">
      <w:pPr>
        <w:spacing w:line="360" w:lineRule="auto"/>
        <w:ind w:firstLineChars="200" w:firstLine="640"/>
        <w:rPr>
          <w:rFonts w:ascii="Times New Roman" w:eastAsia="仿宋_GB2312" w:hAnsi="Times New Roman" w:cs="Times New Roman"/>
          <w:sz w:val="32"/>
          <w:szCs w:val="32"/>
        </w:rPr>
      </w:pPr>
      <w:r w:rsidRPr="00EE5BF9">
        <w:rPr>
          <w:rFonts w:ascii="Times New Roman" w:eastAsia="仿宋_GB2312" w:hAnsi="Times New Roman" w:cs="Times New Roman" w:hint="eastAsia"/>
          <w:sz w:val="32"/>
          <w:szCs w:val="32"/>
        </w:rPr>
        <w:t>指导原则起草小组人员梳理</w:t>
      </w:r>
      <w:r w:rsidR="00DF51C0" w:rsidRPr="00EE5BF9">
        <w:rPr>
          <w:rFonts w:ascii="Times New Roman" w:eastAsia="仿宋_GB2312" w:hAnsi="Times New Roman" w:cs="Times New Roman" w:hint="eastAsia"/>
          <w:sz w:val="32"/>
          <w:szCs w:val="32"/>
        </w:rPr>
        <w:t>了国内外</w:t>
      </w:r>
      <w:r w:rsidR="00EE5BF9" w:rsidRPr="00EE5BF9">
        <w:rPr>
          <w:rFonts w:ascii="Times New Roman" w:eastAsia="仿宋_GB2312" w:hAnsi="Times New Roman" w:cs="Times New Roman" w:hint="eastAsia"/>
          <w:sz w:val="32"/>
          <w:szCs w:val="32"/>
        </w:rPr>
        <w:t>儿科外推</w:t>
      </w:r>
      <w:r w:rsidR="00DF51C0" w:rsidRPr="00EE5BF9">
        <w:rPr>
          <w:rFonts w:ascii="Times New Roman" w:eastAsia="仿宋_GB2312" w:hAnsi="Times New Roman" w:cs="Times New Roman" w:hint="eastAsia"/>
          <w:sz w:val="32"/>
          <w:szCs w:val="32"/>
        </w:rPr>
        <w:t>的相关政策文件，</w:t>
      </w:r>
      <w:r w:rsidR="00DF51C0" w:rsidRPr="00EE5BF9">
        <w:rPr>
          <w:rFonts w:ascii="Times New Roman" w:eastAsia="仿宋_GB2312" w:hAnsi="Times New Roman" w:cs="Times New Roman"/>
          <w:sz w:val="32"/>
          <w:szCs w:val="32"/>
        </w:rPr>
        <w:t>参考了</w:t>
      </w:r>
      <w:r w:rsidR="00EE5BF9" w:rsidRPr="00EE5BF9">
        <w:rPr>
          <w:rFonts w:ascii="Times New Roman" w:eastAsia="仿宋_GB2312" w:hAnsi="Times New Roman" w:cs="Times New Roman"/>
          <w:sz w:val="32"/>
          <w:szCs w:val="32"/>
        </w:rPr>
        <w:t>ICH</w:t>
      </w:r>
      <w:r w:rsidR="00EE5BF9" w:rsidRPr="00EE5BF9">
        <w:rPr>
          <w:rFonts w:ascii="Times New Roman" w:eastAsia="仿宋_GB2312" w:hAnsi="Times New Roman" w:cs="Times New Roman"/>
          <w:sz w:val="32"/>
          <w:szCs w:val="32"/>
        </w:rPr>
        <w:t>《</w:t>
      </w:r>
      <w:r w:rsidR="00EE5BF9" w:rsidRPr="00EE5BF9">
        <w:rPr>
          <w:rFonts w:ascii="Times New Roman" w:eastAsia="仿宋_GB2312" w:hAnsi="Times New Roman" w:cs="Times New Roman"/>
          <w:sz w:val="32"/>
          <w:szCs w:val="32"/>
        </w:rPr>
        <w:t>E11A</w:t>
      </w:r>
      <w:r w:rsidR="00EE5BF9" w:rsidRPr="00EE5BF9">
        <w:rPr>
          <w:rFonts w:ascii="Times New Roman" w:eastAsia="仿宋_GB2312" w:hAnsi="Times New Roman" w:cs="Times New Roman"/>
          <w:sz w:val="32"/>
          <w:szCs w:val="32"/>
        </w:rPr>
        <w:t>：儿科外推》</w:t>
      </w:r>
      <w:r w:rsidR="00DF51C0" w:rsidRPr="00EE5BF9">
        <w:rPr>
          <w:rFonts w:ascii="Times New Roman" w:eastAsia="仿宋_GB2312" w:hAnsi="Times New Roman" w:cs="Times New Roman" w:hint="eastAsia"/>
          <w:sz w:val="32"/>
          <w:szCs w:val="32"/>
        </w:rPr>
        <w:t>的</w:t>
      </w:r>
      <w:r w:rsidR="00DF51C0" w:rsidRPr="00EE5BF9">
        <w:rPr>
          <w:rFonts w:ascii="Times New Roman" w:eastAsia="仿宋_GB2312" w:hAnsi="Times New Roman" w:cs="Times New Roman"/>
          <w:sz w:val="32"/>
          <w:szCs w:val="32"/>
        </w:rPr>
        <w:t>相关</w:t>
      </w:r>
      <w:r w:rsidR="00DF51C0" w:rsidRPr="00EE5BF9">
        <w:rPr>
          <w:rFonts w:ascii="Times New Roman" w:eastAsia="仿宋_GB2312" w:hAnsi="Times New Roman" w:cs="Times New Roman" w:hint="eastAsia"/>
          <w:sz w:val="32"/>
          <w:szCs w:val="32"/>
        </w:rPr>
        <w:t>技术要求。</w:t>
      </w:r>
    </w:p>
    <w:p w14:paraId="10EE7C5A" w14:textId="77777777" w:rsidR="001F5498" w:rsidRPr="00EE5BF9" w:rsidRDefault="001F5498" w:rsidP="001F5498">
      <w:pPr>
        <w:spacing w:line="360" w:lineRule="auto"/>
        <w:ind w:firstLineChars="200" w:firstLine="640"/>
        <w:rPr>
          <w:rFonts w:ascii="Times New Roman" w:eastAsia="楷体_GB2312" w:hAnsi="Times New Roman" w:cs="Times New Roman"/>
          <w:sz w:val="32"/>
          <w:szCs w:val="32"/>
        </w:rPr>
      </w:pPr>
      <w:r w:rsidRPr="00EE5BF9">
        <w:rPr>
          <w:rFonts w:ascii="Times New Roman" w:eastAsia="楷体_GB2312" w:hAnsi="Times New Roman" w:cs="Times New Roman"/>
          <w:sz w:val="32"/>
          <w:szCs w:val="32"/>
        </w:rPr>
        <w:t>（二）指导原则制定或修订情况</w:t>
      </w:r>
    </w:p>
    <w:p w14:paraId="282533B5" w14:textId="77777777" w:rsidR="001C5260" w:rsidRPr="00EE5BF9" w:rsidRDefault="001C5260" w:rsidP="001C5260">
      <w:pPr>
        <w:spacing w:line="360" w:lineRule="auto"/>
        <w:ind w:firstLineChars="200" w:firstLine="640"/>
        <w:rPr>
          <w:rFonts w:ascii="Times New Roman" w:eastAsia="仿宋_GB2312" w:hAnsi="Times New Roman" w:cs="Times New Roman"/>
          <w:sz w:val="32"/>
          <w:szCs w:val="32"/>
        </w:rPr>
      </w:pPr>
      <w:r w:rsidRPr="00EE5BF9">
        <w:rPr>
          <w:rFonts w:ascii="Times New Roman" w:eastAsia="仿宋_GB2312" w:hAnsi="Times New Roman" w:cs="Times New Roman" w:hint="eastAsia"/>
          <w:sz w:val="32"/>
          <w:szCs w:val="32"/>
        </w:rPr>
        <w:lastRenderedPageBreak/>
        <w:t>本指导原则自</w:t>
      </w:r>
      <w:r w:rsidRPr="00EE5BF9">
        <w:rPr>
          <w:rFonts w:ascii="Times New Roman" w:eastAsia="仿宋_GB2312" w:hAnsi="Times New Roman" w:cs="Times New Roman"/>
          <w:sz w:val="32"/>
          <w:szCs w:val="32"/>
        </w:rPr>
        <w:t>202</w:t>
      </w:r>
      <w:r w:rsidR="00EE5BF9" w:rsidRPr="00EE5BF9">
        <w:rPr>
          <w:rFonts w:ascii="Times New Roman" w:eastAsia="仿宋_GB2312" w:hAnsi="Times New Roman" w:cs="Times New Roman"/>
          <w:sz w:val="32"/>
          <w:szCs w:val="32"/>
        </w:rPr>
        <w:t>1</w:t>
      </w:r>
      <w:r w:rsidRPr="00EE5BF9">
        <w:rPr>
          <w:rFonts w:ascii="Times New Roman" w:eastAsia="仿宋_GB2312" w:hAnsi="Times New Roman" w:cs="Times New Roman"/>
          <w:sz w:val="32"/>
          <w:szCs w:val="32"/>
        </w:rPr>
        <w:t>年</w:t>
      </w:r>
      <w:r w:rsidR="00EE5BF9" w:rsidRPr="00EE5BF9">
        <w:rPr>
          <w:rFonts w:ascii="Times New Roman" w:eastAsia="仿宋_GB2312" w:hAnsi="Times New Roman" w:cs="Times New Roman"/>
          <w:sz w:val="32"/>
          <w:szCs w:val="32"/>
        </w:rPr>
        <w:t>12</w:t>
      </w:r>
      <w:r w:rsidRPr="00EE5BF9">
        <w:rPr>
          <w:rFonts w:ascii="Times New Roman" w:eastAsia="仿宋_GB2312" w:hAnsi="Times New Roman" w:cs="Times New Roman"/>
          <w:sz w:val="32"/>
          <w:szCs w:val="32"/>
        </w:rPr>
        <w:t>月正式</w:t>
      </w:r>
      <w:r w:rsidR="00EE5BF9" w:rsidRPr="00EE5BF9">
        <w:rPr>
          <w:rFonts w:ascii="Times New Roman" w:eastAsia="仿宋_GB2312" w:hAnsi="Times New Roman" w:cs="Times New Roman" w:hint="eastAsia"/>
          <w:sz w:val="32"/>
          <w:szCs w:val="32"/>
        </w:rPr>
        <w:t>立项</w:t>
      </w:r>
      <w:r w:rsidRPr="00EE5BF9">
        <w:rPr>
          <w:rFonts w:ascii="Times New Roman" w:eastAsia="仿宋_GB2312" w:hAnsi="Times New Roman" w:cs="Times New Roman"/>
          <w:sz w:val="32"/>
          <w:szCs w:val="32"/>
        </w:rPr>
        <w:t>，分别于</w:t>
      </w:r>
      <w:r w:rsidRPr="00EE5BF9">
        <w:rPr>
          <w:rFonts w:ascii="Times New Roman" w:eastAsia="仿宋_GB2312" w:hAnsi="Times New Roman" w:cs="Times New Roman"/>
          <w:sz w:val="32"/>
          <w:szCs w:val="32"/>
        </w:rPr>
        <w:t>2022</w:t>
      </w:r>
      <w:r w:rsidRPr="00EE5BF9">
        <w:rPr>
          <w:rFonts w:ascii="Times New Roman" w:eastAsia="仿宋_GB2312" w:hAnsi="Times New Roman" w:cs="Times New Roman"/>
          <w:sz w:val="32"/>
          <w:szCs w:val="32"/>
        </w:rPr>
        <w:t>年</w:t>
      </w:r>
      <w:r w:rsidR="00EE5BF9" w:rsidRPr="00EE5BF9">
        <w:rPr>
          <w:rFonts w:ascii="Times New Roman" w:eastAsia="仿宋_GB2312" w:hAnsi="Times New Roman" w:cs="Times New Roman"/>
          <w:sz w:val="32"/>
          <w:szCs w:val="32"/>
        </w:rPr>
        <w:t>5</w:t>
      </w:r>
      <w:r w:rsidRPr="00EE5BF9">
        <w:rPr>
          <w:rFonts w:ascii="Times New Roman" w:eastAsia="仿宋_GB2312" w:hAnsi="Times New Roman" w:cs="Times New Roman"/>
          <w:sz w:val="32"/>
          <w:szCs w:val="32"/>
        </w:rPr>
        <w:t>月和</w:t>
      </w:r>
      <w:r w:rsidR="00EE5BF9" w:rsidRPr="00EE5BF9">
        <w:rPr>
          <w:rFonts w:ascii="Times New Roman" w:eastAsia="仿宋_GB2312" w:hAnsi="Times New Roman" w:cs="Times New Roman"/>
          <w:sz w:val="32"/>
          <w:szCs w:val="32"/>
        </w:rPr>
        <w:t>7</w:t>
      </w:r>
      <w:r w:rsidRPr="00EE5BF9">
        <w:rPr>
          <w:rFonts w:ascii="Times New Roman" w:eastAsia="仿宋_GB2312" w:hAnsi="Times New Roman" w:cs="Times New Roman"/>
          <w:sz w:val="32"/>
          <w:szCs w:val="32"/>
        </w:rPr>
        <w:t>月召开两次专家研讨会，对指导原则初稿进行了充分的讨论和交流，并经药审中心内部征求意见与审核，形成征求意见稿。</w:t>
      </w:r>
    </w:p>
    <w:p w14:paraId="363D6445" w14:textId="77777777" w:rsidR="001C5260" w:rsidRPr="00E06D11" w:rsidRDefault="001C5260" w:rsidP="001C5260">
      <w:pPr>
        <w:spacing w:line="360" w:lineRule="auto"/>
        <w:ind w:firstLineChars="200" w:firstLine="640"/>
        <w:rPr>
          <w:rFonts w:ascii="Times New Roman" w:eastAsia="仿宋_GB2312" w:hAnsi="Times New Roman" w:cs="Times New Roman"/>
          <w:sz w:val="32"/>
          <w:szCs w:val="32"/>
        </w:rPr>
      </w:pPr>
      <w:r w:rsidRPr="00E06D11">
        <w:rPr>
          <w:rFonts w:ascii="Times New Roman" w:eastAsia="仿宋_GB2312" w:hAnsi="Times New Roman" w:cs="Times New Roman" w:hint="eastAsia"/>
          <w:sz w:val="32"/>
          <w:szCs w:val="32"/>
        </w:rPr>
        <w:t>参与制订本指导原则的专家名单见附录，在此一并致谢。</w:t>
      </w:r>
    </w:p>
    <w:p w14:paraId="6C3C89C6" w14:textId="77777777" w:rsidR="001F5498" w:rsidRPr="00A72F4D" w:rsidRDefault="001F5498" w:rsidP="001F5498">
      <w:pPr>
        <w:spacing w:line="360" w:lineRule="auto"/>
        <w:ind w:firstLineChars="200" w:firstLine="640"/>
        <w:rPr>
          <w:rFonts w:ascii="Times New Roman" w:eastAsia="仿宋_GB2312" w:hAnsi="Times New Roman" w:cs="Times New Roman"/>
          <w:sz w:val="32"/>
          <w:szCs w:val="32"/>
        </w:rPr>
      </w:pPr>
      <w:r w:rsidRPr="00A72F4D">
        <w:rPr>
          <w:rFonts w:ascii="Times New Roman" w:eastAsia="黑体" w:hAnsi="Times New Roman" w:cs="Times New Roman"/>
          <w:sz w:val="32"/>
          <w:szCs w:val="32"/>
        </w:rPr>
        <w:t>三、起草思路</w:t>
      </w:r>
    </w:p>
    <w:p w14:paraId="697E618B" w14:textId="7BFF4B6B" w:rsidR="001C4C91" w:rsidRPr="003E0815" w:rsidRDefault="00126ADC" w:rsidP="001C4C91">
      <w:pPr>
        <w:spacing w:line="360" w:lineRule="auto"/>
        <w:ind w:firstLineChars="200" w:firstLine="640"/>
        <w:rPr>
          <w:rFonts w:ascii="Times New Roman" w:eastAsia="仿宋_GB2312" w:hAnsi="Times New Roman" w:cs="Times New Roman"/>
          <w:sz w:val="32"/>
          <w:szCs w:val="32"/>
        </w:rPr>
      </w:pPr>
      <w:r w:rsidRPr="00A72F4D">
        <w:rPr>
          <w:rFonts w:ascii="Times New Roman" w:eastAsia="仿宋_GB2312" w:hAnsi="Times New Roman" w:cs="Times New Roman" w:hint="eastAsia"/>
          <w:sz w:val="32"/>
          <w:szCs w:val="32"/>
        </w:rPr>
        <w:t>我国</w:t>
      </w:r>
      <w:r w:rsidR="002C6A3B" w:rsidRPr="00A72F4D">
        <w:rPr>
          <w:rFonts w:ascii="Times New Roman" w:eastAsia="仿宋_GB2312" w:hAnsi="Times New Roman" w:cs="Times New Roman" w:hint="eastAsia"/>
          <w:sz w:val="32"/>
          <w:szCs w:val="32"/>
        </w:rPr>
        <w:t>已</w:t>
      </w:r>
      <w:r w:rsidRPr="00A72F4D">
        <w:rPr>
          <w:rFonts w:ascii="Times New Roman" w:eastAsia="仿宋_GB2312" w:hAnsi="Times New Roman" w:cs="Times New Roman" w:hint="eastAsia"/>
          <w:sz w:val="32"/>
          <w:szCs w:val="32"/>
        </w:rPr>
        <w:t>发布的</w:t>
      </w:r>
      <w:r w:rsidR="0050136F" w:rsidRPr="00A72F4D">
        <w:rPr>
          <w:rFonts w:ascii="仿宋_GB2312" w:eastAsia="仿宋_GB2312" w:hAnsi="等线" w:cs="Times New Roman" w:hint="eastAsia"/>
          <w:sz w:val="32"/>
          <w:szCs w:val="21"/>
        </w:rPr>
        <w:t>儿</w:t>
      </w:r>
      <w:r w:rsidR="0050136F">
        <w:rPr>
          <w:rFonts w:ascii="仿宋_GB2312" w:eastAsia="仿宋_GB2312" w:hAnsi="等线" w:cs="Times New Roman" w:hint="eastAsia"/>
          <w:sz w:val="32"/>
          <w:szCs w:val="21"/>
        </w:rPr>
        <w:t>科</w:t>
      </w:r>
      <w:r w:rsidR="003E0815" w:rsidRPr="00A72F4D">
        <w:rPr>
          <w:rFonts w:ascii="仿宋_GB2312" w:eastAsia="仿宋_GB2312" w:hAnsi="等线" w:cs="Times New Roman" w:hint="eastAsia"/>
          <w:sz w:val="32"/>
          <w:szCs w:val="21"/>
        </w:rPr>
        <w:t>用药</w:t>
      </w:r>
      <w:r w:rsidR="002C6A3B" w:rsidRPr="00A72F4D">
        <w:rPr>
          <w:rFonts w:ascii="Times New Roman" w:eastAsia="仿宋_GB2312" w:hAnsi="Times New Roman" w:cs="Times New Roman" w:hint="eastAsia"/>
          <w:sz w:val="32"/>
          <w:szCs w:val="32"/>
        </w:rPr>
        <w:t>相关</w:t>
      </w:r>
      <w:r w:rsidR="003E0815" w:rsidRPr="00A72F4D">
        <w:rPr>
          <w:rFonts w:ascii="Times New Roman" w:eastAsia="仿宋_GB2312" w:hAnsi="Times New Roman" w:cs="Times New Roman" w:hint="eastAsia"/>
          <w:sz w:val="32"/>
          <w:szCs w:val="32"/>
        </w:rPr>
        <w:t>指导原则</w:t>
      </w:r>
      <w:r w:rsidR="002C6A3B" w:rsidRPr="00A72F4D">
        <w:rPr>
          <w:rFonts w:ascii="Times New Roman" w:eastAsia="仿宋_GB2312" w:hAnsi="Times New Roman" w:cs="Times New Roman" w:hint="eastAsia"/>
          <w:sz w:val="32"/>
          <w:szCs w:val="32"/>
        </w:rPr>
        <w:t>中指出</w:t>
      </w:r>
      <w:r w:rsidR="003E0815" w:rsidRPr="00A72F4D">
        <w:rPr>
          <w:rFonts w:ascii="Times New Roman" w:eastAsia="仿宋_GB2312" w:hAnsi="Times New Roman" w:cs="Times New Roman" w:hint="eastAsia"/>
          <w:sz w:val="32"/>
          <w:szCs w:val="32"/>
        </w:rPr>
        <w:t>成人用药数据外推至儿科人群</w:t>
      </w:r>
      <w:r w:rsidR="00DF51C0" w:rsidRPr="00A72F4D">
        <w:rPr>
          <w:rFonts w:ascii="Times New Roman" w:eastAsia="仿宋_GB2312" w:hAnsi="Times New Roman" w:cs="Times New Roman" w:hint="eastAsia"/>
          <w:sz w:val="32"/>
          <w:szCs w:val="32"/>
        </w:rPr>
        <w:t>支持</w:t>
      </w:r>
      <w:r w:rsidR="004B74DE" w:rsidRPr="00A72F4D">
        <w:rPr>
          <w:rFonts w:ascii="Times New Roman" w:eastAsia="仿宋_GB2312" w:hAnsi="Times New Roman" w:cs="Times New Roman" w:hint="eastAsia"/>
          <w:sz w:val="32"/>
          <w:szCs w:val="32"/>
        </w:rPr>
        <w:t>儿</w:t>
      </w:r>
      <w:r w:rsidR="004B74DE">
        <w:rPr>
          <w:rFonts w:ascii="Times New Roman" w:eastAsia="仿宋_GB2312" w:hAnsi="Times New Roman" w:cs="Times New Roman" w:hint="eastAsia"/>
          <w:sz w:val="32"/>
          <w:szCs w:val="32"/>
        </w:rPr>
        <w:t>科</w:t>
      </w:r>
      <w:r w:rsidR="004B74DE" w:rsidRPr="00A72F4D">
        <w:rPr>
          <w:rFonts w:ascii="Times New Roman" w:eastAsia="仿宋_GB2312" w:hAnsi="Times New Roman" w:cs="Times New Roman" w:hint="eastAsia"/>
          <w:sz w:val="32"/>
          <w:szCs w:val="32"/>
        </w:rPr>
        <w:t>药</w:t>
      </w:r>
      <w:r w:rsidR="004B74DE">
        <w:rPr>
          <w:rFonts w:ascii="Times New Roman" w:eastAsia="仿宋_GB2312" w:hAnsi="Times New Roman" w:cs="Times New Roman" w:hint="eastAsia"/>
          <w:sz w:val="32"/>
          <w:szCs w:val="32"/>
        </w:rPr>
        <w:t>物</w:t>
      </w:r>
      <w:r w:rsidR="00DF51C0" w:rsidRPr="00A72F4D">
        <w:rPr>
          <w:rFonts w:ascii="Times New Roman" w:eastAsia="仿宋_GB2312" w:hAnsi="Times New Roman" w:cs="Times New Roman" w:hint="eastAsia"/>
          <w:sz w:val="32"/>
          <w:szCs w:val="32"/>
        </w:rPr>
        <w:t>注册，但未</w:t>
      </w:r>
      <w:r w:rsidR="00DF51C0" w:rsidRPr="00A72F4D">
        <w:rPr>
          <w:rFonts w:ascii="Times New Roman" w:eastAsia="仿宋_GB2312" w:hAnsi="Times New Roman" w:cs="Times New Roman"/>
          <w:sz w:val="32"/>
          <w:szCs w:val="32"/>
        </w:rPr>
        <w:t>明确</w:t>
      </w:r>
      <w:r w:rsidR="00A72F4D" w:rsidRPr="00A72F4D">
        <w:rPr>
          <w:rFonts w:ascii="Times New Roman" w:eastAsia="仿宋_GB2312" w:hAnsi="Times New Roman" w:cs="Times New Roman" w:hint="eastAsia"/>
          <w:sz w:val="32"/>
          <w:szCs w:val="32"/>
        </w:rPr>
        <w:t>具体</w:t>
      </w:r>
      <w:r w:rsidR="00A72F4D" w:rsidRPr="00A72F4D">
        <w:rPr>
          <w:rFonts w:ascii="Times New Roman" w:eastAsia="仿宋_GB2312" w:hAnsi="Times New Roman" w:cs="Times New Roman"/>
          <w:sz w:val="32"/>
          <w:szCs w:val="32"/>
        </w:rPr>
        <w:t>采用方法学</w:t>
      </w:r>
      <w:r w:rsidR="004B74DE" w:rsidRPr="00A72F4D">
        <w:rPr>
          <w:rFonts w:ascii="Times New Roman" w:eastAsia="仿宋_GB2312" w:hAnsi="Times New Roman" w:cs="Times New Roman" w:hint="eastAsia"/>
          <w:sz w:val="32"/>
          <w:szCs w:val="32"/>
        </w:rPr>
        <w:t>等</w:t>
      </w:r>
      <w:r w:rsidR="004B74DE">
        <w:rPr>
          <w:rFonts w:ascii="Times New Roman" w:eastAsia="仿宋_GB2312" w:hAnsi="Times New Roman" w:cs="Times New Roman" w:hint="eastAsia"/>
          <w:sz w:val="32"/>
          <w:szCs w:val="32"/>
        </w:rPr>
        <w:t>关键</w:t>
      </w:r>
      <w:r w:rsidR="00DF51C0" w:rsidRPr="00A72F4D">
        <w:rPr>
          <w:rFonts w:ascii="Times New Roman" w:eastAsia="仿宋_GB2312" w:hAnsi="Times New Roman" w:cs="Times New Roman" w:hint="eastAsia"/>
          <w:sz w:val="32"/>
          <w:szCs w:val="32"/>
        </w:rPr>
        <w:t>问题</w:t>
      </w:r>
      <w:r w:rsidRPr="00A72F4D">
        <w:rPr>
          <w:rFonts w:ascii="Times New Roman" w:eastAsia="仿宋_GB2312" w:hAnsi="Times New Roman" w:cs="Times New Roman" w:hint="eastAsia"/>
          <w:sz w:val="32"/>
          <w:szCs w:val="32"/>
        </w:rPr>
        <w:t>。</w:t>
      </w:r>
      <w:r w:rsidR="001C4C91" w:rsidRPr="00A72F4D">
        <w:rPr>
          <w:rFonts w:ascii="Times New Roman" w:eastAsia="仿宋_GB2312" w:hAnsi="Times New Roman" w:cs="Times New Roman" w:hint="eastAsia"/>
          <w:sz w:val="32"/>
          <w:szCs w:val="32"/>
        </w:rPr>
        <w:t>本</w:t>
      </w:r>
      <w:r w:rsidR="001C4C91" w:rsidRPr="003E0815">
        <w:rPr>
          <w:rFonts w:ascii="Times New Roman" w:eastAsia="仿宋_GB2312" w:hAnsi="Times New Roman" w:cs="Times New Roman" w:hint="eastAsia"/>
          <w:sz w:val="32"/>
          <w:szCs w:val="32"/>
        </w:rPr>
        <w:t>指导</w:t>
      </w:r>
      <w:r w:rsidR="001C4C91" w:rsidRPr="003E0815">
        <w:rPr>
          <w:rFonts w:ascii="Times New Roman" w:eastAsia="仿宋_GB2312" w:hAnsi="Times New Roman" w:cs="Times New Roman"/>
          <w:sz w:val="32"/>
          <w:szCs w:val="32"/>
        </w:rPr>
        <w:t>原则将</w:t>
      </w:r>
      <w:r w:rsidR="001C4C91" w:rsidRPr="003E0815">
        <w:rPr>
          <w:rFonts w:ascii="Times New Roman" w:eastAsia="仿宋_GB2312" w:hAnsi="Times New Roman" w:cs="Times New Roman" w:hint="eastAsia"/>
          <w:sz w:val="32"/>
          <w:szCs w:val="32"/>
        </w:rPr>
        <w:t>重点</w:t>
      </w:r>
      <w:r w:rsidR="001C4C91" w:rsidRPr="003E0815">
        <w:rPr>
          <w:rFonts w:ascii="Times New Roman" w:eastAsia="仿宋_GB2312" w:hAnsi="Times New Roman" w:cs="Times New Roman"/>
          <w:sz w:val="32"/>
          <w:szCs w:val="32"/>
        </w:rPr>
        <w:t>阐述</w:t>
      </w:r>
      <w:r w:rsidR="003E0815" w:rsidRPr="003E0815">
        <w:rPr>
          <w:rFonts w:ascii="Times New Roman" w:eastAsia="仿宋_GB2312" w:hAnsi="Times New Roman" w:cs="Times New Roman" w:hint="eastAsia"/>
          <w:sz w:val="32"/>
          <w:szCs w:val="32"/>
        </w:rPr>
        <w:t>成人用药数据外推至儿科人群的定量方法学</w:t>
      </w:r>
      <w:r w:rsidR="001C4C91" w:rsidRPr="003E0815">
        <w:rPr>
          <w:rFonts w:ascii="Times New Roman" w:eastAsia="仿宋_GB2312" w:hAnsi="Times New Roman" w:cs="Times New Roman" w:hint="eastAsia"/>
          <w:sz w:val="32"/>
          <w:szCs w:val="32"/>
        </w:rPr>
        <w:t>的核心</w:t>
      </w:r>
      <w:r w:rsidR="001C4C91" w:rsidRPr="003E0815">
        <w:rPr>
          <w:rFonts w:ascii="Times New Roman" w:eastAsia="仿宋_GB2312" w:hAnsi="Times New Roman" w:cs="Times New Roman"/>
          <w:sz w:val="32"/>
          <w:szCs w:val="32"/>
        </w:rPr>
        <w:t>问题</w:t>
      </w:r>
      <w:r w:rsidR="001C4C91" w:rsidRPr="003E0815">
        <w:rPr>
          <w:rFonts w:ascii="Times New Roman" w:eastAsia="仿宋_GB2312" w:hAnsi="Times New Roman" w:cs="Times New Roman" w:hint="eastAsia"/>
          <w:sz w:val="32"/>
          <w:szCs w:val="32"/>
        </w:rPr>
        <w:t>，</w:t>
      </w:r>
      <w:r w:rsidR="00DF51C0" w:rsidRPr="003E0815">
        <w:rPr>
          <w:rFonts w:ascii="Times New Roman" w:eastAsia="仿宋_GB2312" w:hAnsi="Times New Roman" w:cs="Times New Roman" w:hint="eastAsia"/>
          <w:sz w:val="32"/>
          <w:szCs w:val="32"/>
        </w:rPr>
        <w:t>指导</w:t>
      </w:r>
      <w:r w:rsidR="007A18F4" w:rsidRPr="003E0815">
        <w:rPr>
          <w:rFonts w:ascii="Times New Roman" w:eastAsia="仿宋_GB2312" w:hAnsi="Times New Roman" w:cs="Times New Roman" w:hint="eastAsia"/>
          <w:sz w:val="32"/>
          <w:szCs w:val="32"/>
        </w:rPr>
        <w:t>申请人</w:t>
      </w:r>
      <w:r w:rsidR="003E0815" w:rsidRPr="003E0815">
        <w:rPr>
          <w:rFonts w:ascii="Times New Roman" w:eastAsia="仿宋_GB2312" w:hAnsi="Times New Roman" w:cs="Times New Roman" w:hint="eastAsia"/>
          <w:sz w:val="32"/>
          <w:szCs w:val="32"/>
        </w:rPr>
        <w:t>在</w:t>
      </w:r>
      <w:r w:rsidR="003E0815" w:rsidRPr="003E0815">
        <w:rPr>
          <w:rFonts w:ascii="Times New Roman" w:eastAsia="仿宋_GB2312" w:hAnsi="Times New Roman" w:cs="Times New Roman"/>
          <w:sz w:val="32"/>
          <w:szCs w:val="32"/>
        </w:rPr>
        <w:t>外推过程中</w:t>
      </w:r>
      <w:r w:rsidR="003E0815" w:rsidRPr="003E0815">
        <w:rPr>
          <w:rFonts w:ascii="Times New Roman" w:eastAsia="仿宋_GB2312" w:hAnsi="Times New Roman" w:cs="Times New Roman" w:hint="eastAsia"/>
          <w:sz w:val="32"/>
          <w:szCs w:val="32"/>
        </w:rPr>
        <w:t>具体采用</w:t>
      </w:r>
      <w:r w:rsidR="003E0815" w:rsidRPr="003E0815">
        <w:rPr>
          <w:rFonts w:ascii="Times New Roman" w:eastAsia="仿宋_GB2312" w:hAnsi="Times New Roman" w:cs="Times New Roman"/>
          <w:sz w:val="32"/>
          <w:szCs w:val="32"/>
        </w:rPr>
        <w:t>的方法</w:t>
      </w:r>
      <w:r w:rsidR="003E0815" w:rsidRPr="003E0815">
        <w:rPr>
          <w:rFonts w:ascii="Times New Roman" w:eastAsia="仿宋_GB2312" w:hAnsi="Times New Roman" w:cs="Times New Roman" w:hint="eastAsia"/>
          <w:sz w:val="32"/>
          <w:szCs w:val="32"/>
        </w:rPr>
        <w:t>和</w:t>
      </w:r>
      <w:r w:rsidR="00371987">
        <w:rPr>
          <w:rFonts w:ascii="Times New Roman" w:eastAsia="仿宋_GB2312" w:hAnsi="Times New Roman" w:cs="Times New Roman" w:hint="eastAsia"/>
          <w:sz w:val="32"/>
          <w:szCs w:val="32"/>
        </w:rPr>
        <w:t>注意事项</w:t>
      </w:r>
      <w:r w:rsidR="00DF51C0" w:rsidRPr="003E0815">
        <w:rPr>
          <w:rFonts w:ascii="Times New Roman" w:eastAsia="仿宋_GB2312" w:hAnsi="Times New Roman" w:cs="Times New Roman"/>
          <w:sz w:val="32"/>
          <w:szCs w:val="32"/>
        </w:rPr>
        <w:t>，</w:t>
      </w:r>
      <w:r w:rsidR="001C4C91" w:rsidRPr="003E0815">
        <w:rPr>
          <w:rFonts w:ascii="Times New Roman" w:eastAsia="仿宋_GB2312" w:hAnsi="Times New Roman" w:cs="Times New Roman" w:hint="eastAsia"/>
          <w:sz w:val="32"/>
          <w:szCs w:val="32"/>
        </w:rPr>
        <w:t>以</w:t>
      </w:r>
      <w:r w:rsidR="0043335B" w:rsidRPr="003E0815">
        <w:rPr>
          <w:rFonts w:ascii="Times New Roman" w:eastAsia="仿宋_GB2312" w:hAnsi="Times New Roman" w:cs="Times New Roman" w:hint="eastAsia"/>
          <w:sz w:val="32"/>
          <w:szCs w:val="32"/>
        </w:rPr>
        <w:t>提</w:t>
      </w:r>
      <w:r w:rsidR="003E0815" w:rsidRPr="003E0815">
        <w:rPr>
          <w:rFonts w:ascii="Times New Roman" w:eastAsia="仿宋_GB2312" w:hAnsi="Times New Roman" w:cs="Times New Roman" w:hint="eastAsia"/>
          <w:sz w:val="32"/>
          <w:szCs w:val="32"/>
        </w:rPr>
        <w:t>高</w:t>
      </w:r>
      <w:r w:rsidR="0043335B" w:rsidRPr="003E0815">
        <w:rPr>
          <w:rFonts w:ascii="Times New Roman" w:eastAsia="仿宋_GB2312" w:hAnsi="Times New Roman" w:cs="Times New Roman"/>
          <w:sz w:val="32"/>
          <w:szCs w:val="32"/>
        </w:rPr>
        <w:t>研发</w:t>
      </w:r>
      <w:r w:rsidR="00DF51C0" w:rsidRPr="003E0815">
        <w:rPr>
          <w:rFonts w:ascii="Times New Roman" w:eastAsia="仿宋_GB2312" w:hAnsi="Times New Roman" w:cs="Times New Roman" w:hint="eastAsia"/>
          <w:sz w:val="32"/>
          <w:szCs w:val="32"/>
        </w:rPr>
        <w:t>效率</w:t>
      </w:r>
      <w:r w:rsidR="001C4C91" w:rsidRPr="003E0815">
        <w:rPr>
          <w:rFonts w:ascii="Times New Roman" w:eastAsia="仿宋_GB2312" w:hAnsi="Times New Roman" w:cs="Times New Roman" w:hint="eastAsia"/>
          <w:sz w:val="32"/>
          <w:szCs w:val="32"/>
        </w:rPr>
        <w:t>。</w:t>
      </w:r>
    </w:p>
    <w:p w14:paraId="30711200" w14:textId="77777777" w:rsidR="001F5498" w:rsidRPr="001E7261" w:rsidRDefault="001F5498" w:rsidP="001F5498">
      <w:pPr>
        <w:spacing w:line="360" w:lineRule="auto"/>
        <w:ind w:firstLineChars="200" w:firstLine="640"/>
        <w:rPr>
          <w:rFonts w:ascii="Times New Roman" w:eastAsia="黑体" w:hAnsi="Times New Roman" w:cs="Times New Roman"/>
          <w:sz w:val="32"/>
          <w:szCs w:val="32"/>
        </w:rPr>
      </w:pPr>
      <w:r w:rsidRPr="003E0815">
        <w:rPr>
          <w:rFonts w:ascii="Times New Roman" w:eastAsia="黑体" w:hAnsi="Times New Roman" w:cs="Times New Roman"/>
          <w:sz w:val="32"/>
          <w:szCs w:val="32"/>
        </w:rPr>
        <w:t>四、主要内容</w:t>
      </w:r>
    </w:p>
    <w:p w14:paraId="7CCC512E" w14:textId="77777777" w:rsidR="004A414C" w:rsidRPr="003E0815" w:rsidRDefault="004A414C" w:rsidP="001E7261">
      <w:pPr>
        <w:spacing w:line="360" w:lineRule="auto"/>
        <w:ind w:firstLineChars="200" w:firstLine="640"/>
        <w:rPr>
          <w:rFonts w:ascii="Times New Roman" w:eastAsia="仿宋_GB2312" w:hAnsi="Times New Roman" w:cs="Times New Roman"/>
          <w:sz w:val="32"/>
          <w:szCs w:val="32"/>
        </w:rPr>
      </w:pPr>
      <w:r w:rsidRPr="003E0815">
        <w:rPr>
          <w:rFonts w:ascii="Times New Roman" w:eastAsia="仿宋_GB2312" w:hAnsi="Times New Roman" w:cs="Times New Roman" w:hint="eastAsia"/>
          <w:sz w:val="32"/>
          <w:szCs w:val="32"/>
        </w:rPr>
        <w:t>本指导原则主要分为</w:t>
      </w:r>
      <w:r w:rsidR="00471EC3" w:rsidRPr="003E0815">
        <w:rPr>
          <w:rFonts w:ascii="Times New Roman" w:eastAsia="仿宋_GB2312" w:hAnsi="Times New Roman" w:cs="Times New Roman"/>
          <w:sz w:val="32"/>
          <w:szCs w:val="32"/>
        </w:rPr>
        <w:t>4</w:t>
      </w:r>
      <w:r w:rsidRPr="003E0815">
        <w:rPr>
          <w:rFonts w:ascii="Times New Roman" w:eastAsia="仿宋_GB2312" w:hAnsi="Times New Roman" w:cs="Times New Roman" w:hint="eastAsia"/>
          <w:sz w:val="32"/>
          <w:szCs w:val="32"/>
        </w:rPr>
        <w:t>个章节</w:t>
      </w:r>
      <w:r w:rsidR="003E0815" w:rsidRPr="003E0815">
        <w:rPr>
          <w:rFonts w:ascii="Times New Roman" w:eastAsia="仿宋_GB2312" w:hAnsi="Times New Roman" w:cs="Times New Roman" w:hint="eastAsia"/>
          <w:sz w:val="32"/>
          <w:szCs w:val="32"/>
        </w:rPr>
        <w:t>以及</w:t>
      </w:r>
      <w:r w:rsidRPr="003E0815">
        <w:rPr>
          <w:rFonts w:ascii="Times New Roman" w:eastAsia="仿宋_GB2312" w:hAnsi="Times New Roman" w:cs="Times New Roman" w:hint="eastAsia"/>
          <w:sz w:val="32"/>
          <w:szCs w:val="32"/>
        </w:rPr>
        <w:t>参考文献</w:t>
      </w:r>
      <w:r w:rsidR="003E0815" w:rsidRPr="003E0815">
        <w:rPr>
          <w:rFonts w:ascii="Times New Roman" w:eastAsia="仿宋_GB2312" w:hAnsi="Times New Roman" w:cs="Times New Roman" w:hint="eastAsia"/>
          <w:sz w:val="32"/>
          <w:szCs w:val="32"/>
        </w:rPr>
        <w:t>和</w:t>
      </w:r>
      <w:r w:rsidR="003E0815" w:rsidRPr="003E0815">
        <w:rPr>
          <w:rFonts w:ascii="Times New Roman" w:eastAsia="仿宋_GB2312" w:hAnsi="Times New Roman" w:cs="Times New Roman"/>
          <w:sz w:val="32"/>
          <w:szCs w:val="32"/>
        </w:rPr>
        <w:t>附录</w:t>
      </w:r>
      <w:r w:rsidRPr="003E0815">
        <w:rPr>
          <w:rFonts w:ascii="Times New Roman" w:eastAsia="仿宋_GB2312" w:hAnsi="Times New Roman" w:cs="Times New Roman" w:hint="eastAsia"/>
          <w:sz w:val="32"/>
          <w:szCs w:val="32"/>
        </w:rPr>
        <w:t>。</w:t>
      </w:r>
    </w:p>
    <w:p w14:paraId="455340FB" w14:textId="77777777" w:rsidR="00A72F4D" w:rsidRPr="00A72F4D" w:rsidRDefault="00A72F4D" w:rsidP="001E7261">
      <w:pPr>
        <w:spacing w:line="360" w:lineRule="auto"/>
        <w:ind w:firstLineChars="200" w:firstLine="640"/>
        <w:rPr>
          <w:rFonts w:ascii="Times New Roman" w:eastAsia="仿宋_GB2312" w:hAnsi="Times New Roman" w:cs="Times New Roman"/>
          <w:sz w:val="32"/>
          <w:szCs w:val="32"/>
        </w:rPr>
      </w:pPr>
      <w:r w:rsidRPr="00A72F4D">
        <w:rPr>
          <w:rFonts w:ascii="Times New Roman" w:eastAsia="仿宋_GB2312" w:hAnsi="Times New Roman" w:cs="Times New Roman" w:hint="eastAsia"/>
          <w:sz w:val="32"/>
          <w:szCs w:val="32"/>
        </w:rPr>
        <w:t>本指导原则围绕成人用药数据外推至儿科人群的相关定量</w:t>
      </w:r>
      <w:r w:rsidRPr="00A72F4D">
        <w:rPr>
          <w:rFonts w:ascii="Times New Roman" w:eastAsia="仿宋_GB2312" w:hAnsi="Times New Roman" w:cs="Times New Roman"/>
          <w:sz w:val="32"/>
          <w:szCs w:val="32"/>
        </w:rPr>
        <w:t>方法学</w:t>
      </w:r>
      <w:r w:rsidRPr="00A72F4D">
        <w:rPr>
          <w:rFonts w:ascii="Times New Roman" w:eastAsia="仿宋_GB2312" w:hAnsi="Times New Roman" w:cs="Times New Roman" w:hint="eastAsia"/>
          <w:sz w:val="32"/>
          <w:szCs w:val="32"/>
        </w:rPr>
        <w:t>进行了阐述，</w:t>
      </w:r>
      <w:r w:rsidRPr="00A72F4D">
        <w:rPr>
          <w:rFonts w:ascii="Times New Roman" w:eastAsia="仿宋_GB2312" w:hAnsi="Times New Roman" w:cs="Times New Roman"/>
          <w:sz w:val="32"/>
          <w:szCs w:val="32"/>
        </w:rPr>
        <w:t>为</w:t>
      </w:r>
      <w:r w:rsidRPr="00A72F4D">
        <w:rPr>
          <w:rFonts w:ascii="Times New Roman" w:eastAsia="仿宋_GB2312" w:hAnsi="Times New Roman" w:cs="Times New Roman" w:hint="eastAsia"/>
          <w:sz w:val="32"/>
          <w:szCs w:val="32"/>
        </w:rPr>
        <w:t>儿科外推</w:t>
      </w:r>
      <w:r w:rsidRPr="00A72F4D">
        <w:rPr>
          <w:rFonts w:ascii="Times New Roman" w:eastAsia="仿宋_GB2312" w:hAnsi="Times New Roman" w:cs="Times New Roman"/>
          <w:sz w:val="32"/>
          <w:szCs w:val="32"/>
        </w:rPr>
        <w:t>中采用的定量方法学提出建议。</w:t>
      </w:r>
    </w:p>
    <w:p w14:paraId="25F0ACFC" w14:textId="2595A213" w:rsidR="00A72F4D" w:rsidRPr="00657FF4" w:rsidRDefault="00A72F4D" w:rsidP="00A72F4D">
      <w:pPr>
        <w:adjustRightInd w:val="0"/>
        <w:snapToGrid w:val="0"/>
        <w:spacing w:line="360" w:lineRule="auto"/>
        <w:ind w:firstLineChars="200" w:firstLine="640"/>
        <w:rPr>
          <w:rFonts w:ascii="Times New Roman" w:eastAsia="仿宋_GB2312" w:hAnsi="Times New Roman" w:cs="Times New Roman"/>
          <w:sz w:val="32"/>
          <w:szCs w:val="32"/>
        </w:rPr>
      </w:pPr>
      <w:r w:rsidRPr="00A72F4D">
        <w:rPr>
          <w:rFonts w:ascii="Times New Roman" w:eastAsia="仿宋_GB2312" w:hAnsi="Times New Roman" w:cs="Times New Roman" w:hint="eastAsia"/>
          <w:sz w:val="32"/>
          <w:szCs w:val="32"/>
        </w:rPr>
        <w:t>主要内容包括概述、外推</w:t>
      </w:r>
      <w:r w:rsidR="00344129">
        <w:rPr>
          <w:rFonts w:ascii="Times New Roman" w:eastAsia="仿宋_GB2312" w:hAnsi="Times New Roman" w:cs="Times New Roman" w:hint="eastAsia"/>
          <w:sz w:val="32"/>
          <w:szCs w:val="32"/>
        </w:rPr>
        <w:t>框架</w:t>
      </w:r>
      <w:r w:rsidRPr="00A72F4D">
        <w:rPr>
          <w:rFonts w:ascii="Times New Roman" w:eastAsia="仿宋_GB2312" w:hAnsi="Times New Roman" w:cs="Times New Roman" w:hint="eastAsia"/>
          <w:sz w:val="32"/>
          <w:szCs w:val="32"/>
        </w:rPr>
        <w:t>、外推</w:t>
      </w:r>
      <w:r w:rsidRPr="00A72F4D">
        <w:rPr>
          <w:rFonts w:ascii="Times New Roman" w:eastAsia="仿宋_GB2312" w:hAnsi="Times New Roman" w:cs="Times New Roman"/>
          <w:sz w:val="32"/>
          <w:szCs w:val="32"/>
        </w:rPr>
        <w:t>方法</w:t>
      </w:r>
      <w:r w:rsidRPr="00A72F4D">
        <w:rPr>
          <w:rFonts w:ascii="Times New Roman" w:eastAsia="仿宋_GB2312" w:hAnsi="Times New Roman" w:cs="Times New Roman" w:hint="eastAsia"/>
          <w:sz w:val="32"/>
          <w:szCs w:val="32"/>
        </w:rPr>
        <w:t>、</w:t>
      </w:r>
      <w:r w:rsidR="00371987">
        <w:rPr>
          <w:rFonts w:ascii="Times New Roman" w:eastAsia="仿宋_GB2312" w:hAnsi="Times New Roman" w:cs="Times New Roman" w:hint="eastAsia"/>
          <w:sz w:val="32"/>
          <w:szCs w:val="32"/>
        </w:rPr>
        <w:t>其他考虑</w:t>
      </w:r>
      <w:r w:rsidRPr="00A72F4D">
        <w:rPr>
          <w:rFonts w:ascii="Times New Roman" w:eastAsia="仿宋_GB2312" w:hAnsi="Times New Roman" w:cs="Times New Roman" w:hint="eastAsia"/>
          <w:sz w:val="32"/>
          <w:szCs w:val="32"/>
        </w:rPr>
        <w:t>、参考</w:t>
      </w:r>
      <w:r w:rsidRPr="00A72F4D">
        <w:rPr>
          <w:rFonts w:ascii="Times New Roman" w:eastAsia="仿宋_GB2312" w:hAnsi="Times New Roman" w:cs="Times New Roman"/>
          <w:sz w:val="32"/>
          <w:szCs w:val="32"/>
        </w:rPr>
        <w:t>文献和附录</w:t>
      </w:r>
      <w:r w:rsidRPr="00A72F4D">
        <w:rPr>
          <w:rFonts w:ascii="Times New Roman" w:eastAsia="仿宋_GB2312" w:hAnsi="Times New Roman" w:cs="Times New Roman" w:hint="eastAsia"/>
          <w:sz w:val="32"/>
          <w:szCs w:val="32"/>
        </w:rPr>
        <w:t>，</w:t>
      </w:r>
      <w:r w:rsidRPr="00A72F4D">
        <w:rPr>
          <w:rFonts w:ascii="Times New Roman" w:eastAsia="仿宋_GB2312" w:hAnsi="Times New Roman" w:cs="Times New Roman"/>
          <w:sz w:val="32"/>
          <w:szCs w:val="32"/>
        </w:rPr>
        <w:t>附录包括</w:t>
      </w:r>
      <w:r w:rsidRPr="00A72F4D">
        <w:rPr>
          <w:rFonts w:ascii="Times New Roman" w:eastAsia="仿宋_GB2312" w:hAnsi="Times New Roman" w:cs="Times New Roman" w:hint="eastAsia"/>
          <w:sz w:val="32"/>
          <w:szCs w:val="32"/>
        </w:rPr>
        <w:t>决策树、</w:t>
      </w:r>
      <w:r w:rsidRPr="00A72F4D">
        <w:rPr>
          <w:rFonts w:ascii="Times New Roman" w:eastAsia="仿宋_GB2312" w:hAnsi="Times New Roman" w:cs="Times New Roman"/>
          <w:sz w:val="32"/>
          <w:szCs w:val="32"/>
        </w:rPr>
        <w:t>案例以及附表</w:t>
      </w:r>
      <w:r w:rsidRPr="00A72F4D">
        <w:rPr>
          <w:rFonts w:ascii="Times New Roman" w:eastAsia="仿宋_GB2312" w:hAnsi="Times New Roman" w:cs="Times New Roman" w:hint="eastAsia"/>
          <w:sz w:val="32"/>
          <w:szCs w:val="32"/>
        </w:rPr>
        <w:t>。</w:t>
      </w:r>
    </w:p>
    <w:p w14:paraId="1D29042F" w14:textId="77777777" w:rsidR="004A414C" w:rsidRPr="00657FF4" w:rsidRDefault="004A414C" w:rsidP="004A414C">
      <w:pPr>
        <w:adjustRightInd w:val="0"/>
        <w:snapToGrid w:val="0"/>
        <w:spacing w:line="360" w:lineRule="auto"/>
        <w:ind w:firstLineChars="200" w:firstLine="640"/>
        <w:rPr>
          <w:rFonts w:ascii="Times New Roman" w:eastAsia="仿宋_GB2312" w:hAnsi="Times New Roman" w:cs="Times New Roman"/>
          <w:sz w:val="32"/>
          <w:szCs w:val="32"/>
          <w:highlight w:val="yellow"/>
        </w:rPr>
      </w:pPr>
    </w:p>
    <w:p w14:paraId="4992413C" w14:textId="77777777" w:rsidR="00FB130F" w:rsidRDefault="00FB130F">
      <w:r>
        <w:br w:type="page"/>
      </w:r>
    </w:p>
    <w:p w14:paraId="0ADD838D" w14:textId="77777777" w:rsidR="00FB130F" w:rsidRDefault="00FB130F" w:rsidP="00FB130F">
      <w:pPr>
        <w:pStyle w:val="1"/>
        <w:adjustRightInd w:val="0"/>
        <w:snapToGrid w:val="0"/>
        <w:spacing w:line="500" w:lineRule="exact"/>
        <w:ind w:firstLineChars="0" w:firstLine="0"/>
        <w:jc w:val="left"/>
        <w:rPr>
          <w:rFonts w:ascii="仿宋_GB2312" w:eastAsia="仿宋_GB2312" w:hAnsi="Times New Roman"/>
          <w:b/>
          <w:sz w:val="32"/>
          <w:szCs w:val="32"/>
        </w:rPr>
      </w:pPr>
      <w:r w:rsidRPr="00252E35">
        <w:rPr>
          <w:rFonts w:ascii="仿宋_GB2312" w:eastAsia="仿宋_GB2312" w:hAnsi="Times New Roman" w:hint="eastAsia"/>
          <w:b/>
          <w:sz w:val="32"/>
          <w:szCs w:val="32"/>
        </w:rPr>
        <w:lastRenderedPageBreak/>
        <w:t>附件1</w:t>
      </w:r>
    </w:p>
    <w:p w14:paraId="6F0C6926" w14:textId="77777777" w:rsidR="00FB130F" w:rsidRPr="00252E35" w:rsidRDefault="00FB130F" w:rsidP="00FB130F">
      <w:pPr>
        <w:pStyle w:val="1"/>
        <w:adjustRightInd w:val="0"/>
        <w:snapToGrid w:val="0"/>
        <w:spacing w:line="500" w:lineRule="exact"/>
        <w:ind w:firstLineChars="0" w:firstLine="0"/>
        <w:jc w:val="left"/>
        <w:rPr>
          <w:rFonts w:ascii="仿宋_GB2312" w:eastAsia="仿宋_GB2312" w:hAnsi="Times New Roman"/>
          <w:b/>
          <w:color w:val="000000"/>
          <w:kern w:val="0"/>
          <w:sz w:val="32"/>
          <w:szCs w:val="32"/>
        </w:rPr>
      </w:pPr>
    </w:p>
    <w:p w14:paraId="4A2AC819" w14:textId="3869ABC1" w:rsidR="00FB130F" w:rsidRDefault="00FB130F" w:rsidP="00FB130F">
      <w:pPr>
        <w:pStyle w:val="1"/>
        <w:adjustRightInd w:val="0"/>
        <w:snapToGrid w:val="0"/>
        <w:spacing w:line="500" w:lineRule="exact"/>
        <w:ind w:firstLine="640"/>
        <w:jc w:val="center"/>
        <w:rPr>
          <w:rFonts w:ascii="仿宋_GB2312" w:eastAsia="仿宋_GB2312" w:hAnsi="Times New Roman"/>
          <w:sz w:val="32"/>
          <w:szCs w:val="32"/>
        </w:rPr>
      </w:pPr>
      <w:r w:rsidRPr="00252E35">
        <w:rPr>
          <w:rFonts w:ascii="仿宋_GB2312" w:eastAsia="仿宋_GB2312" w:hAnsi="Times New Roman" w:hint="eastAsia"/>
          <w:sz w:val="32"/>
          <w:szCs w:val="32"/>
        </w:rPr>
        <w:t>参与制订《</w:t>
      </w:r>
      <w:r w:rsidR="00D22EB0" w:rsidRPr="00D22EB0">
        <w:rPr>
          <w:rFonts w:ascii="仿宋_GB2312" w:eastAsia="仿宋_GB2312" w:hint="eastAsia"/>
          <w:bCs/>
          <w:color w:val="000000"/>
          <w:kern w:val="0"/>
          <w:sz w:val="32"/>
          <w:szCs w:val="32"/>
        </w:rPr>
        <w:t>成人用药数据外推至儿科人群的定量方法学指导原则</w:t>
      </w:r>
      <w:r w:rsidR="009C26D1">
        <w:rPr>
          <w:rFonts w:ascii="仿宋_GB2312" w:eastAsia="仿宋_GB2312" w:hint="eastAsia"/>
          <w:bCs/>
          <w:color w:val="000000"/>
          <w:kern w:val="0"/>
          <w:sz w:val="32"/>
          <w:szCs w:val="32"/>
        </w:rPr>
        <w:t>（征求意见稿）</w:t>
      </w:r>
      <w:r w:rsidRPr="00252E35">
        <w:rPr>
          <w:rFonts w:ascii="仿宋_GB2312" w:eastAsia="仿宋_GB2312" w:hAnsi="Times New Roman" w:hint="eastAsia"/>
          <w:sz w:val="32"/>
          <w:szCs w:val="32"/>
        </w:rPr>
        <w:t>》的专家名单</w:t>
      </w:r>
    </w:p>
    <w:tbl>
      <w:tblPr>
        <w:tblpPr w:leftFromText="180" w:rightFromText="180" w:vertAnchor="text" w:horzAnchor="margin" w:tblpY="1081"/>
        <w:tblW w:w="4803" w:type="pct"/>
        <w:tblLayout w:type="fixed"/>
        <w:tblLook w:val="04A0" w:firstRow="1" w:lastRow="0" w:firstColumn="1" w:lastColumn="0" w:noHBand="0" w:noVBand="1"/>
      </w:tblPr>
      <w:tblGrid>
        <w:gridCol w:w="7979"/>
      </w:tblGrid>
      <w:tr w:rsidR="00740EA2" w:rsidRPr="00252E35" w14:paraId="7F50A649" w14:textId="77777777" w:rsidTr="00A818CE">
        <w:trPr>
          <w:trHeight w:val="841"/>
        </w:trPr>
        <w:tc>
          <w:tcPr>
            <w:tcW w:w="5000" w:type="pct"/>
            <w:noWrap/>
            <w:vAlign w:val="center"/>
          </w:tcPr>
          <w:p w14:paraId="5A37C2F7" w14:textId="34E19996" w:rsidR="00740EA2" w:rsidRDefault="00740EA2" w:rsidP="00BB0078">
            <w:pPr>
              <w:pStyle w:val="1"/>
              <w:adjustRightInd w:val="0"/>
              <w:snapToGrid w:val="0"/>
              <w:spacing w:line="360" w:lineRule="auto"/>
              <w:ind w:firstLineChars="0" w:firstLine="0"/>
              <w:rPr>
                <w:rFonts w:ascii="华文仿宋" w:eastAsia="华文仿宋" w:hAnsi="华文仿宋" w:cs="Calibri"/>
                <w:sz w:val="32"/>
                <w:szCs w:val="32"/>
              </w:rPr>
            </w:pPr>
            <w:r w:rsidRPr="00252E35">
              <w:rPr>
                <w:rFonts w:ascii="仿宋_GB2312" w:eastAsia="仿宋_GB2312" w:hAnsi="华文仿宋" w:hint="eastAsia"/>
                <w:b/>
                <w:color w:val="000000"/>
                <w:kern w:val="0"/>
                <w:sz w:val="32"/>
                <w:szCs w:val="32"/>
              </w:rPr>
              <w:t>主要执笔人:</w:t>
            </w:r>
            <w:r w:rsidR="009551F8">
              <w:rPr>
                <w:rFonts w:ascii="华文仿宋" w:eastAsia="华文仿宋" w:hAnsi="华文仿宋" w:cs="Calibri" w:hint="eastAsia"/>
                <w:sz w:val="32"/>
                <w:szCs w:val="32"/>
              </w:rPr>
              <w:t>衡明莉</w:t>
            </w:r>
            <w:r>
              <w:rPr>
                <w:rFonts w:ascii="华文仿宋" w:eastAsia="华文仿宋" w:hAnsi="华文仿宋" w:cs="Calibri" w:hint="eastAsia"/>
                <w:sz w:val="32"/>
                <w:szCs w:val="32"/>
              </w:rPr>
              <w:t>、</w:t>
            </w:r>
            <w:r w:rsidR="009551F8">
              <w:rPr>
                <w:rFonts w:ascii="华文仿宋" w:eastAsia="华文仿宋" w:hAnsi="华文仿宋" w:cs="Calibri" w:hint="eastAsia"/>
                <w:sz w:val="32"/>
                <w:szCs w:val="32"/>
              </w:rPr>
              <w:t>高丽丽</w:t>
            </w:r>
            <w:r w:rsidR="00251DF3">
              <w:rPr>
                <w:rFonts w:ascii="华文仿宋" w:eastAsia="华文仿宋" w:hAnsi="华文仿宋" w:cs="Calibri" w:hint="eastAsia"/>
                <w:sz w:val="32"/>
                <w:szCs w:val="32"/>
              </w:rPr>
              <w:t>（临床</w:t>
            </w:r>
            <w:r w:rsidR="00251DF3">
              <w:rPr>
                <w:rFonts w:ascii="华文仿宋" w:eastAsia="华文仿宋" w:hAnsi="华文仿宋" w:cs="Calibri"/>
                <w:sz w:val="32"/>
                <w:szCs w:val="32"/>
              </w:rPr>
              <w:t>药理</w:t>
            </w:r>
            <w:r w:rsidR="00251DF3">
              <w:rPr>
                <w:rFonts w:ascii="华文仿宋" w:eastAsia="华文仿宋" w:hAnsi="华文仿宋" w:cs="Calibri" w:hint="eastAsia"/>
                <w:sz w:val="32"/>
                <w:szCs w:val="32"/>
              </w:rPr>
              <w:t>）</w:t>
            </w:r>
            <w:r w:rsidR="009551F8">
              <w:rPr>
                <w:rFonts w:ascii="华文仿宋" w:eastAsia="华文仿宋" w:hAnsi="华文仿宋" w:cs="Calibri" w:hint="eastAsia"/>
                <w:sz w:val="32"/>
                <w:szCs w:val="32"/>
              </w:rPr>
              <w:t>、</w:t>
            </w:r>
            <w:r w:rsidR="009551F8">
              <w:rPr>
                <w:rFonts w:ascii="华文仿宋" w:eastAsia="华文仿宋" w:hAnsi="华文仿宋" w:cs="Calibri"/>
                <w:sz w:val="32"/>
                <w:szCs w:val="32"/>
              </w:rPr>
              <w:t>金</w:t>
            </w:r>
            <w:r w:rsidR="009551F8">
              <w:rPr>
                <w:rFonts w:ascii="华文仿宋" w:eastAsia="华文仿宋" w:hAnsi="华文仿宋" w:cs="Calibri" w:hint="eastAsia"/>
                <w:sz w:val="32"/>
                <w:szCs w:val="32"/>
              </w:rPr>
              <w:t>玉</w:t>
            </w:r>
            <w:r w:rsidR="009551F8">
              <w:rPr>
                <w:rFonts w:ascii="华文仿宋" w:eastAsia="华文仿宋" w:hAnsi="华文仿宋" w:cs="Calibri"/>
                <w:sz w:val="32"/>
                <w:szCs w:val="32"/>
              </w:rPr>
              <w:t>燕、</w:t>
            </w:r>
            <w:r w:rsidR="009551F8">
              <w:rPr>
                <w:rFonts w:ascii="华文仿宋" w:eastAsia="华文仿宋" w:hAnsi="华文仿宋" w:cs="Calibri" w:hint="eastAsia"/>
                <w:sz w:val="32"/>
                <w:szCs w:val="32"/>
              </w:rPr>
              <w:t>任宇鹏</w:t>
            </w:r>
            <w:r w:rsidR="009551F8">
              <w:rPr>
                <w:rFonts w:ascii="华文仿宋" w:eastAsia="华文仿宋" w:hAnsi="华文仿宋" w:cs="Calibri"/>
                <w:sz w:val="32"/>
                <w:szCs w:val="32"/>
              </w:rPr>
              <w:t>、</w:t>
            </w:r>
            <w:r w:rsidR="00251DF3">
              <w:rPr>
                <w:rFonts w:ascii="华文仿宋" w:eastAsia="华文仿宋" w:hAnsi="华文仿宋" w:cs="Calibri"/>
                <w:sz w:val="32"/>
                <w:szCs w:val="32"/>
              </w:rPr>
              <w:t>刘</w:t>
            </w:r>
            <w:r w:rsidR="00251DF3">
              <w:rPr>
                <w:rFonts w:ascii="华文仿宋" w:eastAsia="华文仿宋" w:hAnsi="华文仿宋" w:cs="Calibri" w:hint="eastAsia"/>
                <w:sz w:val="32"/>
                <w:szCs w:val="32"/>
              </w:rPr>
              <w:t>晓妮</w:t>
            </w:r>
            <w:r w:rsidR="00251DF3">
              <w:rPr>
                <w:rFonts w:ascii="华文仿宋" w:eastAsia="华文仿宋" w:hAnsi="华文仿宋" w:cs="Calibri"/>
                <w:sz w:val="32"/>
                <w:szCs w:val="32"/>
              </w:rPr>
              <w:t>、</w:t>
            </w:r>
            <w:r w:rsidR="00251DF3">
              <w:rPr>
                <w:rFonts w:ascii="华文仿宋" w:eastAsia="华文仿宋" w:hAnsi="华文仿宋" w:cs="Calibri" w:hint="eastAsia"/>
                <w:sz w:val="32"/>
                <w:szCs w:val="32"/>
              </w:rPr>
              <w:t>狄佳宁</w:t>
            </w:r>
            <w:r w:rsidR="00251DF3">
              <w:rPr>
                <w:rFonts w:ascii="华文仿宋" w:eastAsia="华文仿宋" w:hAnsi="华文仿宋" w:cs="Calibri"/>
                <w:sz w:val="32"/>
                <w:szCs w:val="32"/>
              </w:rPr>
              <w:t>、</w:t>
            </w:r>
            <w:r w:rsidR="009551F8">
              <w:rPr>
                <w:rFonts w:ascii="华文仿宋" w:eastAsia="华文仿宋" w:hAnsi="华文仿宋" w:cs="Calibri"/>
                <w:sz w:val="32"/>
                <w:szCs w:val="32"/>
              </w:rPr>
              <w:t>熊翠</w:t>
            </w:r>
          </w:p>
          <w:p w14:paraId="6DF58733" w14:textId="27D152E2" w:rsidR="00251DF3" w:rsidRPr="009C26D1" w:rsidRDefault="00251DF3" w:rsidP="000143CC">
            <w:pPr>
              <w:pStyle w:val="1"/>
              <w:adjustRightInd w:val="0"/>
              <w:snapToGrid w:val="0"/>
              <w:spacing w:line="360" w:lineRule="auto"/>
              <w:ind w:firstLineChars="0" w:firstLine="0"/>
              <w:rPr>
                <w:rFonts w:ascii="仿宋_GB2312" w:eastAsia="仿宋_GB2312" w:hAnsi="华文仿宋"/>
                <w:b/>
                <w:color w:val="000000"/>
                <w:kern w:val="0"/>
                <w:sz w:val="32"/>
                <w:szCs w:val="32"/>
              </w:rPr>
            </w:pPr>
            <w:r w:rsidRPr="001E7261">
              <w:rPr>
                <w:rFonts w:ascii="仿宋_GB2312" w:eastAsia="仿宋_GB2312" w:hAnsi="华文仿宋" w:hint="eastAsia"/>
                <w:b/>
                <w:color w:val="000000"/>
                <w:kern w:val="0"/>
                <w:sz w:val="32"/>
                <w:szCs w:val="32"/>
              </w:rPr>
              <w:t>外部</w:t>
            </w:r>
            <w:r w:rsidRPr="001E7261">
              <w:rPr>
                <w:rFonts w:ascii="仿宋_GB2312" w:eastAsia="仿宋_GB2312" w:hAnsi="华文仿宋"/>
                <w:b/>
                <w:color w:val="000000"/>
                <w:kern w:val="0"/>
                <w:sz w:val="32"/>
                <w:szCs w:val="32"/>
              </w:rPr>
              <w:t>专家：</w:t>
            </w:r>
            <w:r w:rsidRPr="00760949">
              <w:rPr>
                <w:rFonts w:ascii="华文仿宋" w:eastAsia="华文仿宋" w:hAnsi="华文仿宋" w:cs="Calibri"/>
                <w:sz w:val="32"/>
                <w:szCs w:val="32"/>
              </w:rPr>
              <w:t>马培敏、纪佳、</w:t>
            </w:r>
            <w:r w:rsidRPr="00760949">
              <w:rPr>
                <w:rFonts w:ascii="华文仿宋" w:eastAsia="华文仿宋" w:hAnsi="华文仿宋" w:cs="Calibri" w:hint="eastAsia"/>
                <w:sz w:val="32"/>
                <w:szCs w:val="32"/>
              </w:rPr>
              <w:t>周绚</w:t>
            </w:r>
            <w:r w:rsidRPr="00760949">
              <w:rPr>
                <w:rFonts w:ascii="华文仿宋" w:eastAsia="华文仿宋" w:hAnsi="华文仿宋" w:cs="Calibri"/>
                <w:sz w:val="32"/>
                <w:szCs w:val="32"/>
              </w:rPr>
              <w:t>、</w:t>
            </w:r>
            <w:r w:rsidRPr="00760949">
              <w:rPr>
                <w:rFonts w:ascii="仿宋_GB2312" w:eastAsia="仿宋_GB2312" w:hAnsi="华文仿宋" w:hint="eastAsia"/>
                <w:color w:val="000000"/>
                <w:kern w:val="0"/>
                <w:sz w:val="32"/>
                <w:szCs w:val="32"/>
              </w:rPr>
              <w:t>张菁、言方</w:t>
            </w:r>
            <w:r w:rsidRPr="00760949">
              <w:rPr>
                <w:rFonts w:ascii="仿宋_GB2312" w:eastAsia="仿宋_GB2312" w:hAnsi="华文仿宋"/>
                <w:color w:val="000000"/>
                <w:kern w:val="0"/>
                <w:sz w:val="32"/>
                <w:szCs w:val="32"/>
              </w:rPr>
              <w:t>荣</w:t>
            </w:r>
            <w:r w:rsidRPr="00760949">
              <w:rPr>
                <w:rFonts w:ascii="仿宋_GB2312" w:eastAsia="仿宋_GB2312" w:hAnsi="华文仿宋" w:hint="eastAsia"/>
                <w:color w:val="000000"/>
                <w:kern w:val="0"/>
                <w:sz w:val="32"/>
                <w:szCs w:val="32"/>
              </w:rPr>
              <w:t>、</w:t>
            </w:r>
            <w:r w:rsidRPr="00760949">
              <w:rPr>
                <w:rFonts w:ascii="仿宋_GB2312" w:eastAsia="仿宋_GB2312" w:hAnsi="华文仿宋"/>
                <w:color w:val="000000"/>
                <w:kern w:val="0"/>
                <w:sz w:val="32"/>
                <w:szCs w:val="32"/>
              </w:rPr>
              <w:t>谢海棠</w:t>
            </w:r>
            <w:r w:rsidR="00BB0078" w:rsidRPr="00760949">
              <w:rPr>
                <w:rFonts w:ascii="华文仿宋" w:eastAsia="华文仿宋" w:hAnsi="华文仿宋" w:cs="Calibri" w:hint="eastAsia"/>
                <w:sz w:val="32"/>
                <w:szCs w:val="32"/>
              </w:rPr>
              <w:t>、徐</w:t>
            </w:r>
            <w:r w:rsidR="00BB0078" w:rsidRPr="00760949">
              <w:rPr>
                <w:rFonts w:ascii="华文仿宋" w:eastAsia="华文仿宋" w:hAnsi="华文仿宋" w:cs="Calibri"/>
                <w:sz w:val="32"/>
                <w:szCs w:val="32"/>
              </w:rPr>
              <w:t>燕梅</w:t>
            </w:r>
          </w:p>
        </w:tc>
      </w:tr>
      <w:tr w:rsidR="00740EA2" w:rsidRPr="00252E35" w14:paraId="1330BCF8" w14:textId="77777777" w:rsidTr="00A818CE">
        <w:trPr>
          <w:trHeight w:val="1697"/>
        </w:trPr>
        <w:tc>
          <w:tcPr>
            <w:tcW w:w="5000" w:type="pct"/>
            <w:noWrap/>
            <w:vAlign w:val="center"/>
          </w:tcPr>
          <w:p w14:paraId="54083AF9" w14:textId="77777777" w:rsidR="00740EA2" w:rsidRPr="00483A26" w:rsidRDefault="00740EA2" w:rsidP="00A818CE">
            <w:pPr>
              <w:pStyle w:val="1"/>
              <w:adjustRightInd w:val="0"/>
              <w:snapToGrid w:val="0"/>
              <w:spacing w:line="360" w:lineRule="auto"/>
              <w:ind w:firstLineChars="0" w:firstLine="0"/>
              <w:rPr>
                <w:rFonts w:ascii="仿宋_GB2312" w:eastAsia="仿宋_GB2312" w:hAnsi="华文仿宋"/>
                <w:color w:val="000000"/>
                <w:kern w:val="0"/>
                <w:sz w:val="32"/>
                <w:szCs w:val="32"/>
              </w:rPr>
            </w:pPr>
            <w:r>
              <w:rPr>
                <w:rFonts w:ascii="仿宋_GB2312" w:eastAsia="仿宋_GB2312" w:hAnsi="华文仿宋" w:hint="eastAsia"/>
                <w:b/>
                <w:color w:val="000000"/>
                <w:kern w:val="0"/>
                <w:sz w:val="32"/>
                <w:szCs w:val="32"/>
              </w:rPr>
              <w:t>三方</w:t>
            </w:r>
            <w:r>
              <w:rPr>
                <w:rFonts w:ascii="仿宋_GB2312" w:eastAsia="仿宋_GB2312" w:hAnsi="华文仿宋"/>
                <w:b/>
                <w:color w:val="000000"/>
                <w:kern w:val="0"/>
                <w:sz w:val="32"/>
                <w:szCs w:val="32"/>
              </w:rPr>
              <w:t>学术协调委员会</w:t>
            </w:r>
            <w:r>
              <w:rPr>
                <w:rFonts w:ascii="仿宋_GB2312" w:eastAsia="仿宋_GB2312" w:hAnsi="华文仿宋" w:hint="eastAsia"/>
                <w:b/>
                <w:color w:val="000000"/>
                <w:kern w:val="0"/>
                <w:sz w:val="32"/>
                <w:szCs w:val="32"/>
              </w:rPr>
              <w:t>：</w:t>
            </w:r>
            <w:r w:rsidRPr="00483A26">
              <w:rPr>
                <w:rFonts w:ascii="仿宋_GB2312" w:eastAsia="仿宋_GB2312" w:hAnsi="华文仿宋"/>
                <w:color w:val="000000"/>
                <w:kern w:val="0"/>
                <w:sz w:val="32"/>
                <w:szCs w:val="32"/>
              </w:rPr>
              <w:t>陈平雁、王骏、狄佳宁</w:t>
            </w:r>
          </w:p>
          <w:p w14:paraId="5ACB576B" w14:textId="77777777" w:rsidR="00740EA2" w:rsidRPr="00252E35" w:rsidRDefault="00740EA2" w:rsidP="00A818CE">
            <w:pPr>
              <w:pStyle w:val="1"/>
              <w:adjustRightInd w:val="0"/>
              <w:snapToGrid w:val="0"/>
              <w:spacing w:line="360" w:lineRule="auto"/>
              <w:ind w:firstLineChars="0" w:firstLine="0"/>
              <w:rPr>
                <w:rFonts w:ascii="仿宋_GB2312" w:eastAsia="仿宋_GB2312" w:hAnsi="华文仿宋"/>
                <w:color w:val="000000"/>
                <w:kern w:val="0"/>
                <w:sz w:val="32"/>
                <w:szCs w:val="32"/>
              </w:rPr>
            </w:pPr>
            <w:r w:rsidRPr="00252E35">
              <w:rPr>
                <w:rFonts w:ascii="仿宋_GB2312" w:eastAsia="仿宋_GB2312" w:hAnsi="华文仿宋" w:hint="eastAsia"/>
                <w:color w:val="000000"/>
                <w:kern w:val="0"/>
                <w:sz w:val="32"/>
                <w:szCs w:val="32"/>
              </w:rPr>
              <w:t>(</w:t>
            </w:r>
            <w:r>
              <w:rPr>
                <w:rFonts w:ascii="仿宋_GB2312" w:eastAsia="仿宋_GB2312" w:hAnsi="华文仿宋" w:hint="eastAsia"/>
                <w:color w:val="000000"/>
                <w:kern w:val="0"/>
                <w:sz w:val="32"/>
                <w:szCs w:val="32"/>
              </w:rPr>
              <w:t>其余</w:t>
            </w:r>
            <w:r w:rsidRPr="00252E35">
              <w:rPr>
                <w:rFonts w:ascii="仿宋_GB2312" w:eastAsia="仿宋_GB2312" w:hAnsi="华文仿宋" w:hint="eastAsia"/>
                <w:color w:val="000000"/>
                <w:kern w:val="0"/>
                <w:sz w:val="32"/>
                <w:szCs w:val="32"/>
              </w:rPr>
              <w:t>按姓氏笔划顺序)：</w:t>
            </w:r>
          </w:p>
          <w:p w14:paraId="45E59277" w14:textId="2EA27A42" w:rsidR="00740EA2" w:rsidRPr="00252E35" w:rsidRDefault="00740EA2" w:rsidP="00BB0078">
            <w:pPr>
              <w:pStyle w:val="1"/>
              <w:adjustRightInd w:val="0"/>
              <w:snapToGrid w:val="0"/>
              <w:spacing w:line="360" w:lineRule="auto"/>
              <w:ind w:firstLineChars="0" w:firstLine="0"/>
              <w:rPr>
                <w:rFonts w:ascii="仿宋_GB2312" w:eastAsia="仿宋_GB2312" w:hAnsi="华文仿宋"/>
                <w:color w:val="000000"/>
                <w:kern w:val="0"/>
                <w:sz w:val="32"/>
                <w:szCs w:val="32"/>
              </w:rPr>
            </w:pPr>
            <w:r w:rsidRPr="009551F8">
              <w:rPr>
                <w:rFonts w:ascii="仿宋_GB2312" w:eastAsia="仿宋_GB2312" w:hAnsi="华文仿宋" w:hint="eastAsia"/>
                <w:color w:val="000000"/>
                <w:kern w:val="0"/>
                <w:sz w:val="32"/>
                <w:szCs w:val="32"/>
              </w:rPr>
              <w:t>王秋珍、王武保、王勇、尹平、田正隆、闫波、李康、李新旭、何</w:t>
            </w:r>
            <w:r w:rsidRPr="009551F8">
              <w:rPr>
                <w:rFonts w:ascii="微软雅黑" w:eastAsia="微软雅黑" w:hAnsi="微软雅黑" w:cs="微软雅黑" w:hint="eastAsia"/>
                <w:color w:val="000000"/>
                <w:kern w:val="0"/>
                <w:sz w:val="32"/>
                <w:szCs w:val="32"/>
              </w:rPr>
              <w:t>崑</w:t>
            </w:r>
            <w:r w:rsidRPr="009551F8">
              <w:rPr>
                <w:rFonts w:ascii="仿宋_GB2312" w:eastAsia="仿宋_GB2312" w:hAnsi="仿宋_GB2312" w:cs="仿宋_GB2312" w:hint="eastAsia"/>
                <w:color w:val="000000"/>
                <w:kern w:val="0"/>
                <w:sz w:val="32"/>
                <w:szCs w:val="32"/>
              </w:rPr>
              <w:t>、陈刚、陈杰、陈峰、欧春泉、赵耐青、贺佳、郭翔、谭铭、潘建红、衡明莉</w:t>
            </w:r>
          </w:p>
        </w:tc>
      </w:tr>
      <w:tr w:rsidR="00740EA2" w:rsidRPr="00252E35" w14:paraId="3473A852" w14:textId="77777777" w:rsidTr="00A818CE">
        <w:trPr>
          <w:trHeight w:val="865"/>
        </w:trPr>
        <w:tc>
          <w:tcPr>
            <w:tcW w:w="5000" w:type="pct"/>
            <w:noWrap/>
            <w:vAlign w:val="center"/>
          </w:tcPr>
          <w:p w14:paraId="4FCE327C" w14:textId="77777777" w:rsidR="00740EA2" w:rsidRPr="00252E35" w:rsidRDefault="00740EA2" w:rsidP="00A818CE">
            <w:pPr>
              <w:pStyle w:val="1"/>
              <w:adjustRightInd w:val="0"/>
              <w:snapToGrid w:val="0"/>
              <w:spacing w:line="360" w:lineRule="auto"/>
              <w:ind w:firstLineChars="0" w:firstLine="0"/>
              <w:rPr>
                <w:rFonts w:ascii="仿宋_GB2312" w:eastAsia="仿宋_GB2312" w:hAnsi="华文仿宋"/>
                <w:b/>
                <w:color w:val="000000"/>
                <w:kern w:val="0"/>
                <w:sz w:val="32"/>
                <w:szCs w:val="32"/>
              </w:rPr>
            </w:pPr>
            <w:r w:rsidRPr="00252E35">
              <w:rPr>
                <w:rFonts w:ascii="仿宋_GB2312" w:eastAsia="仿宋_GB2312" w:hAnsi="华文仿宋" w:hint="eastAsia"/>
                <w:b/>
                <w:color w:val="000000"/>
                <w:kern w:val="0"/>
                <w:sz w:val="32"/>
                <w:szCs w:val="32"/>
              </w:rPr>
              <w:t>秘书：</w:t>
            </w:r>
            <w:r w:rsidRPr="00252E35">
              <w:rPr>
                <w:rFonts w:ascii="仿宋_GB2312" w:eastAsia="仿宋_GB2312" w:hAnsi="华文仿宋" w:hint="eastAsia"/>
                <w:color w:val="000000"/>
                <w:kern w:val="0"/>
                <w:sz w:val="32"/>
                <w:szCs w:val="32"/>
              </w:rPr>
              <w:t>吴莹</w:t>
            </w:r>
            <w:r>
              <w:rPr>
                <w:rFonts w:ascii="仿宋_GB2312" w:eastAsia="仿宋_GB2312" w:hAnsi="华文仿宋" w:hint="eastAsia"/>
                <w:color w:val="000000"/>
                <w:kern w:val="0"/>
                <w:sz w:val="32"/>
                <w:szCs w:val="32"/>
              </w:rPr>
              <w:t>、</w:t>
            </w:r>
            <w:r>
              <w:rPr>
                <w:rFonts w:ascii="仿宋_GB2312" w:eastAsia="仿宋_GB2312" w:hAnsi="华文仿宋"/>
                <w:color w:val="000000"/>
                <w:kern w:val="0"/>
                <w:sz w:val="32"/>
                <w:szCs w:val="32"/>
              </w:rPr>
              <w:t>段重阳</w:t>
            </w:r>
          </w:p>
        </w:tc>
      </w:tr>
    </w:tbl>
    <w:p w14:paraId="540D337F" w14:textId="77777777" w:rsidR="00131813" w:rsidRPr="00740EA2" w:rsidRDefault="00131813"/>
    <w:sectPr w:rsidR="00131813" w:rsidRPr="00740E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02EB7" w14:textId="77777777" w:rsidR="000260A3" w:rsidRDefault="000260A3" w:rsidP="00991F76">
      <w:r>
        <w:separator/>
      </w:r>
    </w:p>
  </w:endnote>
  <w:endnote w:type="continuationSeparator" w:id="0">
    <w:p w14:paraId="120E0188" w14:textId="77777777" w:rsidR="000260A3" w:rsidRDefault="000260A3" w:rsidP="0099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altName w:val="Microsoft YaHei"/>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12D22" w14:textId="77777777" w:rsidR="000260A3" w:rsidRDefault="000260A3" w:rsidP="00991F76">
      <w:r>
        <w:separator/>
      </w:r>
    </w:p>
  </w:footnote>
  <w:footnote w:type="continuationSeparator" w:id="0">
    <w:p w14:paraId="79DF5AF7" w14:textId="77777777" w:rsidR="000260A3" w:rsidRDefault="000260A3" w:rsidP="00991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98"/>
    <w:rsid w:val="00002D8A"/>
    <w:rsid w:val="000057AD"/>
    <w:rsid w:val="000129E6"/>
    <w:rsid w:val="000143CC"/>
    <w:rsid w:val="000260A3"/>
    <w:rsid w:val="00030D63"/>
    <w:rsid w:val="00085C03"/>
    <w:rsid w:val="0009652C"/>
    <w:rsid w:val="000B3C1C"/>
    <w:rsid w:val="000B507F"/>
    <w:rsid w:val="000F3B39"/>
    <w:rsid w:val="00114D7D"/>
    <w:rsid w:val="00115A5B"/>
    <w:rsid w:val="00126889"/>
    <w:rsid w:val="00126ADC"/>
    <w:rsid w:val="00131813"/>
    <w:rsid w:val="0017629C"/>
    <w:rsid w:val="00184B58"/>
    <w:rsid w:val="001B2998"/>
    <w:rsid w:val="001C4C91"/>
    <w:rsid w:val="001C51A3"/>
    <w:rsid w:val="001C5260"/>
    <w:rsid w:val="001D666A"/>
    <w:rsid w:val="001E7261"/>
    <w:rsid w:val="001F5498"/>
    <w:rsid w:val="0021755C"/>
    <w:rsid w:val="0025148E"/>
    <w:rsid w:val="00251DF3"/>
    <w:rsid w:val="00260F63"/>
    <w:rsid w:val="002A4546"/>
    <w:rsid w:val="002A48B0"/>
    <w:rsid w:val="002B32AA"/>
    <w:rsid w:val="002B487F"/>
    <w:rsid w:val="002B7FA6"/>
    <w:rsid w:val="002C1692"/>
    <w:rsid w:val="002C224A"/>
    <w:rsid w:val="002C6A3B"/>
    <w:rsid w:val="002D29A6"/>
    <w:rsid w:val="002E4C93"/>
    <w:rsid w:val="002F705F"/>
    <w:rsid w:val="0030022C"/>
    <w:rsid w:val="0030759F"/>
    <w:rsid w:val="003107B3"/>
    <w:rsid w:val="00317DB7"/>
    <w:rsid w:val="00344129"/>
    <w:rsid w:val="00371987"/>
    <w:rsid w:val="00376C83"/>
    <w:rsid w:val="003B21B3"/>
    <w:rsid w:val="003E0815"/>
    <w:rsid w:val="00400440"/>
    <w:rsid w:val="00404363"/>
    <w:rsid w:val="0043335B"/>
    <w:rsid w:val="00471EC3"/>
    <w:rsid w:val="00483A26"/>
    <w:rsid w:val="004A414C"/>
    <w:rsid w:val="004B27CB"/>
    <w:rsid w:val="004B74DE"/>
    <w:rsid w:val="004F2BF9"/>
    <w:rsid w:val="004F58CF"/>
    <w:rsid w:val="0050136F"/>
    <w:rsid w:val="0052088B"/>
    <w:rsid w:val="005225D1"/>
    <w:rsid w:val="00544288"/>
    <w:rsid w:val="00561AEA"/>
    <w:rsid w:val="00563C0E"/>
    <w:rsid w:val="005709A6"/>
    <w:rsid w:val="00581002"/>
    <w:rsid w:val="00583008"/>
    <w:rsid w:val="00590EEA"/>
    <w:rsid w:val="00592594"/>
    <w:rsid w:val="005B7FB6"/>
    <w:rsid w:val="005D6C8E"/>
    <w:rsid w:val="005F3452"/>
    <w:rsid w:val="00611D5D"/>
    <w:rsid w:val="006304DA"/>
    <w:rsid w:val="00631A70"/>
    <w:rsid w:val="00657FF4"/>
    <w:rsid w:val="006944A9"/>
    <w:rsid w:val="006A749D"/>
    <w:rsid w:val="006A77EE"/>
    <w:rsid w:val="006E3E2D"/>
    <w:rsid w:val="006F058A"/>
    <w:rsid w:val="006F4198"/>
    <w:rsid w:val="00715246"/>
    <w:rsid w:val="00740EA2"/>
    <w:rsid w:val="007435F0"/>
    <w:rsid w:val="00760949"/>
    <w:rsid w:val="00763BB7"/>
    <w:rsid w:val="00764166"/>
    <w:rsid w:val="00772542"/>
    <w:rsid w:val="007738CD"/>
    <w:rsid w:val="00792C81"/>
    <w:rsid w:val="007A18F4"/>
    <w:rsid w:val="007B3A02"/>
    <w:rsid w:val="00804AEE"/>
    <w:rsid w:val="008065C9"/>
    <w:rsid w:val="00806FB2"/>
    <w:rsid w:val="00821CBB"/>
    <w:rsid w:val="00830163"/>
    <w:rsid w:val="00832E53"/>
    <w:rsid w:val="008A1F37"/>
    <w:rsid w:val="008B1E36"/>
    <w:rsid w:val="008C3384"/>
    <w:rsid w:val="00923EA9"/>
    <w:rsid w:val="009551F8"/>
    <w:rsid w:val="00970E45"/>
    <w:rsid w:val="00991F76"/>
    <w:rsid w:val="009C26D1"/>
    <w:rsid w:val="009D670E"/>
    <w:rsid w:val="009F51E0"/>
    <w:rsid w:val="009F5726"/>
    <w:rsid w:val="009F7818"/>
    <w:rsid w:val="00A24E3E"/>
    <w:rsid w:val="00A41B8E"/>
    <w:rsid w:val="00A4601C"/>
    <w:rsid w:val="00A5144E"/>
    <w:rsid w:val="00A72F4D"/>
    <w:rsid w:val="00A77A12"/>
    <w:rsid w:val="00A834D7"/>
    <w:rsid w:val="00A9259B"/>
    <w:rsid w:val="00AB4FC0"/>
    <w:rsid w:val="00AB7491"/>
    <w:rsid w:val="00B11F49"/>
    <w:rsid w:val="00B3535D"/>
    <w:rsid w:val="00B57484"/>
    <w:rsid w:val="00B63E68"/>
    <w:rsid w:val="00B669C0"/>
    <w:rsid w:val="00B67E97"/>
    <w:rsid w:val="00B75F63"/>
    <w:rsid w:val="00BA1FDD"/>
    <w:rsid w:val="00BB0078"/>
    <w:rsid w:val="00BF28DC"/>
    <w:rsid w:val="00C27A78"/>
    <w:rsid w:val="00C374E7"/>
    <w:rsid w:val="00C37F0F"/>
    <w:rsid w:val="00C47973"/>
    <w:rsid w:val="00C546E2"/>
    <w:rsid w:val="00C57E19"/>
    <w:rsid w:val="00CA1C08"/>
    <w:rsid w:val="00CA65AF"/>
    <w:rsid w:val="00CB2EC8"/>
    <w:rsid w:val="00CB614D"/>
    <w:rsid w:val="00CD2700"/>
    <w:rsid w:val="00CD46CF"/>
    <w:rsid w:val="00CF0EDD"/>
    <w:rsid w:val="00CF2117"/>
    <w:rsid w:val="00CF2E0C"/>
    <w:rsid w:val="00D22EB0"/>
    <w:rsid w:val="00D26628"/>
    <w:rsid w:val="00D5292F"/>
    <w:rsid w:val="00D8391A"/>
    <w:rsid w:val="00DA5021"/>
    <w:rsid w:val="00DA56BF"/>
    <w:rsid w:val="00DB0129"/>
    <w:rsid w:val="00DC3A4A"/>
    <w:rsid w:val="00DF106E"/>
    <w:rsid w:val="00DF48C1"/>
    <w:rsid w:val="00DF51C0"/>
    <w:rsid w:val="00E06D11"/>
    <w:rsid w:val="00E10B35"/>
    <w:rsid w:val="00E247F7"/>
    <w:rsid w:val="00E34667"/>
    <w:rsid w:val="00E4221C"/>
    <w:rsid w:val="00E47FB1"/>
    <w:rsid w:val="00E740C8"/>
    <w:rsid w:val="00E81F9F"/>
    <w:rsid w:val="00EA544E"/>
    <w:rsid w:val="00EB3854"/>
    <w:rsid w:val="00EC78F7"/>
    <w:rsid w:val="00ED6A51"/>
    <w:rsid w:val="00ED6C8C"/>
    <w:rsid w:val="00EE1A74"/>
    <w:rsid w:val="00EE4C38"/>
    <w:rsid w:val="00EE5BF9"/>
    <w:rsid w:val="00F35BBD"/>
    <w:rsid w:val="00F36FFF"/>
    <w:rsid w:val="00F47F1F"/>
    <w:rsid w:val="00F5593D"/>
    <w:rsid w:val="00F55E73"/>
    <w:rsid w:val="00F65AA2"/>
    <w:rsid w:val="00F91784"/>
    <w:rsid w:val="00F964D7"/>
    <w:rsid w:val="00FB130F"/>
    <w:rsid w:val="00FD2207"/>
    <w:rsid w:val="00FD3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6CE53"/>
  <w15:chartTrackingRefBased/>
  <w15:docId w15:val="{4C07ED85-0673-42D4-BF5C-653C6033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4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FB130F"/>
    <w:pPr>
      <w:ind w:firstLineChars="200" w:firstLine="420"/>
    </w:pPr>
    <w:rPr>
      <w:rFonts w:ascii="Calibri" w:eastAsia="宋体" w:hAnsi="Calibri" w:cs="Times New Roman"/>
    </w:rPr>
  </w:style>
  <w:style w:type="paragraph" w:styleId="a3">
    <w:name w:val="Normal (Web)"/>
    <w:basedOn w:val="a"/>
    <w:uiPriority w:val="99"/>
    <w:semiHidden/>
    <w:unhideWhenUsed/>
    <w:rsid w:val="00740EA2"/>
    <w:pPr>
      <w:widowControl/>
      <w:spacing w:before="100" w:beforeAutospacing="1" w:after="100" w:afterAutospacing="1"/>
      <w:jc w:val="left"/>
    </w:pPr>
    <w:rPr>
      <w:rFonts w:ascii="宋体" w:eastAsia="宋体" w:hAnsi="宋体" w:cs="宋体"/>
      <w:kern w:val="0"/>
      <w:sz w:val="24"/>
      <w:szCs w:val="24"/>
    </w:rPr>
  </w:style>
  <w:style w:type="paragraph" w:styleId="a4">
    <w:name w:val="No Spacing"/>
    <w:link w:val="a5"/>
    <w:uiPriority w:val="1"/>
    <w:qFormat/>
    <w:rsid w:val="00740EA2"/>
    <w:pPr>
      <w:widowControl w:val="0"/>
    </w:pPr>
    <w:rPr>
      <w:rFonts w:ascii="等线" w:eastAsia="等线" w:hAnsi="等线" w:cs="Times New Roman"/>
      <w:kern w:val="0"/>
      <w:sz w:val="22"/>
      <w:lang w:eastAsia="en-US"/>
    </w:rPr>
  </w:style>
  <w:style w:type="character" w:customStyle="1" w:styleId="a5">
    <w:name w:val="无间隔 字符"/>
    <w:link w:val="a4"/>
    <w:uiPriority w:val="1"/>
    <w:qFormat/>
    <w:rsid w:val="00740EA2"/>
    <w:rPr>
      <w:rFonts w:ascii="等线" w:eastAsia="等线" w:hAnsi="等线" w:cs="Times New Roman"/>
      <w:kern w:val="0"/>
      <w:sz w:val="22"/>
      <w:lang w:eastAsia="en-US"/>
    </w:rPr>
  </w:style>
  <w:style w:type="paragraph" w:styleId="a6">
    <w:name w:val="header"/>
    <w:basedOn w:val="a"/>
    <w:link w:val="a7"/>
    <w:uiPriority w:val="99"/>
    <w:unhideWhenUsed/>
    <w:rsid w:val="00991F7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91F76"/>
    <w:rPr>
      <w:sz w:val="18"/>
      <w:szCs w:val="18"/>
    </w:rPr>
  </w:style>
  <w:style w:type="paragraph" w:styleId="a8">
    <w:name w:val="footer"/>
    <w:basedOn w:val="a"/>
    <w:link w:val="a9"/>
    <w:uiPriority w:val="99"/>
    <w:unhideWhenUsed/>
    <w:rsid w:val="00991F76"/>
    <w:pPr>
      <w:tabs>
        <w:tab w:val="center" w:pos="4153"/>
        <w:tab w:val="right" w:pos="8306"/>
      </w:tabs>
      <w:snapToGrid w:val="0"/>
      <w:jc w:val="left"/>
    </w:pPr>
    <w:rPr>
      <w:sz w:val="18"/>
      <w:szCs w:val="18"/>
    </w:rPr>
  </w:style>
  <w:style w:type="character" w:customStyle="1" w:styleId="a9">
    <w:name w:val="页脚 字符"/>
    <w:basedOn w:val="a0"/>
    <w:link w:val="a8"/>
    <w:uiPriority w:val="99"/>
    <w:rsid w:val="00991F76"/>
    <w:rPr>
      <w:sz w:val="18"/>
      <w:szCs w:val="18"/>
    </w:rPr>
  </w:style>
  <w:style w:type="paragraph" w:styleId="aa">
    <w:name w:val="Balloon Text"/>
    <w:basedOn w:val="a"/>
    <w:link w:val="ab"/>
    <w:uiPriority w:val="99"/>
    <w:semiHidden/>
    <w:unhideWhenUsed/>
    <w:rsid w:val="002F705F"/>
    <w:rPr>
      <w:sz w:val="18"/>
      <w:szCs w:val="18"/>
    </w:rPr>
  </w:style>
  <w:style w:type="character" w:customStyle="1" w:styleId="ab">
    <w:name w:val="批注框文本 字符"/>
    <w:basedOn w:val="a0"/>
    <w:link w:val="aa"/>
    <w:uiPriority w:val="99"/>
    <w:semiHidden/>
    <w:rsid w:val="002F705F"/>
    <w:rPr>
      <w:sz w:val="18"/>
      <w:szCs w:val="18"/>
    </w:rPr>
  </w:style>
  <w:style w:type="character" w:styleId="ac">
    <w:name w:val="annotation reference"/>
    <w:basedOn w:val="a0"/>
    <w:uiPriority w:val="99"/>
    <w:semiHidden/>
    <w:unhideWhenUsed/>
    <w:rsid w:val="00A72F4D"/>
    <w:rPr>
      <w:sz w:val="21"/>
      <w:szCs w:val="21"/>
    </w:rPr>
  </w:style>
  <w:style w:type="paragraph" w:styleId="ad">
    <w:name w:val="annotation text"/>
    <w:basedOn w:val="a"/>
    <w:link w:val="ae"/>
    <w:uiPriority w:val="99"/>
    <w:semiHidden/>
    <w:unhideWhenUsed/>
    <w:rsid w:val="00A72F4D"/>
    <w:pPr>
      <w:jc w:val="left"/>
    </w:pPr>
  </w:style>
  <w:style w:type="character" w:customStyle="1" w:styleId="ae">
    <w:name w:val="批注文字 字符"/>
    <w:basedOn w:val="a0"/>
    <w:link w:val="ad"/>
    <w:uiPriority w:val="99"/>
    <w:semiHidden/>
    <w:rsid w:val="00A72F4D"/>
  </w:style>
  <w:style w:type="paragraph" w:styleId="af">
    <w:name w:val="annotation subject"/>
    <w:basedOn w:val="ad"/>
    <w:next w:val="ad"/>
    <w:link w:val="af0"/>
    <w:uiPriority w:val="99"/>
    <w:semiHidden/>
    <w:unhideWhenUsed/>
    <w:rsid w:val="00A72F4D"/>
    <w:rPr>
      <w:b/>
      <w:bCs/>
    </w:rPr>
  </w:style>
  <w:style w:type="character" w:customStyle="1" w:styleId="af0">
    <w:name w:val="批注主题 字符"/>
    <w:basedOn w:val="ae"/>
    <w:link w:val="af"/>
    <w:uiPriority w:val="99"/>
    <w:semiHidden/>
    <w:rsid w:val="00A72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46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3</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沙明泉</dc:creator>
  <cp:keywords/>
  <dc:description/>
  <cp:lastModifiedBy>高丽丽统计与临床</cp:lastModifiedBy>
  <cp:revision>42</cp:revision>
  <cp:lastPrinted>2022-09-19T03:34:00Z</cp:lastPrinted>
  <dcterms:created xsi:type="dcterms:W3CDTF">2021-12-03T07:51:00Z</dcterms:created>
  <dcterms:modified xsi:type="dcterms:W3CDTF">2022-09-19T05:50:00Z</dcterms:modified>
</cp:coreProperties>
</file>