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EB" w:rsidRDefault="00E417EB" w:rsidP="00E417EB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件4</w:t>
      </w:r>
    </w:p>
    <w:p w:rsidR="00E417EB" w:rsidRDefault="00E417EB" w:rsidP="00E417E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E417EB" w:rsidRDefault="00E417EB" w:rsidP="00E417EB">
      <w:pPr>
        <w:spacing w:line="56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消咳喘糖浆（无醇）说明书修订要求</w:t>
      </w:r>
    </w:p>
    <w:p w:rsidR="00E417EB" w:rsidRDefault="00E417EB" w:rsidP="00E417EB">
      <w:pPr>
        <w:spacing w:line="560" w:lineRule="exact"/>
        <w:ind w:firstLineChars="200" w:firstLine="420"/>
        <w:rPr>
          <w:rFonts w:hint="eastAsia"/>
        </w:rPr>
      </w:pPr>
    </w:p>
    <w:p w:rsidR="00E417EB" w:rsidRDefault="00E417EB" w:rsidP="00E417EB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【不良反应】项应当包括：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监测数据显示，消咳喘糖浆可见以下不良反应报告：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恶心、呕吐、口干、腹痛、腹泻、腹胀、腹部不适、头晕、头痛、嗜睡、皮疹、瘙痒、潮红、心悸、心动过速、胸部不适、呼吸困难、过敏反应等，有过敏性休克个例报告。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ascii="黑体" w:eastAsia="黑体" w:hint="eastAsia"/>
          <w:sz w:val="32"/>
          <w:szCs w:val="32"/>
        </w:rPr>
        <w:t>、【禁忌】项应</w:t>
      </w:r>
      <w:r>
        <w:rPr>
          <w:rFonts w:eastAsia="黑体" w:hint="eastAsia"/>
          <w:sz w:val="32"/>
          <w:szCs w:val="32"/>
        </w:rPr>
        <w:t>当包括：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糖尿病患者禁用。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对本品及所含成份过敏者禁用。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>
        <w:rPr>
          <w:rFonts w:ascii="黑体" w:eastAsia="黑体" w:hint="eastAsia"/>
          <w:sz w:val="32"/>
          <w:szCs w:val="32"/>
        </w:rPr>
        <w:t>、【注意事项】项应</w:t>
      </w:r>
      <w:r>
        <w:rPr>
          <w:rFonts w:eastAsia="黑体" w:hint="eastAsia"/>
          <w:sz w:val="32"/>
          <w:szCs w:val="32"/>
        </w:rPr>
        <w:t>当包括：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服药期间饮食宜清淡，忌食辛辣刺激性食物，忌烟酒。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过敏体质者慎用。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本品性状发生改变时禁用。</w:t>
      </w:r>
    </w:p>
    <w:p w:rsidR="00E417EB" w:rsidRDefault="00E417EB" w:rsidP="00E417E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请将本品放在儿童不能接触的地方。</w:t>
      </w:r>
    </w:p>
    <w:p w:rsidR="00E417EB" w:rsidRDefault="00E417EB" w:rsidP="00E417EB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417EB" w:rsidRDefault="00E417EB" w:rsidP="00E417EB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（注：如现行说明书的安全性内容较本修订要求内容更全面或者更严格的，应当保留原批准内容。说明书其他内容如与上述修订要求不一致的，应当一并进行修订。）</w:t>
      </w:r>
    </w:p>
    <w:p w:rsidR="004F08E1" w:rsidRDefault="004F08E1" w:rsidP="004F08E1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p w:rsidR="00D67046" w:rsidRDefault="00D67046"/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31B7"/>
    <w:multiLevelType w:val="multilevel"/>
    <w:tmpl w:val="46FE31B7"/>
    <w:lvl w:ilvl="0">
      <w:start w:val="1"/>
      <w:numFmt w:val="chineseCounting"/>
      <w:suff w:val="nothing"/>
      <w:lvlText w:val="%1、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E1"/>
    <w:rsid w:val="004F08E1"/>
    <w:rsid w:val="00D67046"/>
    <w:rsid w:val="00E417EB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F1BD0-2D2A-4415-910D-F9829E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F0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22"/>
    <w:qFormat/>
    <w:rsid w:val="00ED426B"/>
    <w:rPr>
      <w:b/>
      <w:bCs/>
    </w:rPr>
  </w:style>
  <w:style w:type="character" w:styleId="a5">
    <w:name w:val="Emphasis"/>
    <w:basedOn w:val="a1"/>
    <w:uiPriority w:val="20"/>
    <w:qFormat/>
    <w:rsid w:val="00ED426B"/>
    <w:rPr>
      <w:i/>
      <w:iCs/>
    </w:rPr>
  </w:style>
  <w:style w:type="paragraph" w:styleId="a0">
    <w:name w:val="Normal Indent"/>
    <w:basedOn w:val="a"/>
    <w:unhideWhenUsed/>
    <w:qFormat/>
    <w:rsid w:val="004F08E1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2024-09-02T09:36:00Z</dcterms:created>
  <dcterms:modified xsi:type="dcterms:W3CDTF">2024-09-02T09:36:00Z</dcterms:modified>
</cp:coreProperties>
</file>