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kinsoku/>
        <w:wordWrap/>
        <w:overflowPunct/>
        <w:topLinePunct w:val="0"/>
        <w:autoSpaceDE/>
        <w:autoSpaceDN/>
        <w:bidi w:val="0"/>
        <w:adjustRightInd/>
        <w:snapToGrid/>
        <w:spacing w:before="0" w:beforeAutospacing="0" w:after="0" w:afterAutospacing="0" w:line="560" w:lineRule="exact"/>
        <w:ind w:right="600" w:firstLine="720"/>
        <w:jc w:val="center"/>
        <w:textAlignment w:val="auto"/>
        <w:rPr>
          <w:rStyle w:val="6"/>
          <w:rFonts w:hint="eastAsia" w:ascii="方正小标宋简体" w:hAnsi="方正小标宋简体" w:eastAsia="方正小标宋简体" w:cs="方正小标宋简体"/>
          <w:b w:val="0"/>
          <w:bCs/>
          <w:i w:val="0"/>
          <w:caps w:val="0"/>
          <w:color w:val="000000"/>
          <w:spacing w:val="0"/>
          <w:kern w:val="0"/>
          <w:sz w:val="36"/>
          <w:szCs w:val="36"/>
          <w:shd w:val="clear" w:color="auto" w:fill="FFFFFF"/>
          <w:lang w:val="en-US" w:eastAsia="zh-CN" w:bidi="ar"/>
        </w:rPr>
      </w:pPr>
      <w:r>
        <w:rPr>
          <w:rStyle w:val="6"/>
          <w:rFonts w:hint="eastAsia" w:ascii="方正小标宋简体" w:hAnsi="方正小标宋简体" w:eastAsia="方正小标宋简体" w:cs="方正小标宋简体"/>
          <w:b w:val="0"/>
          <w:bCs/>
          <w:i w:val="0"/>
          <w:caps w:val="0"/>
          <w:color w:val="000000"/>
          <w:spacing w:val="0"/>
          <w:kern w:val="0"/>
          <w:sz w:val="36"/>
          <w:szCs w:val="36"/>
          <w:shd w:val="clear" w:color="auto" w:fill="FFFFFF"/>
          <w:lang w:val="en-US" w:eastAsia="zh-CN" w:bidi="ar"/>
        </w:rPr>
        <w:t>山西省药品监督管理局</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kinsoku/>
        <w:wordWrap/>
        <w:overflowPunct/>
        <w:topLinePunct w:val="0"/>
        <w:autoSpaceDE/>
        <w:autoSpaceDN/>
        <w:bidi w:val="0"/>
        <w:adjustRightInd/>
        <w:snapToGrid/>
        <w:spacing w:before="0" w:beforeAutospacing="0" w:after="0" w:afterAutospacing="0" w:line="560" w:lineRule="exact"/>
        <w:ind w:right="600" w:firstLine="720"/>
        <w:jc w:val="center"/>
        <w:textAlignment w:val="auto"/>
        <w:rPr>
          <w:rStyle w:val="6"/>
          <w:rFonts w:hint="eastAsia" w:ascii="方正小标宋简体" w:hAnsi="方正小标宋简体" w:eastAsia="方正小标宋简体" w:cs="方正小标宋简体"/>
          <w:b w:val="0"/>
          <w:bCs/>
          <w:i w:val="0"/>
          <w:caps w:val="0"/>
          <w:color w:val="000000"/>
          <w:spacing w:val="0"/>
          <w:kern w:val="0"/>
          <w:sz w:val="36"/>
          <w:szCs w:val="36"/>
          <w:shd w:val="clear" w:color="auto" w:fill="FFFFFF"/>
          <w:lang w:val="en-US" w:eastAsia="zh-CN" w:bidi="ar"/>
        </w:rPr>
      </w:pPr>
      <w:r>
        <w:rPr>
          <w:rStyle w:val="6"/>
          <w:rFonts w:hint="eastAsia" w:ascii="方正小标宋简体" w:hAnsi="方正小标宋简体" w:eastAsia="方正小标宋简体" w:cs="方正小标宋简体"/>
          <w:b w:val="0"/>
          <w:bCs/>
          <w:i w:val="0"/>
          <w:caps w:val="0"/>
          <w:color w:val="000000"/>
          <w:spacing w:val="0"/>
          <w:kern w:val="0"/>
          <w:sz w:val="36"/>
          <w:szCs w:val="36"/>
          <w:shd w:val="clear" w:color="auto" w:fill="FFFFFF"/>
          <w:lang w:val="en-US" w:eastAsia="zh-CN" w:bidi="ar"/>
        </w:rPr>
        <w:t>药物临床试验机构</w:t>
      </w:r>
      <w:bookmarkStart w:id="0" w:name="_GoBack"/>
      <w:bookmarkEnd w:id="0"/>
      <w:r>
        <w:rPr>
          <w:rStyle w:val="6"/>
          <w:rFonts w:hint="eastAsia" w:ascii="方正小标宋简体" w:hAnsi="方正小标宋简体" w:eastAsia="方正小标宋简体" w:cs="方正小标宋简体"/>
          <w:b w:val="0"/>
          <w:bCs/>
          <w:i w:val="0"/>
          <w:caps w:val="0"/>
          <w:color w:val="000000"/>
          <w:spacing w:val="0"/>
          <w:kern w:val="0"/>
          <w:sz w:val="36"/>
          <w:szCs w:val="36"/>
          <w:shd w:val="clear" w:color="auto" w:fill="FFFFFF"/>
          <w:lang w:val="en-US" w:eastAsia="zh-CN" w:bidi="ar"/>
        </w:rPr>
        <w:t>分级监督管理办法（征求意见稿）</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kinsoku/>
        <w:wordWrap/>
        <w:overflowPunct/>
        <w:topLinePunct w:val="0"/>
        <w:autoSpaceDE/>
        <w:autoSpaceDN/>
        <w:bidi w:val="0"/>
        <w:adjustRightInd/>
        <w:snapToGrid/>
        <w:spacing w:before="0" w:beforeAutospacing="0" w:after="0" w:afterAutospacing="0" w:line="560" w:lineRule="exact"/>
        <w:ind w:left="600" w:right="600" w:firstLine="420"/>
        <w:jc w:val="center"/>
        <w:textAlignment w:val="auto"/>
        <w:rPr>
          <w:rStyle w:val="6"/>
          <w:rFonts w:hint="eastAsia" w:ascii="方正小标宋简体" w:hAnsi="方正小标宋简体" w:eastAsia="方正小标宋简体" w:cs="方正小标宋简体"/>
          <w:b w:val="0"/>
          <w:bCs/>
          <w:i w:val="0"/>
          <w:caps w:val="0"/>
          <w:color w:val="000000"/>
          <w:spacing w:val="0"/>
          <w:kern w:val="0"/>
          <w:sz w:val="36"/>
          <w:szCs w:val="36"/>
          <w:shd w:val="clear" w:color="auto" w:fill="FFFFFF"/>
          <w:lang w:val="en-US" w:eastAsia="zh-CN" w:bidi="ar"/>
        </w:rPr>
      </w:pPr>
    </w:p>
    <w:p>
      <w:pPr>
        <w:keepNext w:val="0"/>
        <w:keepLines w:val="0"/>
        <w:widowControl/>
        <w:suppressLineNumbers w:val="0"/>
        <w:ind w:firstLine="640" w:firstLineChars="200"/>
        <w:jc w:val="both"/>
        <w:rPr>
          <w:rFonts w:hint="eastAsia" w:ascii="仿宋_GB2312" w:hAnsi="仿宋_GB2312" w:eastAsia="仿宋_GB2312" w:cs="仿宋_GB2312"/>
          <w:i w:val="0"/>
          <w:caps w:val="0"/>
          <w:color w:val="000000"/>
          <w:spacing w:val="0"/>
          <w:kern w:val="0"/>
          <w:sz w:val="32"/>
          <w:szCs w:val="32"/>
          <w:shd w:val="clear" w:color="auto" w:fill="FFFFFF"/>
          <w:lang w:val="en-US" w:eastAsia="zh-CN" w:bidi="ar"/>
        </w:rPr>
      </w:pPr>
      <w:r>
        <w:rPr>
          <w:rFonts w:hint="eastAsia" w:ascii="仿宋_GB2312" w:hAnsi="仿宋_GB2312" w:eastAsia="仿宋_GB2312" w:cs="仿宋_GB2312"/>
          <w:i w:val="0"/>
          <w:caps w:val="0"/>
          <w:color w:val="000000"/>
          <w:spacing w:val="0"/>
          <w:kern w:val="0"/>
          <w:sz w:val="32"/>
          <w:szCs w:val="32"/>
          <w:shd w:val="clear" w:color="auto" w:fill="FFFFFF"/>
          <w:lang w:val="en-US" w:eastAsia="zh-CN" w:bidi="ar"/>
        </w:rPr>
        <w:t>第一条 为加强全省药物临床试验机构风险管理，科学有效实施监管，落实监管责任，保障人民群众用药安全，根据《中华人民共和国药品管理法》《中华人民共和国疫苗管理法》《药品注册管理办法》《药物临床试验质量管理规范》等法规规章，以及国家药品监督管理局有关临床试验机构监督检查的规定,结合我省实际，制定本办法。</w:t>
      </w:r>
    </w:p>
    <w:p>
      <w:pPr>
        <w:keepNext w:val="0"/>
        <w:keepLines w:val="0"/>
        <w:widowControl/>
        <w:suppressLineNumbers w:val="0"/>
        <w:ind w:firstLine="640" w:firstLineChars="200"/>
        <w:jc w:val="both"/>
        <w:rPr>
          <w:rFonts w:hint="default" w:ascii="仿宋_GB2312" w:hAnsi="仿宋_GB2312" w:eastAsia="仿宋_GB2312" w:cs="仿宋_GB2312"/>
          <w:i w:val="0"/>
          <w:caps w:val="0"/>
          <w:color w:val="000000"/>
          <w:spacing w:val="0"/>
          <w:kern w:val="0"/>
          <w:sz w:val="32"/>
          <w:szCs w:val="32"/>
          <w:shd w:val="clear" w:color="auto" w:fill="FFFFFF"/>
          <w:lang w:val="en-US" w:eastAsia="zh-CN" w:bidi="ar"/>
        </w:rPr>
      </w:pPr>
      <w:r>
        <w:rPr>
          <w:rFonts w:hint="default" w:ascii="仿宋_GB2312" w:hAnsi="仿宋_GB2312" w:eastAsia="仿宋_GB2312" w:cs="仿宋_GB2312"/>
          <w:i w:val="0"/>
          <w:caps w:val="0"/>
          <w:color w:val="000000"/>
          <w:spacing w:val="0"/>
          <w:kern w:val="0"/>
          <w:sz w:val="32"/>
          <w:szCs w:val="32"/>
          <w:shd w:val="clear" w:color="auto" w:fill="FFFFFF"/>
          <w:lang w:val="en-US" w:eastAsia="zh-CN" w:bidi="ar"/>
        </w:rPr>
        <w:t>第二条 本办法适用于对</w:t>
      </w:r>
      <w:r>
        <w:rPr>
          <w:rFonts w:hint="eastAsia" w:ascii="仿宋_GB2312" w:hAnsi="仿宋_GB2312" w:eastAsia="仿宋_GB2312" w:cs="仿宋_GB2312"/>
          <w:i w:val="0"/>
          <w:caps w:val="0"/>
          <w:color w:val="000000"/>
          <w:spacing w:val="0"/>
          <w:kern w:val="0"/>
          <w:sz w:val="32"/>
          <w:szCs w:val="32"/>
          <w:shd w:val="clear" w:color="auto" w:fill="FFFFFF"/>
          <w:lang w:val="en-US" w:eastAsia="zh-CN" w:bidi="ar"/>
        </w:rPr>
        <w:t>山西</w:t>
      </w:r>
      <w:r>
        <w:rPr>
          <w:rFonts w:hint="default" w:ascii="仿宋_GB2312" w:hAnsi="仿宋_GB2312" w:eastAsia="仿宋_GB2312" w:cs="仿宋_GB2312"/>
          <w:i w:val="0"/>
          <w:caps w:val="0"/>
          <w:color w:val="000000"/>
          <w:spacing w:val="0"/>
          <w:kern w:val="0"/>
          <w:sz w:val="32"/>
          <w:szCs w:val="32"/>
          <w:shd w:val="clear" w:color="auto" w:fill="FFFFFF"/>
          <w:lang w:val="en-US" w:eastAsia="zh-CN" w:bidi="ar"/>
        </w:rPr>
        <w:t>省行政区域内已在国家药品监督管理局网站“药物临床试验机构备案管理信息平台”（以下简称备案平台）备案的药物临床试验机构的监督管理。</w:t>
      </w:r>
    </w:p>
    <w:p>
      <w:pPr>
        <w:keepNext w:val="0"/>
        <w:keepLines w:val="0"/>
        <w:widowControl/>
        <w:suppressLineNumbers w:val="0"/>
        <w:ind w:firstLine="640" w:firstLineChars="200"/>
        <w:jc w:val="both"/>
        <w:rPr>
          <w:rFonts w:hint="default" w:ascii="仿宋_GB2312" w:hAnsi="仿宋_GB2312" w:eastAsia="仿宋_GB2312" w:cs="仿宋_GB2312"/>
          <w:i w:val="0"/>
          <w:caps w:val="0"/>
          <w:color w:val="000000"/>
          <w:spacing w:val="0"/>
          <w:kern w:val="0"/>
          <w:sz w:val="32"/>
          <w:szCs w:val="32"/>
          <w:shd w:val="clear" w:color="auto" w:fill="FFFFFF"/>
          <w:lang w:val="en-US" w:eastAsia="zh-CN" w:bidi="ar"/>
        </w:rPr>
      </w:pPr>
      <w:r>
        <w:rPr>
          <w:rFonts w:hint="default" w:ascii="仿宋_GB2312" w:hAnsi="仿宋_GB2312" w:eastAsia="仿宋_GB2312" w:cs="仿宋_GB2312"/>
          <w:i w:val="0"/>
          <w:caps w:val="0"/>
          <w:color w:val="000000"/>
          <w:spacing w:val="0"/>
          <w:kern w:val="0"/>
          <w:sz w:val="32"/>
          <w:szCs w:val="32"/>
          <w:shd w:val="clear" w:color="auto" w:fill="FFFFFF"/>
          <w:lang w:val="en-US" w:eastAsia="zh-CN" w:bidi="ar"/>
        </w:rPr>
        <w:t>第</w:t>
      </w:r>
      <w:r>
        <w:rPr>
          <w:rFonts w:hint="eastAsia" w:ascii="仿宋_GB2312" w:hAnsi="仿宋_GB2312" w:eastAsia="仿宋_GB2312" w:cs="仿宋_GB2312"/>
          <w:i w:val="0"/>
          <w:caps w:val="0"/>
          <w:color w:val="000000"/>
          <w:spacing w:val="0"/>
          <w:kern w:val="0"/>
          <w:sz w:val="32"/>
          <w:szCs w:val="32"/>
          <w:shd w:val="clear" w:color="auto" w:fill="FFFFFF"/>
          <w:lang w:val="en-US" w:eastAsia="zh-CN" w:bidi="ar"/>
        </w:rPr>
        <w:t>三</w:t>
      </w:r>
      <w:r>
        <w:rPr>
          <w:rFonts w:hint="default" w:ascii="仿宋_GB2312" w:hAnsi="仿宋_GB2312" w:eastAsia="仿宋_GB2312" w:cs="仿宋_GB2312"/>
          <w:i w:val="0"/>
          <w:caps w:val="0"/>
          <w:color w:val="000000"/>
          <w:spacing w:val="0"/>
          <w:kern w:val="0"/>
          <w:sz w:val="32"/>
          <w:szCs w:val="32"/>
          <w:shd w:val="clear" w:color="auto" w:fill="FFFFFF"/>
          <w:lang w:val="en-US" w:eastAsia="zh-CN" w:bidi="ar"/>
        </w:rPr>
        <w:t>条 本办法所称分级监管，是指药物临床试验监督管理部门在日常监管过程中，应当基于风险开展监督检查，重点关注临床试验组织管理机构和主要研究者履行职责情况， 对机构的监督检查内容包括但不限于：对试验机构的资质条件、组织管理部门、备案管理、文件体系、立项管理、</w:t>
      </w:r>
      <w:r>
        <w:rPr>
          <w:rFonts w:hint="eastAsia" w:ascii="仿宋_GB2312" w:hAnsi="仿宋_GB2312" w:eastAsia="仿宋_GB2312" w:cs="仿宋_GB2312"/>
          <w:i w:val="0"/>
          <w:caps w:val="0"/>
          <w:color w:val="000000"/>
          <w:spacing w:val="0"/>
          <w:kern w:val="0"/>
          <w:sz w:val="32"/>
          <w:szCs w:val="32"/>
          <w:shd w:val="clear" w:color="auto" w:fill="FFFFFF"/>
          <w:lang w:val="en-US" w:eastAsia="zh-CN" w:bidi="ar"/>
        </w:rPr>
        <w:t>伦理审查、</w:t>
      </w:r>
      <w:r>
        <w:rPr>
          <w:rFonts w:hint="default" w:ascii="仿宋_GB2312" w:hAnsi="仿宋_GB2312" w:eastAsia="仿宋_GB2312" w:cs="仿宋_GB2312"/>
          <w:i w:val="0"/>
          <w:caps w:val="0"/>
          <w:color w:val="000000"/>
          <w:spacing w:val="0"/>
          <w:kern w:val="0"/>
          <w:sz w:val="32"/>
          <w:szCs w:val="32"/>
          <w:shd w:val="clear" w:color="auto" w:fill="FFFFFF"/>
          <w:lang w:val="en-US" w:eastAsia="zh-CN" w:bidi="ar"/>
        </w:rPr>
        <w:t>试验用药品管理、资料管理、质量管理、风险控制机制以及药物临床试验研究项目等，结合监督检查结果及相关投诉举报情况等因素，运用风险管理的方法，对药物临床试验机构进行综合评估，确定风险等级，并根据不同风险等级分类采取监管措施，优化监管资源配置、防控质量风险、有效提升监管效能。</w:t>
      </w:r>
    </w:p>
    <w:p>
      <w:pPr>
        <w:keepNext w:val="0"/>
        <w:keepLines w:val="0"/>
        <w:widowControl/>
        <w:suppressLineNumbers w:val="0"/>
        <w:ind w:firstLine="640" w:firstLineChars="200"/>
        <w:jc w:val="both"/>
        <w:rPr>
          <w:rFonts w:hint="eastAsia" w:ascii="仿宋_GB2312" w:hAnsi="仿宋_GB2312" w:eastAsia="仿宋_GB2312" w:cs="仿宋_GB2312"/>
          <w:i w:val="0"/>
          <w:caps w:val="0"/>
          <w:color w:val="000000"/>
          <w:spacing w:val="0"/>
          <w:kern w:val="0"/>
          <w:sz w:val="32"/>
          <w:szCs w:val="32"/>
          <w:shd w:val="clear" w:color="auto" w:fill="FFFFFF"/>
          <w:lang w:val="en-US" w:eastAsia="zh-CN" w:bidi="ar"/>
        </w:rPr>
      </w:pPr>
      <w:r>
        <w:rPr>
          <w:rFonts w:hint="eastAsia" w:ascii="仿宋_GB2312" w:hAnsi="仿宋_GB2312" w:eastAsia="仿宋_GB2312" w:cs="仿宋_GB2312"/>
          <w:i w:val="0"/>
          <w:caps w:val="0"/>
          <w:color w:val="000000"/>
          <w:spacing w:val="0"/>
          <w:kern w:val="0"/>
          <w:sz w:val="32"/>
          <w:szCs w:val="32"/>
          <w:shd w:val="clear" w:color="auto" w:fill="FFFFFF"/>
          <w:lang w:val="en-US" w:eastAsia="zh-CN" w:bidi="ar"/>
        </w:rPr>
        <w:t>第四条 山西省药品监督管理局负责制定全省药物临床试验机构分级监督管理办法和全省药物临床试验机构监管计划，开展全省药物临床试验机构监管工作。</w:t>
      </w:r>
    </w:p>
    <w:p>
      <w:pPr>
        <w:keepNext w:val="0"/>
        <w:keepLines w:val="0"/>
        <w:widowControl/>
        <w:numPr>
          <w:ilvl w:val="0"/>
          <w:numId w:val="0"/>
        </w:numPr>
        <w:suppressLineNumbers w:val="0"/>
        <w:ind w:leftChars="0" w:firstLine="640" w:firstLineChars="200"/>
        <w:jc w:val="both"/>
        <w:rPr>
          <w:rFonts w:hint="eastAsia" w:ascii="仿宋_GB2312" w:hAnsi="仿宋_GB2312" w:eastAsia="仿宋_GB2312" w:cs="仿宋_GB2312"/>
          <w:i w:val="0"/>
          <w:caps w:val="0"/>
          <w:color w:val="000000"/>
          <w:spacing w:val="0"/>
          <w:kern w:val="0"/>
          <w:sz w:val="32"/>
          <w:szCs w:val="32"/>
          <w:shd w:val="clear" w:color="auto" w:fill="FFFFFF"/>
          <w:lang w:val="en-US" w:eastAsia="zh-CN" w:bidi="ar"/>
        </w:rPr>
      </w:pPr>
      <w:r>
        <w:rPr>
          <w:rFonts w:hint="eastAsia" w:ascii="仿宋_GB2312" w:hAnsi="仿宋_GB2312" w:eastAsia="仿宋_GB2312" w:cs="仿宋_GB2312"/>
          <w:i w:val="0"/>
          <w:caps w:val="0"/>
          <w:color w:val="000000"/>
          <w:spacing w:val="0"/>
          <w:kern w:val="0"/>
          <w:sz w:val="32"/>
          <w:szCs w:val="32"/>
          <w:shd w:val="clear" w:color="auto" w:fill="FFFFFF"/>
          <w:lang w:val="en-US" w:eastAsia="zh-CN" w:bidi="ar"/>
        </w:rPr>
        <w:t>第五条 综合药物临床试验机构质量管理体系运行、监督检查结果、投诉举报或者其他线索提示等因素，依据《山西省药物临床试验机构分级监管评定标准》对机构风险等级进行量化评定，根据评定结果，对机构进行风险评级。根据评定结果将机构的监管级别由高到低划分为三个等级,并按年度实施动态管理，实现监管资源的精准配置。</w:t>
      </w:r>
    </w:p>
    <w:p>
      <w:pPr>
        <w:keepNext w:val="0"/>
        <w:keepLines w:val="0"/>
        <w:widowControl/>
        <w:numPr>
          <w:ilvl w:val="0"/>
          <w:numId w:val="0"/>
        </w:numPr>
        <w:suppressLineNumbers w:val="0"/>
        <w:ind w:firstLine="640" w:firstLineChars="200"/>
        <w:jc w:val="left"/>
        <w:rPr>
          <w:rFonts w:hint="eastAsia" w:ascii="仿宋_GB2312" w:hAnsi="仿宋_GB2312" w:eastAsia="仿宋_GB2312" w:cs="仿宋_GB2312"/>
          <w:i w:val="0"/>
          <w:caps w:val="0"/>
          <w:color w:val="000000"/>
          <w:spacing w:val="0"/>
          <w:kern w:val="0"/>
          <w:sz w:val="32"/>
          <w:szCs w:val="32"/>
          <w:shd w:val="clear" w:color="auto" w:fill="FFFFFF"/>
          <w:lang w:val="en-US" w:eastAsia="zh-CN" w:bidi="ar"/>
        </w:rPr>
      </w:pPr>
      <w:r>
        <w:rPr>
          <w:rFonts w:hint="eastAsia" w:ascii="仿宋_GB2312" w:hAnsi="仿宋_GB2312" w:eastAsia="仿宋_GB2312" w:cs="仿宋_GB2312"/>
          <w:i w:val="0"/>
          <w:caps w:val="0"/>
          <w:color w:val="000000"/>
          <w:spacing w:val="0"/>
          <w:kern w:val="0"/>
          <w:sz w:val="32"/>
          <w:szCs w:val="32"/>
          <w:shd w:val="clear" w:color="auto" w:fill="FFFFFF"/>
          <w:lang w:val="en-US" w:eastAsia="zh-CN" w:bidi="ar"/>
        </w:rPr>
        <w:t>三级监管是指对药物临床试验质量管理体系运行状况差，药物临床试验管理存在较大质量安全风险的药物临床试验机构进行的监管活动。</w:t>
      </w:r>
    </w:p>
    <w:p>
      <w:pPr>
        <w:keepNext w:val="0"/>
        <w:keepLines w:val="0"/>
        <w:widowControl/>
        <w:numPr>
          <w:ilvl w:val="0"/>
          <w:numId w:val="0"/>
        </w:numPr>
        <w:suppressLineNumbers w:val="0"/>
        <w:ind w:leftChars="0" w:firstLine="640" w:firstLineChars="200"/>
        <w:jc w:val="left"/>
        <w:rPr>
          <w:rFonts w:hint="eastAsia" w:ascii="仿宋_GB2312" w:hAnsi="仿宋_GB2312" w:eastAsia="仿宋_GB2312" w:cs="仿宋_GB2312"/>
          <w:i w:val="0"/>
          <w:caps w:val="0"/>
          <w:color w:val="000000"/>
          <w:spacing w:val="0"/>
          <w:kern w:val="0"/>
          <w:sz w:val="32"/>
          <w:szCs w:val="32"/>
          <w:shd w:val="clear" w:color="auto" w:fill="FFFFFF"/>
          <w:lang w:val="en-US" w:eastAsia="zh-CN" w:bidi="ar"/>
        </w:rPr>
      </w:pPr>
      <w:r>
        <w:rPr>
          <w:rFonts w:hint="eastAsia" w:ascii="仿宋_GB2312" w:hAnsi="仿宋_GB2312" w:eastAsia="仿宋_GB2312" w:cs="仿宋_GB2312"/>
          <w:i w:val="0"/>
          <w:caps w:val="0"/>
          <w:color w:val="000000"/>
          <w:spacing w:val="0"/>
          <w:kern w:val="0"/>
          <w:sz w:val="32"/>
          <w:szCs w:val="32"/>
          <w:shd w:val="clear" w:color="auto" w:fill="FFFFFF"/>
          <w:lang w:val="en-US" w:eastAsia="zh-CN" w:bidi="ar"/>
        </w:rPr>
        <w:t>二级监管是指对药物临床试验质量管理体系运行状况一般，药物临床试验管理存在质量安全风险的药物临床试验机构进行的监管活动。</w:t>
      </w:r>
    </w:p>
    <w:p>
      <w:pPr>
        <w:keepNext w:val="0"/>
        <w:keepLines w:val="0"/>
        <w:widowControl/>
        <w:numPr>
          <w:ilvl w:val="0"/>
          <w:numId w:val="0"/>
        </w:numPr>
        <w:suppressLineNumbers w:val="0"/>
        <w:ind w:leftChars="0" w:firstLine="640" w:firstLineChars="200"/>
        <w:jc w:val="left"/>
        <w:rPr>
          <w:rFonts w:hint="eastAsia" w:ascii="仿宋_GB2312" w:hAnsi="仿宋_GB2312" w:eastAsia="仿宋_GB2312" w:cs="仿宋_GB2312"/>
          <w:i w:val="0"/>
          <w:caps w:val="0"/>
          <w:color w:val="000000"/>
          <w:spacing w:val="0"/>
          <w:kern w:val="0"/>
          <w:sz w:val="32"/>
          <w:szCs w:val="32"/>
          <w:shd w:val="clear" w:color="auto" w:fill="FFFFFF"/>
          <w:lang w:val="en-US" w:eastAsia="zh-CN" w:bidi="ar"/>
        </w:rPr>
      </w:pPr>
      <w:r>
        <w:rPr>
          <w:rFonts w:hint="eastAsia" w:ascii="仿宋_GB2312" w:hAnsi="仿宋_GB2312" w:eastAsia="仿宋_GB2312" w:cs="仿宋_GB2312"/>
          <w:i w:val="0"/>
          <w:caps w:val="0"/>
          <w:color w:val="000000"/>
          <w:spacing w:val="0"/>
          <w:kern w:val="0"/>
          <w:sz w:val="32"/>
          <w:szCs w:val="32"/>
          <w:shd w:val="clear" w:color="auto" w:fill="FFFFFF"/>
          <w:lang w:val="en-US" w:eastAsia="zh-CN" w:bidi="ar"/>
        </w:rPr>
        <w:t>一级监管是指对药物临床试验质量管理体系运行及药物临床试验管理质量安全风险控制良好的药物临床试验机构进行的监管活动。</w:t>
      </w:r>
    </w:p>
    <w:p>
      <w:pPr>
        <w:keepNext w:val="0"/>
        <w:keepLines w:val="0"/>
        <w:widowControl/>
        <w:numPr>
          <w:ilvl w:val="0"/>
          <w:numId w:val="0"/>
        </w:numPr>
        <w:suppressLineNumbers w:val="0"/>
        <w:ind w:firstLine="640" w:firstLineChars="200"/>
        <w:jc w:val="left"/>
        <w:rPr>
          <w:rFonts w:hint="eastAsia" w:ascii="仿宋_GB2312" w:hAnsi="仿宋_GB2312" w:eastAsia="仿宋_GB2312" w:cs="仿宋_GB2312"/>
          <w:i w:val="0"/>
          <w:caps w:val="0"/>
          <w:color w:val="000000"/>
          <w:spacing w:val="0"/>
          <w:kern w:val="0"/>
          <w:sz w:val="32"/>
          <w:szCs w:val="32"/>
          <w:shd w:val="clear" w:color="auto" w:fill="FFFFFF"/>
          <w:lang w:val="en-US" w:eastAsia="zh-CN" w:bidi="ar"/>
        </w:rPr>
      </w:pPr>
      <w:r>
        <w:rPr>
          <w:rFonts w:hint="eastAsia" w:ascii="仿宋_GB2312" w:hAnsi="仿宋_GB2312" w:eastAsia="仿宋_GB2312" w:cs="仿宋_GB2312"/>
          <w:i w:val="0"/>
          <w:caps w:val="0"/>
          <w:color w:val="000000"/>
          <w:spacing w:val="0"/>
          <w:kern w:val="0"/>
          <w:sz w:val="32"/>
          <w:szCs w:val="32"/>
          <w:shd w:val="clear" w:color="auto" w:fill="FFFFFF"/>
          <w:lang w:val="en-US" w:eastAsia="zh-CN" w:bidi="ar"/>
        </w:rPr>
        <w:t>（一）对于实施三级监管的药物临床试验机构，每年应按照《药物临床试验机构监督检查要点及判定原则（试行）》，结合《药物临床试验质量管理规范》、《药物临床试验机构监督检查办法（试行）》等有关要求完成至少一次全项现场监督检查，相关机构如新增备案专业，则应针对该专业开展的第一个临床试验项目实施监督检查。必要时进行跟踪检查，督促机构完成整改，持续提升质量管理水平。可通过加大现场检查频次、对机构负责人进行行政约谈、公示不良行为、暂停新开展药物临床试验等措施加强监管力度。涉嫌违法的，应依法查处。</w:t>
      </w:r>
    </w:p>
    <w:p>
      <w:pPr>
        <w:keepNext w:val="0"/>
        <w:keepLines w:val="0"/>
        <w:widowControl/>
        <w:numPr>
          <w:ilvl w:val="0"/>
          <w:numId w:val="0"/>
        </w:numPr>
        <w:suppressLineNumbers w:val="0"/>
        <w:ind w:firstLine="640" w:firstLineChars="200"/>
        <w:jc w:val="left"/>
        <w:rPr>
          <w:rFonts w:hint="eastAsia" w:ascii="仿宋_GB2312" w:hAnsi="仿宋_GB2312" w:eastAsia="仿宋_GB2312" w:cs="仿宋_GB2312"/>
          <w:i w:val="0"/>
          <w:caps w:val="0"/>
          <w:color w:val="000000"/>
          <w:spacing w:val="0"/>
          <w:kern w:val="0"/>
          <w:sz w:val="32"/>
          <w:szCs w:val="32"/>
          <w:shd w:val="clear" w:color="auto" w:fill="FFFFFF"/>
          <w:lang w:val="en-US" w:eastAsia="zh-CN" w:bidi="ar"/>
        </w:rPr>
      </w:pPr>
      <w:r>
        <w:rPr>
          <w:rFonts w:hint="eastAsia" w:ascii="仿宋_GB2312" w:hAnsi="仿宋_GB2312" w:eastAsia="仿宋_GB2312" w:cs="仿宋_GB2312"/>
          <w:i w:val="0"/>
          <w:caps w:val="0"/>
          <w:color w:val="000000"/>
          <w:spacing w:val="0"/>
          <w:kern w:val="0"/>
          <w:sz w:val="32"/>
          <w:szCs w:val="32"/>
          <w:shd w:val="clear" w:color="auto" w:fill="FFFFFF"/>
          <w:lang w:val="en-US" w:eastAsia="zh-CN" w:bidi="ar"/>
        </w:rPr>
        <w:t>（二）对于实施二级监管的药物临床试验机构，每年应按照不低于70%的比例进行抽查。对被抽查的机构，应按照《药物临床试验机构监督检查要点及判定原则（试行）》结合《药物临床试验质量管理规范》、《药物临床试验机构监督检查办法（试行）》等有关要求完成至少一次全项现场监督检查，并针对问题整改情况收集整改报告，必要时进行跟踪检查。</w:t>
      </w:r>
    </w:p>
    <w:p>
      <w:pPr>
        <w:keepNext w:val="0"/>
        <w:keepLines w:val="0"/>
        <w:widowControl/>
        <w:numPr>
          <w:ilvl w:val="0"/>
          <w:numId w:val="0"/>
        </w:numPr>
        <w:suppressLineNumbers w:val="0"/>
        <w:ind w:firstLine="640" w:firstLineChars="200"/>
        <w:jc w:val="left"/>
        <w:rPr>
          <w:rFonts w:hint="eastAsia" w:ascii="仿宋_GB2312" w:hAnsi="仿宋_GB2312" w:eastAsia="仿宋_GB2312" w:cs="仿宋_GB2312"/>
          <w:i w:val="0"/>
          <w:caps w:val="0"/>
          <w:color w:val="000000"/>
          <w:spacing w:val="0"/>
          <w:kern w:val="0"/>
          <w:sz w:val="32"/>
          <w:szCs w:val="32"/>
          <w:shd w:val="clear" w:color="auto" w:fill="FFFFFF"/>
          <w:lang w:val="en-US" w:eastAsia="zh-CN" w:bidi="ar"/>
        </w:rPr>
      </w:pPr>
      <w:r>
        <w:rPr>
          <w:rFonts w:hint="eastAsia" w:ascii="仿宋_GB2312" w:hAnsi="仿宋_GB2312" w:eastAsia="仿宋_GB2312" w:cs="仿宋_GB2312"/>
          <w:i w:val="0"/>
          <w:caps w:val="0"/>
          <w:color w:val="000000"/>
          <w:spacing w:val="0"/>
          <w:kern w:val="0"/>
          <w:sz w:val="32"/>
          <w:szCs w:val="32"/>
          <w:shd w:val="clear" w:color="auto" w:fill="FFFFFF"/>
          <w:lang w:val="en-US" w:eastAsia="zh-CN" w:bidi="ar"/>
        </w:rPr>
        <w:t>（三）对于实施一级监管的药物临床试验机构，可根据实际情况采取现场检查、非现场书面审查、提交年度报告等形式开展日常监管，两年内应完成至少一次全覆盖检查。</w:t>
      </w:r>
    </w:p>
    <w:p>
      <w:pPr>
        <w:keepNext w:val="0"/>
        <w:keepLines w:val="0"/>
        <w:widowControl/>
        <w:numPr>
          <w:ilvl w:val="0"/>
          <w:numId w:val="0"/>
        </w:numPr>
        <w:suppressLineNumbers w:val="0"/>
        <w:ind w:firstLine="640" w:firstLineChars="200"/>
        <w:jc w:val="left"/>
        <w:rPr>
          <w:rFonts w:hint="eastAsia" w:ascii="仿宋_GB2312" w:hAnsi="仿宋_GB2312" w:eastAsia="仿宋_GB2312" w:cs="仿宋_GB2312"/>
          <w:i w:val="0"/>
          <w:caps w:val="0"/>
          <w:color w:val="000000"/>
          <w:spacing w:val="0"/>
          <w:kern w:val="0"/>
          <w:sz w:val="32"/>
          <w:szCs w:val="32"/>
          <w:shd w:val="clear" w:color="auto" w:fill="FFFFFF"/>
          <w:lang w:val="en-US" w:eastAsia="zh-CN" w:bidi="ar"/>
        </w:rPr>
      </w:pPr>
      <w:r>
        <w:rPr>
          <w:rFonts w:hint="eastAsia" w:ascii="仿宋_GB2312" w:hAnsi="仿宋_GB2312" w:eastAsia="仿宋_GB2312" w:cs="仿宋_GB2312"/>
          <w:i w:val="0"/>
          <w:caps w:val="0"/>
          <w:color w:val="000000"/>
          <w:spacing w:val="0"/>
          <w:kern w:val="0"/>
          <w:sz w:val="32"/>
          <w:szCs w:val="32"/>
          <w:shd w:val="clear" w:color="auto" w:fill="FFFFFF"/>
          <w:lang w:val="en-US" w:eastAsia="zh-CN" w:bidi="ar"/>
        </w:rPr>
        <w:t>第六条 分级监管遵循动态评定、动态管理的原则。按照《山西省药物临床试验机构分级监管评定标准》，结合监管系统分级评定相关信息，每年12月25日前对药物临床试验机构进行量化评定，生成下一年度的初始监管评级。</w:t>
      </w:r>
    </w:p>
    <w:p>
      <w:pPr>
        <w:keepNext w:val="0"/>
        <w:keepLines w:val="0"/>
        <w:widowControl/>
        <w:numPr>
          <w:ilvl w:val="0"/>
          <w:numId w:val="0"/>
        </w:numPr>
        <w:suppressLineNumbers w:val="0"/>
        <w:ind w:firstLine="640" w:firstLineChars="200"/>
        <w:jc w:val="left"/>
        <w:rPr>
          <w:rFonts w:hint="eastAsia" w:ascii="仿宋_GB2312" w:hAnsi="仿宋_GB2312" w:eastAsia="仿宋_GB2312" w:cs="仿宋_GB2312"/>
          <w:i w:val="0"/>
          <w:caps w:val="0"/>
          <w:color w:val="000000"/>
          <w:spacing w:val="0"/>
          <w:kern w:val="0"/>
          <w:sz w:val="32"/>
          <w:szCs w:val="32"/>
          <w:shd w:val="clear" w:color="auto" w:fill="FFFFFF"/>
          <w:lang w:val="en-US" w:eastAsia="zh-CN" w:bidi="ar"/>
        </w:rPr>
      </w:pPr>
      <w:r>
        <w:rPr>
          <w:rFonts w:hint="eastAsia" w:ascii="仿宋_GB2312" w:hAnsi="仿宋_GB2312" w:eastAsia="仿宋_GB2312" w:cs="仿宋_GB2312"/>
          <w:i w:val="0"/>
          <w:caps w:val="0"/>
          <w:color w:val="000000"/>
          <w:spacing w:val="0"/>
          <w:kern w:val="0"/>
          <w:sz w:val="32"/>
          <w:szCs w:val="32"/>
          <w:shd w:val="clear" w:color="auto" w:fill="FFFFFF"/>
          <w:lang w:val="en-US" w:eastAsia="zh-CN" w:bidi="ar"/>
        </w:rPr>
        <w:t>监管过程中，采集的药物临床试验机构分级评定相关信息发生变化时，系统将根据新归集的信息对相应药物临床试验机构实施动态评级。动态评级高于年度初始评级结果的，监管级别调整为相应高级别的监管评级；动态评级低于年度初始评级结果的，维持原监管级别。</w:t>
      </w:r>
    </w:p>
    <w:p>
      <w:pPr>
        <w:keepNext w:val="0"/>
        <w:keepLines w:val="0"/>
        <w:widowControl/>
        <w:numPr>
          <w:ilvl w:val="0"/>
          <w:numId w:val="0"/>
        </w:numPr>
        <w:suppressLineNumbers w:val="0"/>
        <w:ind w:firstLine="640" w:firstLineChars="200"/>
        <w:jc w:val="left"/>
        <w:rPr>
          <w:rFonts w:hint="eastAsia" w:ascii="仿宋_GB2312" w:hAnsi="仿宋_GB2312" w:eastAsia="仿宋_GB2312" w:cs="仿宋_GB2312"/>
          <w:b/>
          <w:bCs/>
          <w:i w:val="0"/>
          <w:caps w:val="0"/>
          <w:color w:val="000000"/>
          <w:spacing w:val="0"/>
          <w:sz w:val="32"/>
          <w:szCs w:val="32"/>
          <w:shd w:val="clear" w:color="auto" w:fill="FFFFFF"/>
        </w:rPr>
      </w:pPr>
      <w:r>
        <w:rPr>
          <w:rFonts w:hint="eastAsia" w:ascii="仿宋_GB2312" w:hAnsi="仿宋_GB2312" w:eastAsia="仿宋_GB2312" w:cs="仿宋_GB2312"/>
          <w:i w:val="0"/>
          <w:caps w:val="0"/>
          <w:color w:val="000000"/>
          <w:spacing w:val="0"/>
          <w:kern w:val="0"/>
          <w:sz w:val="32"/>
          <w:szCs w:val="32"/>
          <w:shd w:val="clear" w:color="auto" w:fill="FFFFFF"/>
          <w:lang w:val="en-US" w:eastAsia="zh-CN" w:bidi="ar"/>
        </w:rPr>
        <w:t>第七条 分级评定结果供监管工作参考、使用。评定结果应告知相应药物临床试验机构，不统一对外公示。</w:t>
      </w:r>
    </w:p>
    <w:p>
      <w:pPr>
        <w:keepNext w:val="0"/>
        <w:keepLines w:val="0"/>
        <w:widowControl/>
        <w:numPr>
          <w:ilvl w:val="0"/>
          <w:numId w:val="0"/>
        </w:numPr>
        <w:suppressLineNumbers w:val="0"/>
        <w:ind w:firstLine="640" w:firstLineChars="200"/>
        <w:jc w:val="left"/>
        <w:rPr>
          <w:rFonts w:hint="eastAsia" w:ascii="仿宋_GB2312" w:hAnsi="仿宋_GB2312" w:eastAsia="仿宋_GB2312" w:cs="仿宋_GB2312"/>
          <w:i w:val="0"/>
          <w:caps w:val="0"/>
          <w:color w:val="000000"/>
          <w:spacing w:val="0"/>
          <w:kern w:val="0"/>
          <w:sz w:val="32"/>
          <w:szCs w:val="32"/>
          <w:shd w:val="clear" w:color="auto" w:fill="FFFFFF"/>
          <w:lang w:val="en-US" w:eastAsia="zh-CN" w:bidi="ar"/>
        </w:rPr>
      </w:pPr>
      <w:r>
        <w:rPr>
          <w:rFonts w:hint="eastAsia" w:ascii="仿宋_GB2312" w:hAnsi="仿宋_GB2312" w:eastAsia="仿宋_GB2312" w:cs="仿宋_GB2312"/>
          <w:i w:val="0"/>
          <w:caps w:val="0"/>
          <w:color w:val="000000"/>
          <w:spacing w:val="0"/>
          <w:kern w:val="0"/>
          <w:sz w:val="32"/>
          <w:szCs w:val="32"/>
          <w:shd w:val="clear" w:color="auto" w:fill="FFFFFF"/>
          <w:lang w:val="en-US" w:eastAsia="zh-CN" w:bidi="ar"/>
        </w:rPr>
        <w:t>第八条 检查员和药品监督管理部门在监督检查和评定等级过程中弄虚作假、徇私舞弊、失职渎职的，按有关规定追究相关责任人的责任。</w:t>
      </w:r>
    </w:p>
    <w:p>
      <w:pPr>
        <w:keepNext w:val="0"/>
        <w:keepLines w:val="0"/>
        <w:widowControl/>
        <w:numPr>
          <w:ilvl w:val="0"/>
          <w:numId w:val="0"/>
        </w:numPr>
        <w:suppressLineNumbers w:val="0"/>
        <w:ind w:firstLine="640"/>
        <w:jc w:val="left"/>
        <w:rPr>
          <w:rFonts w:hint="default" w:ascii="仿宋_GB2312" w:hAnsi="仿宋_GB2312" w:eastAsia="仿宋_GB2312" w:cs="仿宋_GB2312"/>
          <w:i w:val="0"/>
          <w:caps w:val="0"/>
          <w:color w:val="000000"/>
          <w:spacing w:val="0"/>
          <w:kern w:val="0"/>
          <w:sz w:val="32"/>
          <w:szCs w:val="32"/>
          <w:shd w:val="clear" w:color="auto" w:fill="FFFFFF"/>
          <w:lang w:val="en-US" w:eastAsia="zh-CN" w:bidi="ar"/>
        </w:rPr>
      </w:pPr>
      <w:r>
        <w:rPr>
          <w:rFonts w:hint="default" w:ascii="仿宋_GB2312" w:hAnsi="仿宋_GB2312" w:eastAsia="仿宋_GB2312" w:cs="仿宋_GB2312"/>
          <w:i w:val="0"/>
          <w:caps w:val="0"/>
          <w:color w:val="000000"/>
          <w:spacing w:val="0"/>
          <w:kern w:val="0"/>
          <w:sz w:val="32"/>
          <w:szCs w:val="32"/>
          <w:shd w:val="clear" w:color="auto" w:fill="FFFFFF"/>
          <w:lang w:val="en-US" w:eastAsia="zh-CN" w:bidi="ar"/>
        </w:rPr>
        <w:t>本办法自202</w:t>
      </w:r>
      <w:r>
        <w:rPr>
          <w:rFonts w:hint="eastAsia" w:ascii="仿宋_GB2312" w:hAnsi="仿宋_GB2312" w:eastAsia="仿宋_GB2312" w:cs="仿宋_GB2312"/>
          <w:i w:val="0"/>
          <w:caps w:val="0"/>
          <w:color w:val="000000"/>
          <w:spacing w:val="0"/>
          <w:kern w:val="0"/>
          <w:sz w:val="32"/>
          <w:szCs w:val="32"/>
          <w:shd w:val="clear" w:color="auto" w:fill="FFFFFF"/>
          <w:lang w:val="en-US" w:eastAsia="zh-CN" w:bidi="ar"/>
        </w:rPr>
        <w:t xml:space="preserve"> </w:t>
      </w:r>
      <w:r>
        <w:rPr>
          <w:rFonts w:hint="default" w:ascii="仿宋_GB2312" w:hAnsi="仿宋_GB2312" w:eastAsia="仿宋_GB2312" w:cs="仿宋_GB2312"/>
          <w:i w:val="0"/>
          <w:caps w:val="0"/>
          <w:color w:val="000000"/>
          <w:spacing w:val="0"/>
          <w:kern w:val="0"/>
          <w:sz w:val="32"/>
          <w:szCs w:val="32"/>
          <w:shd w:val="clear" w:color="auto" w:fill="FFFFFF"/>
          <w:lang w:val="en-US" w:eastAsia="zh-CN" w:bidi="ar"/>
        </w:rPr>
        <w:t>年  月  日起施行，有效期为5年。实施期间，法律法规及政策另有规定的，从其规定。</w:t>
      </w:r>
    </w:p>
    <w:p>
      <w:pPr>
        <w:keepNext w:val="0"/>
        <w:keepLines w:val="0"/>
        <w:widowControl/>
        <w:numPr>
          <w:ilvl w:val="0"/>
          <w:numId w:val="0"/>
        </w:numPr>
        <w:suppressLineNumbers w:val="0"/>
        <w:jc w:val="both"/>
        <w:rPr>
          <w:rFonts w:hint="eastAsia" w:ascii="仿宋_GB2312" w:hAnsi="仿宋_GB2312" w:eastAsia="仿宋_GB2312" w:cs="仿宋_GB2312"/>
          <w:i w:val="0"/>
          <w:caps w:val="0"/>
          <w:color w:val="000000"/>
          <w:spacing w:val="0"/>
          <w:kern w:val="0"/>
          <w:sz w:val="28"/>
          <w:szCs w:val="28"/>
          <w:shd w:val="clear" w:color="auto" w:fill="FFFFFF"/>
          <w:lang w:val="en-US" w:eastAsia="zh-CN" w:bidi="ar"/>
        </w:rPr>
      </w:pPr>
    </w:p>
    <w:p>
      <w:pPr>
        <w:keepNext w:val="0"/>
        <w:keepLines w:val="0"/>
        <w:widowControl/>
        <w:numPr>
          <w:ilvl w:val="0"/>
          <w:numId w:val="0"/>
        </w:numPr>
        <w:suppressLineNumbers w:val="0"/>
        <w:jc w:val="left"/>
        <w:rPr>
          <w:rFonts w:hint="default" w:ascii="仿宋_GB2312" w:hAnsi="仿宋_GB2312" w:eastAsia="仿宋_GB2312" w:cs="仿宋_GB2312"/>
          <w:i w:val="0"/>
          <w:caps w:val="0"/>
          <w:color w:val="000000"/>
          <w:spacing w:val="0"/>
          <w:kern w:val="0"/>
          <w:sz w:val="32"/>
          <w:szCs w:val="32"/>
          <w:shd w:val="clear" w:color="auto" w:fill="FFFFFF"/>
          <w:lang w:val="en-US" w:eastAsia="zh-CN" w:bidi="ar"/>
        </w:rPr>
      </w:pPr>
      <w:r>
        <w:rPr>
          <w:rFonts w:hint="eastAsia" w:ascii="仿宋_GB2312" w:hAnsi="仿宋_GB2312" w:eastAsia="仿宋_GB2312" w:cs="仿宋_GB2312"/>
          <w:i w:val="0"/>
          <w:caps w:val="0"/>
          <w:color w:val="000000"/>
          <w:spacing w:val="0"/>
          <w:kern w:val="0"/>
          <w:sz w:val="32"/>
          <w:szCs w:val="32"/>
          <w:shd w:val="clear" w:color="auto" w:fill="FFFFFF"/>
          <w:lang w:val="en-US" w:eastAsia="zh-CN" w:bidi="ar"/>
        </w:rPr>
        <w:t>附件：山西省药物临床试验机构风险等级评定标准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center"/>
        <w:rPr>
          <w:rStyle w:val="6"/>
          <w:rFonts w:hint="eastAsia" w:ascii="微软雅黑" w:hAnsi="微软雅黑" w:eastAsia="微软雅黑" w:cs="微软雅黑"/>
          <w:i w:val="0"/>
          <w:iCs w:val="0"/>
          <w:caps w:val="0"/>
          <w:color w:val="333333"/>
          <w:spacing w:val="0"/>
          <w:sz w:val="24"/>
          <w:szCs w:val="24"/>
          <w:shd w:val="clear" w:fill="FFFFFF"/>
        </w:rPr>
      </w:pPr>
      <w:r>
        <w:rPr>
          <w:rStyle w:val="6"/>
          <w:rFonts w:hint="eastAsia" w:ascii="微软雅黑" w:hAnsi="微软雅黑" w:eastAsia="微软雅黑" w:cs="微软雅黑"/>
          <w:i w:val="0"/>
          <w:iCs w:val="0"/>
          <w:caps w:val="0"/>
          <w:color w:val="333333"/>
          <w:spacing w:val="0"/>
          <w:sz w:val="24"/>
          <w:szCs w:val="24"/>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仿宋_GB2312" w:hAnsi="仿宋_GB2312" w:eastAsia="仿宋_GB2312" w:cs="仿宋_GB2312"/>
          <w:i w:val="0"/>
          <w:caps w:val="0"/>
          <w:color w:val="000000"/>
          <w:spacing w:val="0"/>
          <w:kern w:val="0"/>
          <w:sz w:val="28"/>
          <w:szCs w:val="28"/>
          <w:shd w:val="clear" w:color="auto" w:fill="FFFFFF"/>
          <w:lang w:val="en-US" w:eastAsia="zh-CN" w:bidi="ar"/>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仿宋_GB2312" w:hAnsi="仿宋_GB2312" w:eastAsia="仿宋_GB2312" w:cs="仿宋_GB2312"/>
          <w:i w:val="0"/>
          <w:caps w:val="0"/>
          <w:color w:val="000000"/>
          <w:spacing w:val="0"/>
          <w:kern w:val="0"/>
          <w:sz w:val="28"/>
          <w:szCs w:val="28"/>
          <w:shd w:val="clear" w:color="auto" w:fill="FFFFFF"/>
          <w:lang w:val="en-US" w:eastAsia="zh-CN" w:bidi="ar"/>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仿宋_GB2312" w:hAnsi="仿宋_GB2312" w:eastAsia="仿宋_GB2312" w:cs="仿宋_GB2312"/>
          <w:i w:val="0"/>
          <w:caps w:val="0"/>
          <w:color w:val="000000"/>
          <w:spacing w:val="0"/>
          <w:kern w:val="0"/>
          <w:sz w:val="28"/>
          <w:szCs w:val="28"/>
          <w:shd w:val="clear" w:color="auto" w:fill="FFFFFF"/>
          <w:lang w:val="en-US" w:eastAsia="zh-CN" w:bidi="ar"/>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仿宋_GB2312" w:hAnsi="仿宋_GB2312" w:eastAsia="仿宋_GB2312" w:cs="仿宋_GB2312"/>
          <w:i w:val="0"/>
          <w:caps w:val="0"/>
          <w:color w:val="000000"/>
          <w:spacing w:val="0"/>
          <w:kern w:val="0"/>
          <w:sz w:val="28"/>
          <w:szCs w:val="28"/>
          <w:shd w:val="clear" w:color="auto" w:fill="FFFFFF"/>
          <w:lang w:val="en-US" w:eastAsia="zh-CN" w:bidi="ar"/>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仿宋_GB2312" w:hAnsi="仿宋_GB2312" w:eastAsia="仿宋_GB2312" w:cs="仿宋_GB2312"/>
          <w:i w:val="0"/>
          <w:caps w:val="0"/>
          <w:color w:val="000000"/>
          <w:spacing w:val="0"/>
          <w:kern w:val="0"/>
          <w:sz w:val="28"/>
          <w:szCs w:val="28"/>
          <w:shd w:val="clear" w:color="auto" w:fill="FFFFFF"/>
          <w:lang w:val="en-US" w:eastAsia="zh-CN" w:bidi="ar"/>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仿宋_GB2312" w:hAnsi="仿宋_GB2312" w:eastAsia="仿宋_GB2312" w:cs="仿宋_GB2312"/>
          <w:i w:val="0"/>
          <w:caps w:val="0"/>
          <w:color w:val="000000"/>
          <w:spacing w:val="0"/>
          <w:kern w:val="0"/>
          <w:sz w:val="28"/>
          <w:szCs w:val="28"/>
          <w:shd w:val="clear" w:color="auto" w:fill="FFFFFF"/>
          <w:lang w:val="en-US" w:eastAsia="zh-CN" w:bidi="ar"/>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仿宋_GB2312" w:hAnsi="仿宋_GB2312" w:eastAsia="仿宋_GB2312" w:cs="仿宋_GB2312"/>
          <w:i w:val="0"/>
          <w:caps w:val="0"/>
          <w:color w:val="000000"/>
          <w:spacing w:val="0"/>
          <w:kern w:val="0"/>
          <w:sz w:val="28"/>
          <w:szCs w:val="28"/>
          <w:shd w:val="clear" w:color="auto" w:fill="FFFFFF"/>
          <w:lang w:val="en-US" w:eastAsia="zh-CN" w:bidi="ar"/>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仿宋_GB2312" w:hAnsi="仿宋_GB2312" w:eastAsia="仿宋_GB2312" w:cs="仿宋_GB2312"/>
          <w:i w:val="0"/>
          <w:caps w:val="0"/>
          <w:color w:val="000000"/>
          <w:spacing w:val="0"/>
          <w:kern w:val="0"/>
          <w:sz w:val="28"/>
          <w:szCs w:val="28"/>
          <w:shd w:val="clear" w:color="auto" w:fill="FFFFFF"/>
          <w:lang w:val="en-US" w:eastAsia="zh-CN" w:bidi="ar"/>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仿宋_GB2312" w:hAnsi="仿宋_GB2312" w:eastAsia="仿宋_GB2312" w:cs="仿宋_GB2312"/>
          <w:i w:val="0"/>
          <w:caps w:val="0"/>
          <w:color w:val="000000"/>
          <w:spacing w:val="0"/>
          <w:kern w:val="0"/>
          <w:sz w:val="28"/>
          <w:szCs w:val="28"/>
          <w:shd w:val="clear" w:color="auto" w:fill="FFFFFF"/>
          <w:lang w:val="en-US" w:eastAsia="zh-CN" w:bidi="ar"/>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Style w:val="6"/>
          <w:rFonts w:hint="eastAsia" w:ascii="微软雅黑" w:hAnsi="微软雅黑" w:eastAsia="微软雅黑" w:cs="微软雅黑"/>
          <w:i w:val="0"/>
          <w:iCs w:val="0"/>
          <w:caps w:val="0"/>
          <w:color w:val="333333"/>
          <w:spacing w:val="0"/>
          <w:sz w:val="24"/>
          <w:szCs w:val="24"/>
          <w:shd w:val="clear" w:fill="FFFFFF"/>
          <w:lang w:val="en-US" w:eastAsia="zh-CN"/>
        </w:rPr>
      </w:pPr>
      <w:r>
        <w:rPr>
          <w:rFonts w:hint="eastAsia" w:ascii="仿宋_GB2312" w:hAnsi="仿宋_GB2312" w:eastAsia="仿宋_GB2312" w:cs="仿宋_GB2312"/>
          <w:i w:val="0"/>
          <w:caps w:val="0"/>
          <w:color w:val="000000"/>
          <w:spacing w:val="0"/>
          <w:kern w:val="0"/>
          <w:sz w:val="28"/>
          <w:szCs w:val="28"/>
          <w:shd w:val="clear" w:color="auto" w:fill="FFFFFF"/>
          <w:lang w:val="en-US" w:eastAsia="zh-CN" w:bidi="ar"/>
        </w:rPr>
        <w:t>附件</w:t>
      </w:r>
      <w:r>
        <w:rPr>
          <w:rStyle w:val="6"/>
          <w:rFonts w:hint="eastAsia" w:ascii="微软雅黑" w:hAnsi="微软雅黑" w:eastAsia="微软雅黑" w:cs="微软雅黑"/>
          <w:i w:val="0"/>
          <w:iCs w:val="0"/>
          <w:caps w:val="0"/>
          <w:color w:val="333333"/>
          <w:spacing w:val="0"/>
          <w:sz w:val="24"/>
          <w:szCs w:val="24"/>
          <w:shd w:val="clear" w:fill="FFFFFF"/>
          <w:lang w:val="en-US" w:eastAsia="zh-CN"/>
        </w:rPr>
        <w:t xml:space="preserve">     </w:t>
      </w:r>
    </w:p>
    <w:p>
      <w:pPr>
        <w:pStyle w:val="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480" w:leftChars="0" w:right="0" w:rightChars="0"/>
        <w:jc w:val="center"/>
        <w:rPr>
          <w:rFonts w:hint="eastAsia" w:ascii="仿宋" w:hAnsi="仿宋" w:eastAsia="仿宋" w:cs="仿宋"/>
          <w:i w:val="0"/>
          <w:iCs w:val="0"/>
          <w:caps w:val="0"/>
          <w:color w:val="333333"/>
          <w:spacing w:val="0"/>
          <w:sz w:val="24"/>
          <w:szCs w:val="24"/>
          <w:shd w:val="clear" w:fill="FFFFFF"/>
        </w:rPr>
      </w:pPr>
      <w:r>
        <w:rPr>
          <w:rStyle w:val="6"/>
          <w:rFonts w:hint="eastAsia" w:ascii="微软雅黑" w:hAnsi="微软雅黑" w:eastAsia="微软雅黑" w:cs="微软雅黑"/>
          <w:i w:val="0"/>
          <w:iCs w:val="0"/>
          <w:caps w:val="0"/>
          <w:color w:val="333333"/>
          <w:spacing w:val="0"/>
          <w:sz w:val="28"/>
          <w:szCs w:val="28"/>
          <w:shd w:val="clear" w:fill="FFFFFF"/>
          <w:lang w:eastAsia="zh-CN"/>
        </w:rPr>
        <w:t>山西省药物临床试验机构分级监管评定标准</w:t>
      </w:r>
    </w:p>
    <w:p>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480" w:leftChars="0" w:right="0" w:firstLine="0" w:firstLineChars="0"/>
        <w:rPr>
          <w:rFonts w:hint="eastAsia" w:ascii="仿宋" w:hAnsi="仿宋" w:eastAsia="仿宋" w:cs="仿宋"/>
          <w:i w:val="0"/>
          <w:iCs w:val="0"/>
          <w:caps w:val="0"/>
          <w:color w:val="333333"/>
          <w:spacing w:val="0"/>
          <w:sz w:val="24"/>
          <w:szCs w:val="24"/>
          <w:shd w:val="clear" w:fill="FFFFFF"/>
        </w:rPr>
      </w:pPr>
      <w:r>
        <w:rPr>
          <w:rFonts w:hint="eastAsia" w:ascii="仿宋" w:hAnsi="仿宋" w:eastAsia="仿宋" w:cs="仿宋"/>
          <w:i w:val="0"/>
          <w:iCs w:val="0"/>
          <w:caps w:val="0"/>
          <w:color w:val="333333"/>
          <w:spacing w:val="0"/>
          <w:sz w:val="24"/>
          <w:szCs w:val="24"/>
          <w:shd w:val="clear" w:fill="FFFFFF"/>
        </w:rPr>
        <w:t>本评定标准适用于</w:t>
      </w:r>
      <w:r>
        <w:rPr>
          <w:rFonts w:hint="eastAsia" w:ascii="仿宋" w:hAnsi="仿宋" w:eastAsia="仿宋" w:cs="仿宋"/>
          <w:i w:val="0"/>
          <w:iCs w:val="0"/>
          <w:caps w:val="0"/>
          <w:color w:val="333333"/>
          <w:spacing w:val="0"/>
          <w:sz w:val="24"/>
          <w:szCs w:val="24"/>
          <w:shd w:val="clear" w:fill="FFFFFF"/>
          <w:lang w:eastAsia="zh-CN"/>
        </w:rPr>
        <w:t>山西省</w:t>
      </w:r>
      <w:r>
        <w:rPr>
          <w:rFonts w:hint="eastAsia" w:ascii="仿宋" w:hAnsi="仿宋" w:eastAsia="仿宋" w:cs="仿宋"/>
          <w:i w:val="0"/>
          <w:iCs w:val="0"/>
          <w:caps w:val="0"/>
          <w:color w:val="333333"/>
          <w:spacing w:val="0"/>
          <w:sz w:val="24"/>
          <w:szCs w:val="24"/>
          <w:shd w:val="clear" w:fill="FFFFFF"/>
        </w:rPr>
        <w:t>药品监督管理局对辖区内药物临床试验机构进行分级监管评定工作。</w:t>
      </w:r>
    </w:p>
    <w:p>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480" w:leftChars="0" w:right="0" w:firstLine="0" w:firstLineChars="0"/>
        <w:rPr>
          <w:rFonts w:hint="eastAsia" w:ascii="仿宋" w:hAnsi="仿宋" w:eastAsia="仿宋" w:cs="仿宋"/>
          <w:i w:val="0"/>
          <w:iCs w:val="0"/>
          <w:caps w:val="0"/>
          <w:color w:val="333333"/>
          <w:spacing w:val="0"/>
          <w:sz w:val="24"/>
          <w:szCs w:val="24"/>
          <w:shd w:val="clear" w:fill="FFFFFF"/>
          <w:lang w:val="en-US" w:eastAsia="zh-CN"/>
        </w:rPr>
      </w:pPr>
      <w:r>
        <w:rPr>
          <w:rFonts w:hint="eastAsia" w:ascii="仿宋" w:hAnsi="仿宋" w:eastAsia="仿宋" w:cs="仿宋"/>
          <w:i w:val="0"/>
          <w:iCs w:val="0"/>
          <w:caps w:val="0"/>
          <w:color w:val="333333"/>
          <w:spacing w:val="0"/>
          <w:sz w:val="24"/>
          <w:szCs w:val="24"/>
          <w:shd w:val="clear" w:fill="FFFFFF"/>
        </w:rPr>
        <w:t>监管等级评定</w:t>
      </w:r>
      <w:r>
        <w:rPr>
          <w:rFonts w:hint="eastAsia" w:ascii="仿宋" w:hAnsi="仿宋" w:eastAsia="仿宋" w:cs="仿宋"/>
          <w:i w:val="0"/>
          <w:iCs w:val="0"/>
          <w:caps w:val="0"/>
          <w:color w:val="333333"/>
          <w:spacing w:val="0"/>
          <w:sz w:val="24"/>
          <w:szCs w:val="24"/>
          <w:shd w:val="clear" w:fill="FFFFFF"/>
          <w:lang w:eastAsia="zh-CN"/>
        </w:rPr>
        <w:t>参考《药物临床试验机构监督检查要点及判定原则（试行）》，</w:t>
      </w:r>
      <w:r>
        <w:rPr>
          <w:rFonts w:hint="eastAsia" w:ascii="仿宋" w:hAnsi="仿宋" w:eastAsia="仿宋" w:cs="仿宋"/>
          <w:i w:val="0"/>
          <w:iCs w:val="0"/>
          <w:caps w:val="0"/>
          <w:color w:val="333333"/>
          <w:spacing w:val="0"/>
          <w:sz w:val="24"/>
          <w:szCs w:val="24"/>
          <w:shd w:val="clear" w:fill="FFFFFF"/>
        </w:rPr>
        <w:t>按照《</w:t>
      </w:r>
      <w:r>
        <w:rPr>
          <w:rFonts w:hint="eastAsia" w:ascii="仿宋" w:hAnsi="仿宋" w:eastAsia="仿宋" w:cs="仿宋"/>
          <w:i w:val="0"/>
          <w:iCs w:val="0"/>
          <w:caps w:val="0"/>
          <w:color w:val="333333"/>
          <w:spacing w:val="0"/>
          <w:sz w:val="24"/>
          <w:szCs w:val="24"/>
          <w:shd w:val="clear" w:fill="FFFFFF"/>
          <w:lang w:val="en-US" w:eastAsia="zh-CN"/>
        </w:rPr>
        <w:t>山西省药物临床试验机构分级监管评分表</w:t>
      </w:r>
      <w:r>
        <w:rPr>
          <w:rFonts w:hint="eastAsia" w:ascii="仿宋" w:hAnsi="仿宋" w:eastAsia="仿宋" w:cs="仿宋"/>
          <w:i w:val="0"/>
          <w:iCs w:val="0"/>
          <w:caps w:val="0"/>
          <w:color w:val="333333"/>
          <w:spacing w:val="0"/>
          <w:sz w:val="24"/>
          <w:szCs w:val="24"/>
          <w:shd w:val="clear" w:fill="FFFFFF"/>
        </w:rPr>
        <w:t>》（以下简称《评分表》，见表1）进行，</w:t>
      </w:r>
      <w:r>
        <w:rPr>
          <w:rFonts w:hint="eastAsia" w:ascii="仿宋" w:hAnsi="仿宋" w:eastAsia="仿宋" w:cs="仿宋"/>
          <w:i w:val="0"/>
          <w:iCs w:val="0"/>
          <w:caps w:val="0"/>
          <w:color w:val="333333"/>
          <w:spacing w:val="0"/>
          <w:sz w:val="24"/>
          <w:szCs w:val="24"/>
          <w:shd w:val="clear" w:fill="FFFFFF"/>
          <w:lang w:eastAsia="zh-CN"/>
        </w:rPr>
        <w:t>实行记分管理，分为机构部分、伦理委员会和专业部分，三个部分分别</w:t>
      </w:r>
      <w:r>
        <w:rPr>
          <w:rFonts w:hint="eastAsia" w:ascii="仿宋" w:hAnsi="仿宋" w:eastAsia="仿宋" w:cs="仿宋"/>
          <w:kern w:val="0"/>
          <w:sz w:val="24"/>
          <w:szCs w:val="24"/>
          <w:lang w:val="en-US" w:eastAsia="zh-CN" w:bidi="ar"/>
        </w:rPr>
        <w:t>采取累积记分制，</w:t>
      </w:r>
      <w:r>
        <w:rPr>
          <w:rFonts w:hint="eastAsia" w:ascii="仿宋" w:hAnsi="仿宋" w:eastAsia="仿宋" w:cs="仿宋"/>
          <w:i w:val="0"/>
          <w:iCs w:val="0"/>
          <w:caps w:val="0"/>
          <w:color w:val="333333"/>
          <w:spacing w:val="0"/>
          <w:kern w:val="2"/>
          <w:sz w:val="24"/>
          <w:szCs w:val="24"/>
          <w:shd w:val="clear" w:fill="FFFFFF"/>
          <w:lang w:val="en-US" w:eastAsia="zh-CN" w:bidi="ar-SA"/>
        </w:rPr>
        <w:t>记分分值为各子项记分之和。</w:t>
      </w:r>
    </w:p>
    <w:p>
      <w:pPr>
        <w:pStyle w:val="2"/>
        <w:keepNext w:val="0"/>
        <w:keepLines w:val="0"/>
        <w:widowControl/>
        <w:suppressLineNumbers w:val="0"/>
        <w:jc w:val="center"/>
        <w:rPr>
          <w:rStyle w:val="6"/>
          <w:rFonts w:hint="eastAsia" w:ascii="Times New Roman" w:hAnsi="Times New Roman" w:eastAsia="宋体" w:cs="Times New Roman"/>
          <w:lang w:val="en-US" w:eastAsia="zh-CN"/>
        </w:rPr>
      </w:pPr>
      <w:r>
        <w:rPr>
          <w:rStyle w:val="6"/>
          <w:rFonts w:hint="eastAsia" w:ascii="Times New Roman" w:hAnsi="Times New Roman" w:eastAsia="宋体" w:cs="Times New Roman"/>
          <w:lang w:val="en-US" w:eastAsia="zh-CN"/>
        </w:rPr>
        <w:t>表1. 山西省药物临床试验机构分级监管评分表</w:t>
      </w:r>
    </w:p>
    <w:tbl>
      <w:tblPr>
        <w:tblStyle w:val="3"/>
        <w:tblW w:w="9327"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Layout w:type="autofit"/>
        <w:tblCellMar>
          <w:top w:w="0" w:type="dxa"/>
          <w:left w:w="0" w:type="dxa"/>
          <w:bottom w:w="0" w:type="dxa"/>
          <w:right w:w="0" w:type="dxa"/>
        </w:tblCellMar>
      </w:tblPr>
      <w:tblGrid>
        <w:gridCol w:w="1274"/>
        <w:gridCol w:w="2162"/>
        <w:gridCol w:w="5891"/>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90" w:hRule="atLeast"/>
          <w:jc w:val="center"/>
        </w:trPr>
        <w:tc>
          <w:tcPr>
            <w:tcW w:w="1274" w:type="dxa"/>
            <w:tcBorders>
              <w:top w:val="single" w:color="auto" w:sz="6" w:space="0"/>
              <w:left w:val="single" w:color="auto" w:sz="6" w:space="0"/>
              <w:bottom w:val="single" w:color="auto" w:sz="6" w:space="0"/>
              <w:right w:val="single"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ascii="仿宋" w:hAnsi="仿宋" w:eastAsia="仿宋" w:cs="仿宋"/>
                <w:b/>
                <w:bCs/>
                <w:kern w:val="0"/>
                <w:sz w:val="24"/>
                <w:szCs w:val="24"/>
                <w:lang w:val="en-US" w:eastAsia="zh-CN" w:bidi="ar"/>
              </w:rPr>
            </w:pPr>
            <w:r>
              <w:rPr>
                <w:rFonts w:hint="eastAsia" w:ascii="仿宋" w:hAnsi="仿宋" w:eastAsia="仿宋" w:cs="仿宋"/>
                <w:b/>
                <w:bCs/>
                <w:kern w:val="0"/>
                <w:sz w:val="24"/>
                <w:szCs w:val="24"/>
                <w:lang w:val="en-US" w:eastAsia="zh-CN" w:bidi="ar"/>
              </w:rPr>
              <w:t>项目名称</w:t>
            </w:r>
          </w:p>
        </w:tc>
        <w:tc>
          <w:tcPr>
            <w:tcW w:w="2162" w:type="dxa"/>
            <w:tcBorders>
              <w:top w:val="single" w:color="auto" w:sz="6" w:space="0"/>
              <w:left w:val="single" w:color="auto" w:sz="6" w:space="0"/>
              <w:bottom w:val="single" w:color="auto" w:sz="6" w:space="0"/>
              <w:right w:val="single"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ascii="仿宋" w:hAnsi="仿宋" w:eastAsia="仿宋" w:cs="仿宋"/>
                <w:b/>
                <w:bCs/>
                <w:kern w:val="0"/>
                <w:sz w:val="24"/>
                <w:szCs w:val="24"/>
                <w:lang w:val="en-US" w:eastAsia="zh-CN" w:bidi="ar"/>
              </w:rPr>
            </w:pPr>
            <w:r>
              <w:rPr>
                <w:rFonts w:hint="eastAsia" w:ascii="仿宋" w:hAnsi="仿宋" w:eastAsia="仿宋" w:cs="仿宋"/>
                <w:b/>
                <w:bCs/>
                <w:kern w:val="0"/>
                <w:sz w:val="24"/>
                <w:szCs w:val="24"/>
                <w:lang w:val="en-US" w:eastAsia="zh-CN" w:bidi="ar"/>
              </w:rPr>
              <w:t>子项名称</w:t>
            </w:r>
          </w:p>
        </w:tc>
        <w:tc>
          <w:tcPr>
            <w:tcW w:w="5891" w:type="dxa"/>
            <w:tcBorders>
              <w:top w:val="single" w:color="auto" w:sz="6" w:space="0"/>
              <w:left w:val="single" w:color="auto" w:sz="6" w:space="0"/>
              <w:bottom w:val="single" w:color="auto" w:sz="6" w:space="0"/>
              <w:right w:val="single"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ascii="仿宋" w:hAnsi="仿宋" w:eastAsia="仿宋" w:cs="仿宋"/>
                <w:b/>
                <w:bCs/>
                <w:kern w:val="0"/>
                <w:sz w:val="24"/>
                <w:szCs w:val="24"/>
                <w:lang w:val="en-US" w:eastAsia="zh-CN" w:bidi="ar"/>
              </w:rPr>
            </w:pPr>
            <w:r>
              <w:rPr>
                <w:rFonts w:hint="eastAsia" w:ascii="仿宋" w:hAnsi="仿宋" w:eastAsia="仿宋" w:cs="仿宋"/>
                <w:b/>
                <w:bCs/>
                <w:kern w:val="0"/>
                <w:sz w:val="24"/>
                <w:szCs w:val="24"/>
                <w:lang w:val="en-US" w:eastAsia="zh-CN" w:bidi="ar"/>
              </w:rPr>
              <w:t>记分规则</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jc w:val="center"/>
        </w:trPr>
        <w:tc>
          <w:tcPr>
            <w:tcW w:w="9327" w:type="dxa"/>
            <w:gridSpan w:val="3"/>
            <w:tcBorders>
              <w:top w:val="nil"/>
              <w:left w:val="single" w:color="auto" w:sz="6" w:space="0"/>
              <w:bottom w:val="single" w:color="auto" w:sz="6" w:space="0"/>
              <w:right w:val="single"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eastAsia" w:ascii="仿宋" w:hAnsi="仿宋" w:eastAsia="仿宋" w:cs="仿宋"/>
                <w:kern w:val="0"/>
                <w:sz w:val="24"/>
                <w:szCs w:val="24"/>
                <w:lang w:val="en-US" w:eastAsia="zh-CN" w:bidi="ar"/>
              </w:rPr>
            </w:pPr>
            <w:r>
              <w:rPr>
                <w:rFonts w:hint="eastAsia" w:ascii="仿宋" w:hAnsi="仿宋" w:eastAsia="仿宋" w:cs="仿宋"/>
                <w:b/>
                <w:bCs/>
                <w:kern w:val="0"/>
                <w:sz w:val="24"/>
                <w:szCs w:val="24"/>
                <w:lang w:val="en-US" w:eastAsia="zh-CN" w:bidi="ar"/>
              </w:rPr>
              <w:t>第一部分：机构部分</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jc w:val="center"/>
        </w:trPr>
        <w:tc>
          <w:tcPr>
            <w:tcW w:w="1274" w:type="dxa"/>
            <w:vMerge w:val="restart"/>
            <w:tcBorders>
              <w:top w:val="nil"/>
              <w:left w:val="single" w:color="auto" w:sz="6" w:space="0"/>
              <w:right w:val="single"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ascii="仿宋" w:hAnsi="仿宋" w:eastAsia="仿宋" w:cs="仿宋"/>
                <w:kern w:val="0"/>
                <w:sz w:val="24"/>
                <w:szCs w:val="24"/>
                <w:lang w:val="en-US" w:eastAsia="zh-CN" w:bidi="ar"/>
              </w:rPr>
            </w:pPr>
            <w:r>
              <w:rPr>
                <w:rFonts w:hint="eastAsia" w:ascii="仿宋" w:hAnsi="仿宋" w:eastAsia="仿宋" w:cs="仿宋"/>
                <w:b/>
                <w:bCs/>
                <w:kern w:val="0"/>
                <w:sz w:val="24"/>
                <w:szCs w:val="24"/>
                <w:lang w:val="en-US" w:eastAsia="zh-CN" w:bidi="ar"/>
              </w:rPr>
              <w:t>条件和备案（A1-A4）</w:t>
            </w:r>
          </w:p>
        </w:tc>
        <w:tc>
          <w:tcPr>
            <w:tcW w:w="2162" w:type="dxa"/>
            <w:tcBorders>
              <w:top w:val="nil"/>
              <w:left w:val="single" w:color="auto" w:sz="6" w:space="0"/>
              <w:bottom w:val="single" w:color="auto" w:sz="6" w:space="0"/>
              <w:right w:val="single" w:color="auto" w:sz="6" w:space="0"/>
            </w:tcBorders>
            <w:shd w:val="clear" w:color="auto" w:fill="FFFFFF"/>
            <w:vAlign w:val="center"/>
          </w:tcPr>
          <w:p>
            <w:pPr>
              <w:pStyle w:val="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right="0" w:rightChars="0"/>
              <w:jc w:val="center"/>
              <w:rPr>
                <w:rFonts w:hint="eastAsia" w:ascii="仿宋" w:hAnsi="仿宋" w:eastAsia="仿宋" w:cs="仿宋"/>
                <w:kern w:val="0"/>
                <w:sz w:val="24"/>
                <w:szCs w:val="24"/>
                <w:lang w:val="en-US" w:eastAsia="zh-CN" w:bidi="ar"/>
              </w:rPr>
            </w:pPr>
            <w:r>
              <w:rPr>
                <w:rFonts w:ascii="Times New Roman" w:hAnsi="Times New Roman" w:eastAsia="仿宋_GB2312" w:cs="Times New Roman"/>
                <w:sz w:val="24"/>
                <w:szCs w:val="24"/>
              </w:rPr>
              <w:t>A1资质条件</w:t>
            </w:r>
          </w:p>
        </w:tc>
        <w:tc>
          <w:tcPr>
            <w:tcW w:w="5891" w:type="dxa"/>
            <w:tcBorders>
              <w:top w:val="nil"/>
              <w:left w:val="single" w:color="auto" w:sz="6" w:space="0"/>
              <w:bottom w:val="single" w:color="auto" w:sz="6" w:space="0"/>
              <w:right w:val="single"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both"/>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两年内未出现因该方面问题被监管部门要求整改的情形，不记分，发现一项严重缺陷记20分，发现一项主要缺陷记5分，发现一项一般缺陷记1分，累加记分分值。</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jc w:val="center"/>
        </w:trPr>
        <w:tc>
          <w:tcPr>
            <w:tcW w:w="1274" w:type="dxa"/>
            <w:vMerge w:val="continue"/>
            <w:tcBorders>
              <w:left w:val="single" w:color="auto" w:sz="6" w:space="0"/>
              <w:right w:val="single"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rFonts w:hint="eastAsia" w:ascii="仿宋" w:hAnsi="仿宋" w:eastAsia="仿宋" w:cs="仿宋"/>
                <w:kern w:val="0"/>
                <w:sz w:val="24"/>
                <w:szCs w:val="24"/>
                <w:lang w:val="en-US" w:eastAsia="zh-CN" w:bidi="ar"/>
              </w:rPr>
            </w:pPr>
          </w:p>
        </w:tc>
        <w:tc>
          <w:tcPr>
            <w:tcW w:w="2162" w:type="dxa"/>
            <w:tcBorders>
              <w:top w:val="nil"/>
              <w:left w:val="single" w:color="auto" w:sz="6" w:space="0"/>
              <w:bottom w:val="single" w:color="auto" w:sz="6" w:space="0"/>
              <w:right w:val="single"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ascii="仿宋" w:hAnsi="仿宋" w:eastAsia="仿宋" w:cs="仿宋"/>
                <w:kern w:val="0"/>
                <w:sz w:val="24"/>
                <w:szCs w:val="24"/>
                <w:lang w:val="en-US" w:eastAsia="zh-CN" w:bidi="ar"/>
              </w:rPr>
            </w:pPr>
            <w:r>
              <w:rPr>
                <w:rFonts w:ascii="Times New Roman" w:hAnsi="Times New Roman" w:eastAsia="仿宋_GB2312" w:cs="Times New Roman"/>
                <w:sz w:val="24"/>
                <w:szCs w:val="24"/>
              </w:rPr>
              <w:t>A2组织管理部门</w:t>
            </w:r>
          </w:p>
        </w:tc>
        <w:tc>
          <w:tcPr>
            <w:tcW w:w="5891" w:type="dxa"/>
            <w:tcBorders>
              <w:top w:val="nil"/>
              <w:left w:val="single" w:color="auto" w:sz="6" w:space="0"/>
              <w:bottom w:val="single" w:color="auto" w:sz="6" w:space="0"/>
              <w:right w:val="single"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both"/>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两年内未出现因该方面问题被监管部门要求整改的情形，不记分，发现一项严重缺陷记20分，发现一项主要缺陷记5分，发现一项一般缺陷记1分，累加记分分值。</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jc w:val="center"/>
        </w:trPr>
        <w:tc>
          <w:tcPr>
            <w:tcW w:w="1274" w:type="dxa"/>
            <w:vMerge w:val="continue"/>
            <w:tcBorders>
              <w:left w:val="single" w:color="auto" w:sz="6" w:space="0"/>
              <w:right w:val="single"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rFonts w:hint="eastAsia" w:ascii="仿宋" w:hAnsi="仿宋" w:eastAsia="仿宋" w:cs="仿宋"/>
                <w:kern w:val="0"/>
                <w:sz w:val="24"/>
                <w:szCs w:val="24"/>
                <w:lang w:val="en-US" w:eastAsia="zh-CN" w:bidi="ar"/>
              </w:rPr>
            </w:pPr>
          </w:p>
        </w:tc>
        <w:tc>
          <w:tcPr>
            <w:tcW w:w="2162" w:type="dxa"/>
            <w:tcBorders>
              <w:top w:val="nil"/>
              <w:left w:val="single" w:color="auto" w:sz="6" w:space="0"/>
              <w:bottom w:val="single" w:color="auto" w:sz="6" w:space="0"/>
              <w:right w:val="single"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ascii="仿宋" w:hAnsi="仿宋" w:eastAsia="仿宋" w:cs="仿宋"/>
                <w:kern w:val="0"/>
                <w:sz w:val="24"/>
                <w:szCs w:val="24"/>
                <w:lang w:val="en-US" w:eastAsia="zh-CN" w:bidi="ar"/>
              </w:rPr>
            </w:pPr>
            <w:r>
              <w:rPr>
                <w:rFonts w:ascii="Times New Roman" w:hAnsi="Times New Roman" w:eastAsia="仿宋_GB2312" w:cs="Times New Roman"/>
                <w:sz w:val="24"/>
                <w:szCs w:val="24"/>
              </w:rPr>
              <w:t>A3备案管理</w:t>
            </w:r>
          </w:p>
        </w:tc>
        <w:tc>
          <w:tcPr>
            <w:tcW w:w="5891" w:type="dxa"/>
            <w:tcBorders>
              <w:top w:val="nil"/>
              <w:left w:val="single" w:color="auto" w:sz="6" w:space="0"/>
              <w:bottom w:val="single" w:color="auto" w:sz="6" w:space="0"/>
              <w:right w:val="single"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both"/>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两年内未出现因该方面问题被监管部门要求整改的情形，不记分，发现一项严重缺陷记20分，发现一项主要缺陷记5分，发现一项一般缺陷记1分，累加记分分值。</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jc w:val="center"/>
        </w:trPr>
        <w:tc>
          <w:tcPr>
            <w:tcW w:w="1274" w:type="dxa"/>
            <w:vMerge w:val="continue"/>
            <w:tcBorders>
              <w:left w:val="single" w:color="auto" w:sz="6" w:space="0"/>
              <w:bottom w:val="single" w:color="auto" w:sz="6" w:space="0"/>
              <w:right w:val="single"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rFonts w:hint="eastAsia" w:ascii="仿宋" w:hAnsi="仿宋" w:eastAsia="仿宋" w:cs="仿宋"/>
                <w:kern w:val="0"/>
                <w:sz w:val="24"/>
                <w:szCs w:val="24"/>
                <w:lang w:val="en-US" w:eastAsia="zh-CN" w:bidi="ar"/>
              </w:rPr>
            </w:pPr>
          </w:p>
        </w:tc>
        <w:tc>
          <w:tcPr>
            <w:tcW w:w="2162" w:type="dxa"/>
            <w:tcBorders>
              <w:top w:val="nil"/>
              <w:left w:val="single" w:color="auto" w:sz="6" w:space="0"/>
              <w:bottom w:val="single" w:color="auto" w:sz="6" w:space="0"/>
              <w:right w:val="single"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ascii="仿宋" w:hAnsi="仿宋" w:eastAsia="仿宋" w:cs="仿宋"/>
                <w:kern w:val="0"/>
                <w:sz w:val="24"/>
                <w:szCs w:val="24"/>
                <w:lang w:val="en-US" w:eastAsia="zh-CN" w:bidi="ar"/>
              </w:rPr>
            </w:pPr>
            <w:r>
              <w:rPr>
                <w:rFonts w:ascii="Times New Roman" w:hAnsi="Times New Roman" w:eastAsia="仿宋_GB2312" w:cs="Times New Roman"/>
                <w:sz w:val="24"/>
                <w:szCs w:val="24"/>
              </w:rPr>
              <w:t>A4</w:t>
            </w:r>
            <w:r>
              <w:rPr>
                <w:rFonts w:hint="eastAsia" w:ascii="Times New Roman" w:hAnsi="Times New Roman" w:eastAsia="仿宋_GB2312" w:cs="Times New Roman"/>
                <w:sz w:val="24"/>
                <w:szCs w:val="24"/>
              </w:rPr>
              <w:t>文件体系</w:t>
            </w:r>
          </w:p>
        </w:tc>
        <w:tc>
          <w:tcPr>
            <w:tcW w:w="5891" w:type="dxa"/>
            <w:tcBorders>
              <w:top w:val="nil"/>
              <w:left w:val="single" w:color="auto" w:sz="6" w:space="0"/>
              <w:bottom w:val="single" w:color="auto" w:sz="6" w:space="0"/>
              <w:right w:val="single"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both"/>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两年内未出现因该方面问题被监管部门要求整改的情形，不记分，发现一项主要缺陷记5分，发现一项一般缺陷记1分，累加记分分值。</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jc w:val="center"/>
        </w:trPr>
        <w:tc>
          <w:tcPr>
            <w:tcW w:w="1274" w:type="dxa"/>
            <w:vMerge w:val="restart"/>
            <w:tcBorders>
              <w:top w:val="nil"/>
              <w:left w:val="single" w:color="auto" w:sz="6" w:space="0"/>
              <w:right w:val="single"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ascii="仿宋" w:hAnsi="仿宋" w:eastAsia="仿宋" w:cs="仿宋"/>
                <w:kern w:val="0"/>
                <w:sz w:val="24"/>
                <w:szCs w:val="24"/>
                <w:lang w:val="en-US" w:eastAsia="zh-CN" w:bidi="ar"/>
              </w:rPr>
            </w:pPr>
            <w:r>
              <w:rPr>
                <w:rFonts w:ascii="Times New Roman" w:hAnsi="Times New Roman" w:eastAsia="仿宋_GB2312" w:cs="Times New Roman"/>
                <w:b/>
                <w:color w:val="000000"/>
                <w:sz w:val="24"/>
                <w:szCs w:val="24"/>
              </w:rPr>
              <w:t>运行管理（A5-A8）</w:t>
            </w:r>
          </w:p>
        </w:tc>
        <w:tc>
          <w:tcPr>
            <w:tcW w:w="2162" w:type="dxa"/>
            <w:tcBorders>
              <w:top w:val="nil"/>
              <w:left w:val="single" w:color="auto" w:sz="6" w:space="0"/>
              <w:bottom w:val="single" w:color="auto" w:sz="6" w:space="0"/>
              <w:right w:val="single"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ascii="仿宋" w:hAnsi="仿宋" w:eastAsia="仿宋" w:cs="仿宋"/>
                <w:kern w:val="0"/>
                <w:sz w:val="24"/>
                <w:szCs w:val="24"/>
                <w:lang w:val="en-US" w:eastAsia="zh-CN" w:bidi="ar"/>
              </w:rPr>
            </w:pPr>
            <w:r>
              <w:rPr>
                <w:rFonts w:ascii="Times New Roman" w:hAnsi="Times New Roman" w:eastAsia="仿宋_GB2312" w:cs="Times New Roman"/>
                <w:sz w:val="24"/>
                <w:szCs w:val="24"/>
              </w:rPr>
              <w:t>A5立项管理</w:t>
            </w:r>
          </w:p>
        </w:tc>
        <w:tc>
          <w:tcPr>
            <w:tcW w:w="5891" w:type="dxa"/>
            <w:tcBorders>
              <w:top w:val="nil"/>
              <w:left w:val="single" w:color="auto" w:sz="6" w:space="0"/>
              <w:bottom w:val="single" w:color="auto" w:sz="6" w:space="0"/>
              <w:right w:val="single"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both"/>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两年内未出现因该方面问题被监管部门要求整改的情形，不记分，发现一项主要缺陷记5分，发现一项主要缺陷记1分，累加记分分值。</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jc w:val="center"/>
        </w:trPr>
        <w:tc>
          <w:tcPr>
            <w:tcW w:w="1274" w:type="dxa"/>
            <w:vMerge w:val="continue"/>
            <w:tcBorders>
              <w:left w:val="single" w:color="auto" w:sz="6" w:space="0"/>
              <w:right w:val="single"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rFonts w:hint="eastAsia" w:ascii="仿宋" w:hAnsi="仿宋" w:eastAsia="仿宋" w:cs="仿宋"/>
                <w:kern w:val="0"/>
                <w:sz w:val="24"/>
                <w:szCs w:val="24"/>
                <w:lang w:val="en-US" w:eastAsia="zh-CN" w:bidi="ar"/>
              </w:rPr>
            </w:pPr>
          </w:p>
        </w:tc>
        <w:tc>
          <w:tcPr>
            <w:tcW w:w="2162" w:type="dxa"/>
            <w:tcBorders>
              <w:top w:val="nil"/>
              <w:left w:val="single" w:color="auto" w:sz="6" w:space="0"/>
              <w:bottom w:val="single" w:color="auto" w:sz="6" w:space="0"/>
              <w:right w:val="single"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ascii="仿宋" w:hAnsi="仿宋" w:eastAsia="仿宋" w:cs="仿宋"/>
                <w:kern w:val="0"/>
                <w:sz w:val="24"/>
                <w:szCs w:val="24"/>
                <w:lang w:val="en-US" w:eastAsia="zh-CN" w:bidi="ar"/>
              </w:rPr>
            </w:pPr>
            <w:r>
              <w:rPr>
                <w:rFonts w:ascii="Times New Roman" w:hAnsi="Times New Roman" w:eastAsia="仿宋_GB2312" w:cs="Times New Roman"/>
                <w:sz w:val="24"/>
                <w:szCs w:val="24"/>
              </w:rPr>
              <w:t>A6试验用药品管理</w:t>
            </w:r>
          </w:p>
        </w:tc>
        <w:tc>
          <w:tcPr>
            <w:tcW w:w="5891" w:type="dxa"/>
            <w:tcBorders>
              <w:top w:val="nil"/>
              <w:left w:val="single" w:color="auto" w:sz="6" w:space="0"/>
              <w:bottom w:val="single" w:color="auto" w:sz="6" w:space="0"/>
              <w:right w:val="single"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both"/>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两年内未出现因该方面问题被监管部门要求整改的情形，不记分，发现一项主要缺陷记5分，发现一项一般缺陷记1分，累加记分分值。</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jc w:val="center"/>
        </w:trPr>
        <w:tc>
          <w:tcPr>
            <w:tcW w:w="1274" w:type="dxa"/>
            <w:vMerge w:val="continue"/>
            <w:tcBorders>
              <w:left w:val="single" w:color="auto" w:sz="6" w:space="0"/>
              <w:right w:val="single"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rFonts w:hint="eastAsia" w:ascii="仿宋" w:hAnsi="仿宋" w:eastAsia="仿宋" w:cs="仿宋"/>
                <w:kern w:val="0"/>
                <w:sz w:val="24"/>
                <w:szCs w:val="24"/>
                <w:lang w:val="en-US" w:eastAsia="zh-CN" w:bidi="ar"/>
              </w:rPr>
            </w:pPr>
          </w:p>
        </w:tc>
        <w:tc>
          <w:tcPr>
            <w:tcW w:w="2162" w:type="dxa"/>
            <w:tcBorders>
              <w:top w:val="nil"/>
              <w:left w:val="single" w:color="auto" w:sz="6" w:space="0"/>
              <w:bottom w:val="single" w:color="auto" w:sz="6" w:space="0"/>
              <w:right w:val="single"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ascii="仿宋" w:hAnsi="仿宋" w:eastAsia="仿宋" w:cs="仿宋"/>
                <w:kern w:val="0"/>
                <w:sz w:val="24"/>
                <w:szCs w:val="24"/>
                <w:lang w:val="en-US" w:eastAsia="zh-CN" w:bidi="ar"/>
              </w:rPr>
            </w:pPr>
            <w:r>
              <w:rPr>
                <w:rFonts w:ascii="Times New Roman" w:hAnsi="Times New Roman" w:eastAsia="仿宋_GB2312" w:cs="Times New Roman"/>
                <w:sz w:val="24"/>
                <w:szCs w:val="24"/>
              </w:rPr>
              <w:t>A7资料管理</w:t>
            </w:r>
          </w:p>
        </w:tc>
        <w:tc>
          <w:tcPr>
            <w:tcW w:w="5891" w:type="dxa"/>
            <w:tcBorders>
              <w:top w:val="nil"/>
              <w:left w:val="single" w:color="auto" w:sz="6" w:space="0"/>
              <w:bottom w:val="single" w:color="auto" w:sz="6" w:space="0"/>
              <w:right w:val="single"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both"/>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两年内未出现因该方面问题被监管部门要求整改的情形，不记分，发现一项主要缺陷记5分，发现一项一般缺陷记1分，累加记分分值。</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410" w:hRule="atLeast"/>
          <w:jc w:val="center"/>
        </w:trPr>
        <w:tc>
          <w:tcPr>
            <w:tcW w:w="1274" w:type="dxa"/>
            <w:vMerge w:val="continue"/>
            <w:tcBorders>
              <w:left w:val="single" w:color="auto" w:sz="6" w:space="0"/>
              <w:bottom w:val="single" w:color="auto" w:sz="6" w:space="0"/>
              <w:right w:val="single"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rFonts w:hint="eastAsia" w:ascii="仿宋" w:hAnsi="仿宋" w:eastAsia="仿宋" w:cs="仿宋"/>
                <w:kern w:val="0"/>
                <w:sz w:val="24"/>
                <w:szCs w:val="24"/>
                <w:lang w:val="en-US" w:eastAsia="zh-CN" w:bidi="ar"/>
              </w:rPr>
            </w:pPr>
          </w:p>
        </w:tc>
        <w:tc>
          <w:tcPr>
            <w:tcW w:w="2162" w:type="dxa"/>
            <w:tcBorders>
              <w:top w:val="nil"/>
              <w:left w:val="single" w:color="auto" w:sz="6" w:space="0"/>
              <w:bottom w:val="single" w:color="auto" w:sz="6" w:space="0"/>
              <w:right w:val="single"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ascii="仿宋" w:hAnsi="仿宋" w:eastAsia="仿宋" w:cs="仿宋"/>
                <w:kern w:val="0"/>
                <w:sz w:val="24"/>
                <w:szCs w:val="24"/>
                <w:lang w:val="en-US" w:eastAsia="zh-CN" w:bidi="ar"/>
              </w:rPr>
            </w:pPr>
            <w:r>
              <w:rPr>
                <w:rFonts w:ascii="Times New Roman" w:hAnsi="Times New Roman" w:eastAsia="仿宋_GB2312" w:cs="Times New Roman"/>
                <w:sz w:val="24"/>
                <w:szCs w:val="24"/>
              </w:rPr>
              <w:t>A8质量管理</w:t>
            </w:r>
          </w:p>
        </w:tc>
        <w:tc>
          <w:tcPr>
            <w:tcW w:w="5891" w:type="dxa"/>
            <w:tcBorders>
              <w:top w:val="nil"/>
              <w:left w:val="single" w:color="auto" w:sz="6" w:space="0"/>
              <w:bottom w:val="single" w:color="auto" w:sz="6" w:space="0"/>
              <w:right w:val="single"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both"/>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两年内未出现因该方面问题被监管部门要求整改的情形，不记分，发现一项主要缺陷记5分，发现一项一般缺陷记1分，累加记分分值。</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jc w:val="center"/>
        </w:trPr>
        <w:tc>
          <w:tcPr>
            <w:tcW w:w="9327" w:type="dxa"/>
            <w:gridSpan w:val="3"/>
            <w:tcBorders>
              <w:top w:val="nil"/>
              <w:left w:val="single" w:color="auto" w:sz="6" w:space="0"/>
              <w:bottom w:val="single" w:color="auto" w:sz="6" w:space="0"/>
              <w:right w:val="single"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both"/>
              <w:rPr>
                <w:rFonts w:hint="eastAsia" w:ascii="仿宋" w:hAnsi="仿宋" w:eastAsia="仿宋" w:cs="仿宋"/>
                <w:kern w:val="0"/>
                <w:sz w:val="24"/>
                <w:szCs w:val="24"/>
                <w:lang w:val="en-US" w:eastAsia="zh-CN" w:bidi="ar"/>
              </w:rPr>
            </w:pPr>
            <w:r>
              <w:rPr>
                <w:rFonts w:hint="eastAsia" w:ascii="仿宋" w:hAnsi="仿宋" w:eastAsia="仿宋" w:cs="仿宋"/>
                <w:b/>
                <w:bCs/>
                <w:kern w:val="0"/>
                <w:sz w:val="24"/>
                <w:szCs w:val="24"/>
                <w:lang w:val="en-US" w:eastAsia="zh-CN" w:bidi="ar"/>
              </w:rPr>
              <w:t>第二部分：伦理委员会</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jc w:val="center"/>
        </w:trPr>
        <w:tc>
          <w:tcPr>
            <w:tcW w:w="1274" w:type="dxa"/>
            <w:tcBorders>
              <w:top w:val="nil"/>
              <w:left w:val="single" w:color="auto" w:sz="6" w:space="0"/>
              <w:bottom w:val="single" w:color="auto" w:sz="6" w:space="0"/>
              <w:right w:val="single"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ascii="仿宋" w:hAnsi="仿宋" w:eastAsia="仿宋" w:cs="仿宋"/>
                <w:kern w:val="0"/>
                <w:sz w:val="24"/>
                <w:szCs w:val="24"/>
                <w:lang w:val="en-US" w:eastAsia="zh-CN" w:bidi="ar"/>
              </w:rPr>
            </w:pPr>
            <w:r>
              <w:rPr>
                <w:rFonts w:hint="eastAsia" w:ascii="仿宋" w:hAnsi="仿宋" w:eastAsia="仿宋" w:cs="仿宋"/>
                <w:b/>
                <w:bCs/>
                <w:kern w:val="0"/>
                <w:sz w:val="24"/>
                <w:szCs w:val="24"/>
                <w:lang w:val="en-US" w:eastAsia="zh-CN" w:bidi="ar"/>
              </w:rPr>
              <w:t>伦理委员会及伦理审查情况</w:t>
            </w:r>
          </w:p>
        </w:tc>
        <w:tc>
          <w:tcPr>
            <w:tcW w:w="2162" w:type="dxa"/>
            <w:tcBorders>
              <w:top w:val="nil"/>
              <w:left w:val="single" w:color="auto" w:sz="6" w:space="0"/>
              <w:bottom w:val="single" w:color="auto" w:sz="6" w:space="0"/>
              <w:right w:val="single"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A9伦理委员会</w:t>
            </w:r>
          </w:p>
        </w:tc>
        <w:tc>
          <w:tcPr>
            <w:tcW w:w="5891" w:type="dxa"/>
            <w:tcBorders>
              <w:top w:val="nil"/>
              <w:left w:val="single" w:color="auto" w:sz="6" w:space="0"/>
              <w:bottom w:val="single" w:color="auto" w:sz="6" w:space="0"/>
              <w:right w:val="single"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both"/>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两年内未出现因该方面问题被监管部门要求整改的情形，不记分，发现一项主要缺陷记5分，发现一项一般缺陷记1分，累加记分分值。</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jc w:val="center"/>
        </w:trPr>
        <w:tc>
          <w:tcPr>
            <w:tcW w:w="9327" w:type="dxa"/>
            <w:gridSpan w:val="3"/>
            <w:tcBorders>
              <w:top w:val="nil"/>
              <w:left w:val="single" w:color="auto" w:sz="6" w:space="0"/>
              <w:bottom w:val="single" w:color="auto" w:sz="6" w:space="0"/>
              <w:right w:val="single"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both"/>
              <w:rPr>
                <w:rFonts w:hint="eastAsia" w:ascii="仿宋" w:hAnsi="仿宋" w:eastAsia="仿宋" w:cs="仿宋"/>
                <w:kern w:val="0"/>
                <w:sz w:val="24"/>
                <w:szCs w:val="24"/>
                <w:lang w:val="en-US" w:eastAsia="zh-CN" w:bidi="ar"/>
              </w:rPr>
            </w:pPr>
            <w:r>
              <w:rPr>
                <w:rFonts w:hint="eastAsia" w:ascii="仿宋" w:hAnsi="仿宋" w:eastAsia="仿宋" w:cs="仿宋"/>
                <w:b/>
                <w:bCs/>
                <w:kern w:val="0"/>
                <w:sz w:val="24"/>
                <w:szCs w:val="24"/>
                <w:lang w:val="en-US" w:eastAsia="zh-CN" w:bidi="ar"/>
              </w:rPr>
              <w:t>第三部分：专业部分</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jc w:val="center"/>
        </w:trPr>
        <w:tc>
          <w:tcPr>
            <w:tcW w:w="1274" w:type="dxa"/>
            <w:vMerge w:val="restart"/>
            <w:tcBorders>
              <w:top w:val="nil"/>
              <w:left w:val="single" w:color="auto" w:sz="6" w:space="0"/>
              <w:right w:val="single"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rFonts w:hint="eastAsia" w:ascii="仿宋" w:hAnsi="仿宋" w:eastAsia="仿宋" w:cs="仿宋"/>
                <w:kern w:val="0"/>
                <w:sz w:val="24"/>
                <w:szCs w:val="24"/>
                <w:lang w:val="en-US" w:eastAsia="zh-CN" w:bidi="ar"/>
              </w:rPr>
            </w:pPr>
            <w:r>
              <w:rPr>
                <w:rFonts w:ascii="Times New Roman" w:hAnsi="Times New Roman" w:eastAsia="仿宋_GB2312" w:cs="Times New Roman"/>
                <w:b/>
                <w:sz w:val="24"/>
                <w:szCs w:val="24"/>
              </w:rPr>
              <w:t>条件和备案（B1-B3）</w:t>
            </w:r>
          </w:p>
        </w:tc>
        <w:tc>
          <w:tcPr>
            <w:tcW w:w="2162" w:type="dxa"/>
            <w:tcBorders>
              <w:top w:val="nil"/>
              <w:left w:val="single" w:color="auto" w:sz="6" w:space="0"/>
              <w:bottom w:val="single" w:color="auto" w:sz="6" w:space="0"/>
              <w:right w:val="single"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ascii="仿宋" w:hAnsi="仿宋" w:eastAsia="仿宋" w:cs="仿宋"/>
                <w:kern w:val="0"/>
                <w:sz w:val="24"/>
                <w:szCs w:val="24"/>
                <w:lang w:val="en-US" w:eastAsia="zh-CN" w:bidi="ar"/>
              </w:rPr>
            </w:pPr>
            <w:r>
              <w:rPr>
                <w:rFonts w:ascii="Times New Roman" w:hAnsi="Times New Roman" w:eastAsia="仿宋_GB2312" w:cs="Times New Roman"/>
                <w:sz w:val="24"/>
                <w:szCs w:val="24"/>
              </w:rPr>
              <w:t>B1资质条件</w:t>
            </w:r>
          </w:p>
        </w:tc>
        <w:tc>
          <w:tcPr>
            <w:tcW w:w="5891" w:type="dxa"/>
            <w:tcBorders>
              <w:top w:val="nil"/>
              <w:left w:val="single" w:color="auto" w:sz="6" w:space="0"/>
              <w:bottom w:val="single" w:color="auto" w:sz="6" w:space="0"/>
              <w:right w:val="single"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both"/>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两年内未出现因该方面问题被监管部门要求整改的情形，不记分，发现一项严重缺陷记20分，发现一项主要缺陷记5分，发现一项一般缺陷记1分，累加记分分值。</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jc w:val="center"/>
        </w:trPr>
        <w:tc>
          <w:tcPr>
            <w:tcW w:w="1274" w:type="dxa"/>
            <w:vMerge w:val="continue"/>
            <w:tcBorders>
              <w:left w:val="single" w:color="auto" w:sz="6" w:space="0"/>
              <w:right w:val="single"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rFonts w:hint="eastAsia" w:ascii="仿宋" w:hAnsi="仿宋" w:eastAsia="仿宋" w:cs="仿宋"/>
                <w:kern w:val="0"/>
                <w:sz w:val="24"/>
                <w:szCs w:val="24"/>
                <w:lang w:val="en-US" w:eastAsia="zh-CN" w:bidi="ar"/>
              </w:rPr>
            </w:pPr>
          </w:p>
        </w:tc>
        <w:tc>
          <w:tcPr>
            <w:tcW w:w="2162" w:type="dxa"/>
            <w:tcBorders>
              <w:top w:val="nil"/>
              <w:left w:val="single" w:color="auto" w:sz="6" w:space="0"/>
              <w:bottom w:val="single" w:color="auto" w:sz="6" w:space="0"/>
              <w:right w:val="single"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ascii="仿宋" w:hAnsi="仿宋" w:eastAsia="仿宋" w:cs="仿宋"/>
                <w:kern w:val="0"/>
                <w:sz w:val="24"/>
                <w:szCs w:val="24"/>
                <w:lang w:val="en-US" w:eastAsia="zh-CN" w:bidi="ar"/>
              </w:rPr>
            </w:pPr>
            <w:r>
              <w:rPr>
                <w:rFonts w:ascii="Times New Roman" w:hAnsi="Times New Roman" w:eastAsia="仿宋_GB2312" w:cs="Times New Roman"/>
                <w:sz w:val="24"/>
                <w:szCs w:val="24"/>
              </w:rPr>
              <w:t>B2研究人员</w:t>
            </w:r>
          </w:p>
        </w:tc>
        <w:tc>
          <w:tcPr>
            <w:tcW w:w="5891" w:type="dxa"/>
            <w:tcBorders>
              <w:top w:val="nil"/>
              <w:left w:val="single" w:color="auto" w:sz="6" w:space="0"/>
              <w:bottom w:val="single" w:color="auto" w:sz="6" w:space="0"/>
              <w:right w:val="single"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both"/>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两年内未出现因该方面问题被监管部门要求整改的情形，不记分，发现一项严重缺陷记20分，发现一项主要缺陷记5分，发现一项一般缺陷记1分，累加记分分值。</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jc w:val="center"/>
        </w:trPr>
        <w:tc>
          <w:tcPr>
            <w:tcW w:w="1274" w:type="dxa"/>
            <w:vMerge w:val="continue"/>
            <w:tcBorders>
              <w:left w:val="single" w:color="auto" w:sz="6" w:space="0"/>
              <w:bottom w:val="single" w:color="auto" w:sz="6" w:space="0"/>
              <w:right w:val="single"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rFonts w:hint="eastAsia" w:ascii="仿宋" w:hAnsi="仿宋" w:eastAsia="仿宋" w:cs="仿宋"/>
                <w:kern w:val="0"/>
                <w:sz w:val="24"/>
                <w:szCs w:val="24"/>
                <w:lang w:val="en-US" w:eastAsia="zh-CN" w:bidi="ar"/>
              </w:rPr>
            </w:pPr>
          </w:p>
        </w:tc>
        <w:tc>
          <w:tcPr>
            <w:tcW w:w="2162" w:type="dxa"/>
            <w:tcBorders>
              <w:top w:val="nil"/>
              <w:left w:val="single" w:color="auto" w:sz="6" w:space="0"/>
              <w:bottom w:val="single" w:color="auto" w:sz="6" w:space="0"/>
              <w:right w:val="single"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ascii="仿宋" w:hAnsi="仿宋" w:eastAsia="仿宋" w:cs="仿宋"/>
                <w:kern w:val="0"/>
                <w:sz w:val="24"/>
                <w:szCs w:val="24"/>
                <w:lang w:val="en-US" w:eastAsia="zh-CN" w:bidi="ar"/>
              </w:rPr>
            </w:pPr>
            <w:r>
              <w:rPr>
                <w:rFonts w:ascii="Times New Roman" w:hAnsi="Times New Roman" w:eastAsia="仿宋_GB2312" w:cs="Times New Roman"/>
                <w:sz w:val="24"/>
                <w:szCs w:val="24"/>
              </w:rPr>
              <w:t>B3 文件体系</w:t>
            </w:r>
          </w:p>
        </w:tc>
        <w:tc>
          <w:tcPr>
            <w:tcW w:w="5891" w:type="dxa"/>
            <w:tcBorders>
              <w:top w:val="nil"/>
              <w:left w:val="single" w:color="auto" w:sz="6" w:space="0"/>
              <w:bottom w:val="single" w:color="auto" w:sz="6" w:space="0"/>
              <w:right w:val="single"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both"/>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两年内未出现因该方面问题被监管部门要求整改的情形，不记分，发现一项主要缺陷记5分，发现一项一般缺陷记1分，累加记分分值。</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jc w:val="center"/>
        </w:trPr>
        <w:tc>
          <w:tcPr>
            <w:tcW w:w="1274" w:type="dxa"/>
            <w:vMerge w:val="restart"/>
            <w:tcBorders>
              <w:top w:val="nil"/>
              <w:left w:val="single" w:color="auto" w:sz="6" w:space="0"/>
              <w:right w:val="single"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ascii="仿宋" w:hAnsi="仿宋" w:eastAsia="仿宋" w:cs="仿宋"/>
                <w:kern w:val="0"/>
                <w:sz w:val="24"/>
                <w:szCs w:val="24"/>
                <w:lang w:val="en-US" w:eastAsia="zh-CN" w:bidi="ar"/>
              </w:rPr>
            </w:pPr>
            <w:r>
              <w:rPr>
                <w:rFonts w:ascii="Times New Roman" w:hAnsi="Times New Roman" w:eastAsia="仿宋_GB2312" w:cs="Times New Roman"/>
                <w:b/>
                <w:sz w:val="24"/>
                <w:szCs w:val="24"/>
              </w:rPr>
              <w:t>运行管理（B4-B7）</w:t>
            </w:r>
          </w:p>
        </w:tc>
        <w:tc>
          <w:tcPr>
            <w:tcW w:w="2162" w:type="dxa"/>
            <w:tcBorders>
              <w:top w:val="nil"/>
              <w:left w:val="single" w:color="auto" w:sz="6" w:space="0"/>
              <w:bottom w:val="single" w:color="auto" w:sz="6" w:space="0"/>
              <w:right w:val="single" w:color="auto" w:sz="6" w:space="0"/>
            </w:tcBorders>
            <w:shd w:val="clear" w:color="auto" w:fill="FFFFFF"/>
            <w:vAlign w:val="center"/>
          </w:tcPr>
          <w:p>
            <w:pPr>
              <w:adjustRightInd w:val="0"/>
              <w:snapToGrid w:val="0"/>
              <w:spacing w:after="0" w:line="44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B4项目运行管理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ascii="仿宋" w:hAnsi="仿宋" w:eastAsia="仿宋" w:cs="仿宋"/>
                <w:kern w:val="0"/>
                <w:sz w:val="24"/>
                <w:szCs w:val="24"/>
                <w:lang w:val="en-US" w:eastAsia="zh-CN" w:bidi="ar"/>
              </w:rPr>
            </w:pPr>
          </w:p>
        </w:tc>
        <w:tc>
          <w:tcPr>
            <w:tcW w:w="5891" w:type="dxa"/>
            <w:tcBorders>
              <w:top w:val="nil"/>
              <w:left w:val="single" w:color="auto" w:sz="6" w:space="0"/>
              <w:bottom w:val="single" w:color="auto" w:sz="6" w:space="0"/>
              <w:right w:val="single"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both"/>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两年内未出现因该方面问题被监管部门要求整改的情形，不记分，发现一项主要缺陷记5分，发现一项一般缺陷记1分，累加记分分值。</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jc w:val="center"/>
        </w:trPr>
        <w:tc>
          <w:tcPr>
            <w:tcW w:w="1274" w:type="dxa"/>
            <w:vMerge w:val="continue"/>
            <w:tcBorders>
              <w:left w:val="single" w:color="auto" w:sz="6" w:space="0"/>
              <w:right w:val="single"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rFonts w:hint="eastAsia" w:ascii="仿宋" w:hAnsi="仿宋" w:eastAsia="仿宋" w:cs="仿宋"/>
                <w:kern w:val="0"/>
                <w:sz w:val="24"/>
                <w:szCs w:val="24"/>
                <w:lang w:val="en-US" w:eastAsia="zh-CN" w:bidi="ar"/>
              </w:rPr>
            </w:pPr>
          </w:p>
        </w:tc>
        <w:tc>
          <w:tcPr>
            <w:tcW w:w="2162" w:type="dxa"/>
            <w:tcBorders>
              <w:top w:val="nil"/>
              <w:left w:val="single" w:color="auto" w:sz="6" w:space="0"/>
              <w:bottom w:val="single" w:color="auto" w:sz="6" w:space="0"/>
              <w:right w:val="single"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eastAsia" w:ascii="仿宋" w:hAnsi="仿宋" w:eastAsia="仿宋" w:cs="仿宋"/>
                <w:kern w:val="0"/>
                <w:sz w:val="24"/>
                <w:szCs w:val="24"/>
                <w:lang w:val="en-US" w:eastAsia="zh-CN" w:bidi="ar"/>
              </w:rPr>
            </w:pPr>
            <w:r>
              <w:rPr>
                <w:rFonts w:ascii="Times New Roman" w:hAnsi="Times New Roman" w:eastAsia="仿宋_GB2312" w:cs="Times New Roman"/>
                <w:sz w:val="24"/>
                <w:szCs w:val="24"/>
              </w:rPr>
              <w:t>B5试验用药品管理</w:t>
            </w:r>
          </w:p>
        </w:tc>
        <w:tc>
          <w:tcPr>
            <w:tcW w:w="5891" w:type="dxa"/>
            <w:tcBorders>
              <w:top w:val="nil"/>
              <w:left w:val="single" w:color="auto" w:sz="6" w:space="0"/>
              <w:bottom w:val="single" w:color="auto" w:sz="6" w:space="0"/>
              <w:right w:val="single"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both"/>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两年内未出现因该方面问题被监管部门要求整改的情形，不记分，发现一项一般缺陷记1分，累加记分分值。</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jc w:val="center"/>
        </w:trPr>
        <w:tc>
          <w:tcPr>
            <w:tcW w:w="1274" w:type="dxa"/>
            <w:vMerge w:val="continue"/>
            <w:tcBorders>
              <w:left w:val="single" w:color="auto" w:sz="6" w:space="0"/>
              <w:right w:val="single"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rFonts w:hint="eastAsia" w:ascii="仿宋" w:hAnsi="仿宋" w:eastAsia="仿宋" w:cs="仿宋"/>
                <w:kern w:val="0"/>
                <w:sz w:val="24"/>
                <w:szCs w:val="24"/>
                <w:lang w:val="en-US" w:eastAsia="zh-CN" w:bidi="ar"/>
              </w:rPr>
            </w:pPr>
          </w:p>
        </w:tc>
        <w:tc>
          <w:tcPr>
            <w:tcW w:w="2162" w:type="dxa"/>
            <w:tcBorders>
              <w:top w:val="nil"/>
              <w:left w:val="single" w:color="auto" w:sz="6" w:space="0"/>
              <w:bottom w:val="single" w:color="auto" w:sz="6" w:space="0"/>
              <w:right w:val="single"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eastAsia" w:ascii="仿宋" w:hAnsi="仿宋" w:eastAsia="仿宋" w:cs="仿宋"/>
                <w:kern w:val="0"/>
                <w:sz w:val="24"/>
                <w:szCs w:val="24"/>
                <w:lang w:val="en-US" w:eastAsia="zh-CN" w:bidi="ar"/>
              </w:rPr>
            </w:pPr>
            <w:r>
              <w:rPr>
                <w:rFonts w:ascii="Times New Roman" w:hAnsi="Times New Roman" w:eastAsia="仿宋_GB2312" w:cs="Times New Roman"/>
                <w:sz w:val="24"/>
                <w:szCs w:val="24"/>
              </w:rPr>
              <w:t>B6生物样本管理</w:t>
            </w:r>
          </w:p>
        </w:tc>
        <w:tc>
          <w:tcPr>
            <w:tcW w:w="5891" w:type="dxa"/>
            <w:tcBorders>
              <w:top w:val="nil"/>
              <w:left w:val="single" w:color="auto" w:sz="6" w:space="0"/>
              <w:bottom w:val="single" w:color="auto" w:sz="6" w:space="0"/>
              <w:right w:val="single"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both"/>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两年内未出现因该方面问题被监管部门要求整改的情形，不记分，发现一项一般缺陷记1分，累加记分分值。</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jc w:val="center"/>
        </w:trPr>
        <w:tc>
          <w:tcPr>
            <w:tcW w:w="1274" w:type="dxa"/>
            <w:vMerge w:val="continue"/>
            <w:tcBorders>
              <w:left w:val="single" w:color="auto" w:sz="6" w:space="0"/>
              <w:bottom w:val="single" w:color="auto" w:sz="6" w:space="0"/>
              <w:right w:val="single"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rFonts w:hint="eastAsia" w:ascii="仿宋" w:hAnsi="仿宋" w:eastAsia="仿宋" w:cs="仿宋"/>
                <w:kern w:val="0"/>
                <w:sz w:val="24"/>
                <w:szCs w:val="24"/>
                <w:lang w:val="en-US" w:eastAsia="zh-CN" w:bidi="ar"/>
              </w:rPr>
            </w:pPr>
          </w:p>
        </w:tc>
        <w:tc>
          <w:tcPr>
            <w:tcW w:w="2162" w:type="dxa"/>
            <w:tcBorders>
              <w:top w:val="nil"/>
              <w:left w:val="single" w:color="auto" w:sz="6" w:space="0"/>
              <w:bottom w:val="single" w:color="auto" w:sz="6" w:space="0"/>
              <w:right w:val="single"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ascii="仿宋" w:hAnsi="仿宋" w:eastAsia="仿宋" w:cs="仿宋"/>
                <w:kern w:val="0"/>
                <w:sz w:val="24"/>
                <w:szCs w:val="24"/>
                <w:lang w:val="en-US" w:eastAsia="zh-CN" w:bidi="ar"/>
              </w:rPr>
            </w:pPr>
            <w:r>
              <w:rPr>
                <w:rFonts w:ascii="Times New Roman" w:hAnsi="Times New Roman" w:eastAsia="仿宋_GB2312" w:cs="Times New Roman"/>
                <w:sz w:val="24"/>
                <w:szCs w:val="24"/>
              </w:rPr>
              <w:t>B7资料管理</w:t>
            </w:r>
          </w:p>
        </w:tc>
        <w:tc>
          <w:tcPr>
            <w:tcW w:w="5891" w:type="dxa"/>
            <w:tcBorders>
              <w:top w:val="nil"/>
              <w:left w:val="single" w:color="auto" w:sz="6" w:space="0"/>
              <w:bottom w:val="single" w:color="auto" w:sz="6" w:space="0"/>
              <w:right w:val="single"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both"/>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两年内未出现因该方面问题被监管部门要求整改的情形，不记分，发现一项主要缺陷记5分，发现一项一般缺陷记1分，累加记分分值。</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jc w:val="center"/>
        </w:trPr>
        <w:tc>
          <w:tcPr>
            <w:tcW w:w="1274" w:type="dxa"/>
            <w:vMerge w:val="restart"/>
            <w:tcBorders>
              <w:top w:val="nil"/>
              <w:left w:val="single" w:color="auto" w:sz="6" w:space="0"/>
              <w:right w:val="single"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rFonts w:hint="eastAsia" w:ascii="仿宋" w:hAnsi="仿宋" w:eastAsia="仿宋" w:cs="仿宋"/>
                <w:b/>
                <w:bCs/>
                <w:kern w:val="0"/>
                <w:sz w:val="24"/>
                <w:szCs w:val="24"/>
                <w:lang w:val="en-US" w:eastAsia="zh-CN" w:bidi="ar"/>
              </w:rPr>
            </w:pPr>
            <w:r>
              <w:rPr>
                <w:rFonts w:hint="eastAsia" w:ascii="Times New Roman" w:hAnsi="Times New Roman" w:eastAsia="仿宋_GB2312" w:cs="Times New Roman"/>
                <w:b/>
                <w:sz w:val="24"/>
                <w:szCs w:val="24"/>
                <w:lang w:val="en-US" w:eastAsia="zh-CN"/>
              </w:rPr>
              <w:t>直接确定监管级别的情形（1-10）</w:t>
            </w:r>
          </w:p>
        </w:tc>
        <w:tc>
          <w:tcPr>
            <w:tcW w:w="2162" w:type="dxa"/>
            <w:tcBorders>
              <w:top w:val="nil"/>
              <w:left w:val="single" w:color="auto" w:sz="6" w:space="0"/>
              <w:bottom w:val="single" w:color="auto" w:sz="6" w:space="0"/>
              <w:right w:val="single"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1.违法行为情况</w:t>
            </w:r>
          </w:p>
        </w:tc>
        <w:tc>
          <w:tcPr>
            <w:tcW w:w="5891" w:type="dxa"/>
            <w:tcBorders>
              <w:top w:val="nil"/>
              <w:left w:val="single" w:color="auto" w:sz="6" w:space="0"/>
              <w:bottom w:val="single" w:color="auto" w:sz="6" w:space="0"/>
              <w:right w:val="single"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both"/>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本年度存在因违法开展药物临床试验被执法部门处罚的，实施三级监管。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485" w:hRule="atLeast"/>
          <w:jc w:val="center"/>
        </w:trPr>
        <w:tc>
          <w:tcPr>
            <w:tcW w:w="1274" w:type="dxa"/>
            <w:vMerge w:val="continue"/>
            <w:tcBorders>
              <w:left w:val="single" w:color="auto" w:sz="6" w:space="0"/>
              <w:right w:val="single"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rFonts w:hint="eastAsia" w:ascii="仿宋" w:hAnsi="仿宋" w:eastAsia="仿宋" w:cs="仿宋"/>
                <w:kern w:val="0"/>
                <w:sz w:val="24"/>
                <w:szCs w:val="24"/>
                <w:lang w:val="en-US" w:eastAsia="zh-CN" w:bidi="ar"/>
              </w:rPr>
            </w:pPr>
          </w:p>
        </w:tc>
        <w:tc>
          <w:tcPr>
            <w:tcW w:w="2162" w:type="dxa"/>
            <w:tcBorders>
              <w:top w:val="nil"/>
              <w:left w:val="single" w:color="auto" w:sz="6" w:space="0"/>
              <w:bottom w:val="single" w:color="auto" w:sz="6" w:space="0"/>
              <w:right w:val="single"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2.检查结论不符合要求</w:t>
            </w:r>
          </w:p>
        </w:tc>
        <w:tc>
          <w:tcPr>
            <w:tcW w:w="5891" w:type="dxa"/>
            <w:tcBorders>
              <w:top w:val="nil"/>
              <w:left w:val="single" w:color="auto" w:sz="6" w:space="0"/>
              <w:bottom w:val="single" w:color="auto" w:sz="6" w:space="0"/>
              <w:right w:val="single"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both"/>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在近两年监督检查中，除新增专业检查外，存在检查结论为“不符合要求”或药物临床试验数据核查发现严重缺陷的，实施三级监管。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jc w:val="center"/>
        </w:trPr>
        <w:tc>
          <w:tcPr>
            <w:tcW w:w="1274" w:type="dxa"/>
            <w:vMerge w:val="continue"/>
            <w:tcBorders>
              <w:left w:val="single" w:color="auto" w:sz="6" w:space="0"/>
              <w:right w:val="single"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rFonts w:hint="eastAsia" w:ascii="仿宋" w:hAnsi="仿宋" w:eastAsia="仿宋" w:cs="仿宋"/>
                <w:kern w:val="0"/>
                <w:sz w:val="24"/>
                <w:szCs w:val="24"/>
                <w:lang w:val="en-US" w:eastAsia="zh-CN" w:bidi="ar"/>
              </w:rPr>
            </w:pPr>
          </w:p>
        </w:tc>
        <w:tc>
          <w:tcPr>
            <w:tcW w:w="2162" w:type="dxa"/>
            <w:tcBorders>
              <w:top w:val="nil"/>
              <w:left w:val="single" w:color="auto" w:sz="6" w:space="0"/>
              <w:bottom w:val="single" w:color="auto" w:sz="6" w:space="0"/>
              <w:right w:val="single"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3.被约谈/通报情况</w:t>
            </w:r>
          </w:p>
        </w:tc>
        <w:tc>
          <w:tcPr>
            <w:tcW w:w="5891" w:type="dxa"/>
            <w:tcBorders>
              <w:top w:val="nil"/>
              <w:left w:val="single" w:color="auto" w:sz="6" w:space="0"/>
              <w:bottom w:val="single" w:color="auto" w:sz="6" w:space="0"/>
              <w:right w:val="single"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both"/>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本年度被药品监管部门采取告诫、约谈、暂停临床试验等风险管控措施的，实施三级监管。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jc w:val="center"/>
        </w:trPr>
        <w:tc>
          <w:tcPr>
            <w:tcW w:w="1274" w:type="dxa"/>
            <w:vMerge w:val="continue"/>
            <w:tcBorders>
              <w:left w:val="single" w:color="auto" w:sz="6" w:space="0"/>
              <w:right w:val="single"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rFonts w:hint="eastAsia" w:ascii="仿宋" w:hAnsi="仿宋" w:eastAsia="仿宋" w:cs="仿宋"/>
                <w:kern w:val="0"/>
                <w:sz w:val="24"/>
                <w:szCs w:val="24"/>
                <w:lang w:val="en-US" w:eastAsia="zh-CN" w:bidi="ar"/>
              </w:rPr>
            </w:pPr>
          </w:p>
        </w:tc>
        <w:tc>
          <w:tcPr>
            <w:tcW w:w="2162" w:type="dxa"/>
            <w:tcBorders>
              <w:top w:val="nil"/>
              <w:left w:val="single" w:color="auto" w:sz="6" w:space="0"/>
              <w:bottom w:val="single" w:color="auto" w:sz="6" w:space="0"/>
              <w:right w:val="single"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4.诚信情况</w:t>
            </w:r>
          </w:p>
        </w:tc>
        <w:tc>
          <w:tcPr>
            <w:tcW w:w="5891" w:type="dxa"/>
            <w:tcBorders>
              <w:top w:val="nil"/>
              <w:left w:val="single" w:color="auto" w:sz="6" w:space="0"/>
              <w:bottom w:val="single" w:color="auto" w:sz="6" w:space="0"/>
              <w:right w:val="single"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both"/>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在近两年检查中发现存在提供虚假信息或隐瞒真实情况的等严重不合规问题的，实施三级监管。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jc w:val="center"/>
        </w:trPr>
        <w:tc>
          <w:tcPr>
            <w:tcW w:w="1274" w:type="dxa"/>
            <w:vMerge w:val="continue"/>
            <w:tcBorders>
              <w:left w:val="single" w:color="auto" w:sz="6" w:space="0"/>
              <w:right w:val="single"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rFonts w:hint="eastAsia" w:ascii="仿宋" w:hAnsi="仿宋" w:eastAsia="仿宋" w:cs="仿宋"/>
                <w:kern w:val="0"/>
                <w:sz w:val="24"/>
                <w:szCs w:val="24"/>
                <w:lang w:val="en-US" w:eastAsia="zh-CN" w:bidi="ar"/>
              </w:rPr>
            </w:pPr>
          </w:p>
        </w:tc>
        <w:tc>
          <w:tcPr>
            <w:tcW w:w="2162" w:type="dxa"/>
            <w:tcBorders>
              <w:top w:val="nil"/>
              <w:left w:val="single" w:color="auto" w:sz="6" w:space="0"/>
              <w:bottom w:val="single" w:color="auto" w:sz="6" w:space="0"/>
              <w:right w:val="single"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rFonts w:hint="default"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5.被投诉举报</w:t>
            </w:r>
          </w:p>
        </w:tc>
        <w:tc>
          <w:tcPr>
            <w:tcW w:w="5891" w:type="dxa"/>
            <w:tcBorders>
              <w:top w:val="nil"/>
              <w:left w:val="single" w:color="auto" w:sz="6" w:space="0"/>
              <w:bottom w:val="single" w:color="auto" w:sz="6" w:space="0"/>
              <w:right w:val="single"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both"/>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投诉举报或者其他线索提示存在质量安全风险的，实施三级监管。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jc w:val="center"/>
        </w:trPr>
        <w:tc>
          <w:tcPr>
            <w:tcW w:w="1274" w:type="dxa"/>
            <w:vMerge w:val="continue"/>
            <w:tcBorders>
              <w:left w:val="single" w:color="auto" w:sz="6" w:space="0"/>
              <w:right w:val="single"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rFonts w:hint="eastAsia" w:ascii="仿宋" w:hAnsi="仿宋" w:eastAsia="仿宋" w:cs="仿宋"/>
                <w:kern w:val="0"/>
                <w:sz w:val="24"/>
                <w:szCs w:val="24"/>
                <w:lang w:val="en-US" w:eastAsia="zh-CN" w:bidi="ar"/>
              </w:rPr>
            </w:pPr>
          </w:p>
        </w:tc>
        <w:tc>
          <w:tcPr>
            <w:tcW w:w="2162" w:type="dxa"/>
            <w:tcBorders>
              <w:top w:val="nil"/>
              <w:left w:val="single" w:color="auto" w:sz="6" w:space="0"/>
              <w:bottom w:val="single" w:color="auto" w:sz="6" w:space="0"/>
              <w:right w:val="single"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6.新备案机构</w:t>
            </w:r>
          </w:p>
        </w:tc>
        <w:tc>
          <w:tcPr>
            <w:tcW w:w="5891" w:type="dxa"/>
            <w:tcBorders>
              <w:top w:val="nil"/>
              <w:left w:val="single" w:color="auto" w:sz="6" w:space="0"/>
              <w:bottom w:val="single" w:color="auto" w:sz="6" w:space="0"/>
              <w:right w:val="single"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both"/>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新备案的临床试验机构首次开展临床试验，实施三级监管。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jc w:val="center"/>
        </w:trPr>
        <w:tc>
          <w:tcPr>
            <w:tcW w:w="1274" w:type="dxa"/>
            <w:vMerge w:val="continue"/>
            <w:tcBorders>
              <w:left w:val="single" w:color="auto" w:sz="6" w:space="0"/>
              <w:right w:val="single"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rFonts w:hint="eastAsia" w:ascii="仿宋" w:hAnsi="仿宋" w:eastAsia="仿宋" w:cs="仿宋"/>
                <w:kern w:val="0"/>
                <w:sz w:val="24"/>
                <w:szCs w:val="24"/>
                <w:lang w:val="en-US" w:eastAsia="zh-CN" w:bidi="ar"/>
              </w:rPr>
            </w:pPr>
          </w:p>
        </w:tc>
        <w:tc>
          <w:tcPr>
            <w:tcW w:w="2162" w:type="dxa"/>
            <w:tcBorders>
              <w:top w:val="nil"/>
              <w:left w:val="single" w:color="auto" w:sz="6" w:space="0"/>
              <w:bottom w:val="single" w:color="auto" w:sz="6" w:space="0"/>
              <w:right w:val="single"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7.拒绝检查</w:t>
            </w:r>
          </w:p>
        </w:tc>
        <w:tc>
          <w:tcPr>
            <w:tcW w:w="5891" w:type="dxa"/>
            <w:tcBorders>
              <w:top w:val="nil"/>
              <w:left w:val="single" w:color="auto" w:sz="6" w:space="0"/>
              <w:bottom w:val="single" w:color="auto" w:sz="6" w:space="0"/>
              <w:right w:val="single"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both"/>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无合理理由，不配合、逃避、拒绝监督检查的，实施三级监管。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jc w:val="center"/>
        </w:trPr>
        <w:tc>
          <w:tcPr>
            <w:tcW w:w="1274" w:type="dxa"/>
            <w:vMerge w:val="continue"/>
            <w:tcBorders>
              <w:left w:val="single" w:color="auto" w:sz="6" w:space="0"/>
              <w:right w:val="single"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rFonts w:hint="eastAsia" w:ascii="仿宋" w:hAnsi="仿宋" w:eastAsia="仿宋" w:cs="仿宋"/>
                <w:kern w:val="0"/>
                <w:sz w:val="24"/>
                <w:szCs w:val="24"/>
                <w:lang w:val="en-US" w:eastAsia="zh-CN" w:bidi="ar"/>
              </w:rPr>
            </w:pPr>
          </w:p>
        </w:tc>
        <w:tc>
          <w:tcPr>
            <w:tcW w:w="2162" w:type="dxa"/>
            <w:tcBorders>
              <w:top w:val="nil"/>
              <w:left w:val="single" w:color="auto" w:sz="6" w:space="0"/>
              <w:bottom w:val="single" w:color="auto" w:sz="6" w:space="0"/>
              <w:right w:val="single"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8.重点关注项目</w:t>
            </w:r>
          </w:p>
        </w:tc>
        <w:tc>
          <w:tcPr>
            <w:tcW w:w="5891" w:type="dxa"/>
            <w:tcBorders>
              <w:top w:val="nil"/>
              <w:left w:val="single" w:color="auto" w:sz="6" w:space="0"/>
              <w:bottom w:val="single" w:color="auto" w:sz="6" w:space="0"/>
              <w:right w:val="single"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both"/>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正在进行创新药、I期药物临床试验、疫苗等品种首次人体试验、生物等效性试验或特殊人群临床试验的，实施三级监管。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967" w:hRule="atLeast"/>
          <w:jc w:val="center"/>
        </w:trPr>
        <w:tc>
          <w:tcPr>
            <w:tcW w:w="1274" w:type="dxa"/>
            <w:vMerge w:val="continue"/>
            <w:tcBorders>
              <w:left w:val="single" w:color="auto" w:sz="6" w:space="0"/>
              <w:right w:val="single"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rFonts w:hint="eastAsia" w:ascii="仿宋" w:hAnsi="仿宋" w:eastAsia="仿宋" w:cs="仿宋"/>
                <w:kern w:val="0"/>
                <w:sz w:val="24"/>
                <w:szCs w:val="24"/>
                <w:lang w:val="en-US" w:eastAsia="zh-CN" w:bidi="ar"/>
              </w:rPr>
            </w:pPr>
          </w:p>
        </w:tc>
        <w:tc>
          <w:tcPr>
            <w:tcW w:w="2162" w:type="dxa"/>
            <w:tcBorders>
              <w:top w:val="nil"/>
              <w:left w:val="single" w:color="auto" w:sz="6" w:space="0"/>
              <w:bottom w:val="single" w:color="auto" w:sz="6" w:space="0"/>
              <w:right w:val="single"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9.研究人员数量不足</w:t>
            </w:r>
          </w:p>
        </w:tc>
        <w:tc>
          <w:tcPr>
            <w:tcW w:w="5891" w:type="dxa"/>
            <w:tcBorders>
              <w:top w:val="nil"/>
              <w:left w:val="single" w:color="auto" w:sz="6" w:space="0"/>
              <w:bottom w:val="single" w:color="auto" w:sz="6" w:space="0"/>
              <w:right w:val="single"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both"/>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主要研究者同期承担临床试验项目较多、研究者管理能力或者研究人员数量相对不足等可能影响试验质量的，实施三级监管。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608" w:hRule="atLeast"/>
          <w:jc w:val="center"/>
        </w:trPr>
        <w:tc>
          <w:tcPr>
            <w:tcW w:w="1274" w:type="dxa"/>
            <w:vMerge w:val="continue"/>
            <w:tcBorders>
              <w:left w:val="single" w:color="auto" w:sz="6" w:space="0"/>
              <w:bottom w:val="single" w:color="auto" w:sz="6" w:space="0"/>
              <w:right w:val="single"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rFonts w:hint="eastAsia" w:ascii="仿宋" w:hAnsi="仿宋" w:eastAsia="仿宋" w:cs="仿宋"/>
                <w:kern w:val="0"/>
                <w:sz w:val="24"/>
                <w:szCs w:val="24"/>
                <w:lang w:val="en-US" w:eastAsia="zh-CN" w:bidi="ar"/>
              </w:rPr>
            </w:pPr>
          </w:p>
        </w:tc>
        <w:tc>
          <w:tcPr>
            <w:tcW w:w="2162" w:type="dxa"/>
            <w:tcBorders>
              <w:top w:val="nil"/>
              <w:left w:val="single" w:color="auto" w:sz="6" w:space="0"/>
              <w:bottom w:val="single" w:color="auto" w:sz="6" w:space="0"/>
              <w:right w:val="single"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10.未开展临床试验</w:t>
            </w:r>
          </w:p>
        </w:tc>
        <w:tc>
          <w:tcPr>
            <w:tcW w:w="5891" w:type="dxa"/>
            <w:tcBorders>
              <w:top w:val="nil"/>
              <w:left w:val="single" w:color="auto" w:sz="6" w:space="0"/>
              <w:bottom w:val="single" w:color="auto" w:sz="6" w:space="0"/>
              <w:right w:val="single"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both"/>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本年度未开展药物临床试验的非新备案机构，实施一级监管。</w:t>
            </w:r>
          </w:p>
        </w:tc>
      </w:tr>
    </w:tbl>
    <w:p>
      <w:pPr>
        <w:keepNext w:val="0"/>
        <w:keepLines w:val="0"/>
        <w:widowControl/>
        <w:suppressLineNumbers w:val="0"/>
        <w:jc w:val="left"/>
        <w:rPr>
          <w:rFonts w:hint="eastAsia" w:ascii="仿宋_GB2312" w:hAnsi="仿宋_GB2312" w:eastAsia="仿宋_GB2312" w:cs="仿宋_GB2312"/>
          <w:i w:val="0"/>
          <w:caps w:val="0"/>
          <w:color w:val="000000"/>
          <w:spacing w:val="0"/>
          <w:kern w:val="0"/>
          <w:sz w:val="32"/>
          <w:szCs w:val="32"/>
          <w:shd w:val="clear" w:color="auto" w:fill="FFFFFF"/>
          <w:lang w:val="en-US" w:eastAsia="zh-CN" w:bidi="ar"/>
        </w:rPr>
      </w:pPr>
      <w:r>
        <w:rPr>
          <w:rFonts w:hint="eastAsia" w:ascii="仿宋_GB2312" w:hAnsi="仿宋_GB2312" w:eastAsia="仿宋_GB2312" w:cs="仿宋_GB2312"/>
          <w:i w:val="0"/>
          <w:caps w:val="0"/>
          <w:color w:val="000000"/>
          <w:spacing w:val="0"/>
          <w:kern w:val="0"/>
          <w:sz w:val="32"/>
          <w:szCs w:val="32"/>
          <w:shd w:val="clear" w:color="auto" w:fill="FFFFFF"/>
          <w:lang w:val="en-US" w:eastAsia="zh-CN" w:bidi="ar"/>
        </w:rPr>
        <w:t xml:space="preserve"> </w:t>
      </w:r>
    </w:p>
    <w:p>
      <w:pPr>
        <w:keepNext w:val="0"/>
        <w:keepLines w:val="0"/>
        <w:widowControl/>
        <w:suppressLineNumbers w:val="0"/>
        <w:jc w:val="left"/>
        <w:rPr>
          <w:rFonts w:hint="eastAsia" w:ascii="仿宋_GB2312" w:hAnsi="仿宋_GB2312" w:eastAsia="仿宋_GB2312" w:cs="仿宋_GB2312"/>
          <w:i w:val="0"/>
          <w:caps w:val="0"/>
          <w:color w:val="000000"/>
          <w:spacing w:val="0"/>
          <w:kern w:val="0"/>
          <w:sz w:val="32"/>
          <w:szCs w:val="32"/>
          <w:shd w:val="clear" w:color="auto" w:fill="FFFFFF"/>
          <w:lang w:val="en-US" w:eastAsia="zh-CN" w:bidi="ar"/>
        </w:rPr>
      </w:pPr>
      <w:r>
        <w:rPr>
          <w:rFonts w:hint="eastAsia" w:ascii="仿宋" w:hAnsi="仿宋" w:eastAsia="仿宋" w:cs="仿宋"/>
          <w:i w:val="0"/>
          <w:iCs w:val="0"/>
          <w:caps w:val="0"/>
          <w:color w:val="333333"/>
          <w:spacing w:val="0"/>
          <w:kern w:val="0"/>
          <w:sz w:val="24"/>
          <w:szCs w:val="24"/>
          <w:shd w:val="clear" w:fill="FFFFFF"/>
          <w:lang w:val="en-US" w:eastAsia="zh-CN" w:bidi="ar"/>
        </w:rPr>
        <w:t>注 ：</w:t>
      </w:r>
    </w:p>
    <w:p>
      <w:pPr>
        <w:pStyle w:val="2"/>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425" w:leftChars="0" w:right="0" w:rightChars="0" w:hanging="425" w:firstLineChars="0"/>
        <w:rPr>
          <w:rFonts w:hint="eastAsia" w:ascii="仿宋" w:hAnsi="仿宋" w:eastAsia="仿宋_GB2312" w:cs="仿宋"/>
          <w:i w:val="0"/>
          <w:iCs w:val="0"/>
          <w:caps w:val="0"/>
          <w:color w:val="333333"/>
          <w:spacing w:val="0"/>
          <w:sz w:val="24"/>
          <w:szCs w:val="24"/>
          <w:shd w:val="clear" w:fill="FFFFFF"/>
          <w:lang w:eastAsia="zh-CN"/>
        </w:rPr>
      </w:pPr>
      <w:r>
        <w:rPr>
          <w:rFonts w:hint="eastAsia" w:ascii="仿宋" w:hAnsi="仿宋" w:eastAsia="仿宋" w:cs="仿宋"/>
          <w:i w:val="0"/>
          <w:iCs w:val="0"/>
          <w:caps w:val="0"/>
          <w:color w:val="333333"/>
          <w:spacing w:val="0"/>
          <w:sz w:val="24"/>
          <w:szCs w:val="24"/>
          <w:shd w:val="clear" w:fill="FFFFFF"/>
        </w:rPr>
        <w:t>对于新备案且未承担药物临床试验的机构</w:t>
      </w:r>
      <w:r>
        <w:rPr>
          <w:rFonts w:hint="eastAsia" w:ascii="仿宋" w:hAnsi="仿宋" w:eastAsia="仿宋" w:cs="仿宋"/>
          <w:i w:val="0"/>
          <w:iCs w:val="0"/>
          <w:caps w:val="0"/>
          <w:color w:val="333333"/>
          <w:spacing w:val="0"/>
          <w:sz w:val="24"/>
          <w:szCs w:val="24"/>
          <w:shd w:val="clear" w:fill="FFFFFF"/>
          <w:lang w:eastAsia="zh-CN"/>
        </w:rPr>
        <w:t>评分项目不涉及</w:t>
      </w:r>
      <w:r>
        <w:rPr>
          <w:rFonts w:ascii="Times New Roman" w:hAnsi="Times New Roman" w:eastAsia="仿宋_GB2312" w:cs="Times New Roman"/>
          <w:sz w:val="24"/>
          <w:szCs w:val="24"/>
        </w:rPr>
        <w:t>A5-A</w:t>
      </w:r>
      <w:r>
        <w:rPr>
          <w:rFonts w:hint="eastAsia" w:ascii="Times New Roman" w:hAnsi="Times New Roman" w:eastAsia="仿宋_GB2312" w:cs="Times New Roman"/>
          <w:sz w:val="24"/>
          <w:szCs w:val="24"/>
          <w:lang w:val="en-US" w:eastAsia="zh-CN"/>
        </w:rPr>
        <w:t>8和</w:t>
      </w:r>
      <w:r>
        <w:rPr>
          <w:rFonts w:ascii="Times New Roman" w:hAnsi="Times New Roman" w:eastAsia="仿宋_GB2312" w:cs="Times New Roman"/>
          <w:sz w:val="24"/>
          <w:szCs w:val="24"/>
        </w:rPr>
        <w:t>B4-B7</w:t>
      </w:r>
    </w:p>
    <w:p>
      <w:pPr>
        <w:pStyle w:val="2"/>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425" w:leftChars="0" w:right="0" w:rightChars="0" w:hanging="425" w:firstLineChars="0"/>
        <w:rPr>
          <w:rFonts w:hint="eastAsia" w:ascii="仿宋" w:hAnsi="仿宋" w:eastAsia="仿宋" w:cs="仿宋"/>
          <w:i w:val="0"/>
          <w:iCs w:val="0"/>
          <w:caps w:val="0"/>
          <w:color w:val="333333"/>
          <w:spacing w:val="0"/>
          <w:sz w:val="24"/>
          <w:szCs w:val="24"/>
          <w:shd w:val="clear" w:fill="FFFFFF"/>
        </w:rPr>
      </w:pPr>
      <w:r>
        <w:rPr>
          <w:rFonts w:hint="eastAsia" w:ascii="仿宋" w:hAnsi="仿宋" w:eastAsia="仿宋" w:cs="仿宋"/>
          <w:i w:val="0"/>
          <w:iCs w:val="0"/>
          <w:caps w:val="0"/>
          <w:color w:val="333333"/>
          <w:spacing w:val="0"/>
          <w:sz w:val="24"/>
          <w:szCs w:val="24"/>
          <w:shd w:val="clear" w:fill="FFFFFF"/>
        </w:rPr>
        <w:t>除《评分表》中规定的直接进行监管评级的情形外，按照</w:t>
      </w:r>
      <w:r>
        <w:rPr>
          <w:rFonts w:hint="eastAsia" w:ascii="仿宋" w:hAnsi="仿宋" w:eastAsia="仿宋" w:cs="仿宋"/>
          <w:kern w:val="0"/>
          <w:sz w:val="24"/>
          <w:szCs w:val="24"/>
          <w:lang w:val="en-US" w:eastAsia="zh-CN" w:bidi="ar"/>
        </w:rPr>
        <w:t>累积记分分值</w:t>
      </w:r>
      <w:r>
        <w:rPr>
          <w:rFonts w:hint="eastAsia" w:ascii="仿宋" w:hAnsi="仿宋" w:eastAsia="仿宋" w:cs="仿宋"/>
          <w:i w:val="0"/>
          <w:iCs w:val="0"/>
          <w:caps w:val="0"/>
          <w:color w:val="333333"/>
          <w:spacing w:val="0"/>
          <w:sz w:val="24"/>
          <w:szCs w:val="24"/>
          <w:shd w:val="clear" w:fill="FFFFFF"/>
        </w:rPr>
        <w:t>确定监管等级，具体规则见表2。</w:t>
      </w:r>
    </w:p>
    <w:p>
      <w:pPr>
        <w:pStyle w:val="2"/>
        <w:keepNext w:val="0"/>
        <w:keepLines w:val="0"/>
        <w:widowControl/>
        <w:suppressLineNumbers w:val="0"/>
        <w:jc w:val="center"/>
        <w:rPr>
          <w:rStyle w:val="6"/>
        </w:rPr>
      </w:pPr>
    </w:p>
    <w:p>
      <w:pPr>
        <w:pStyle w:val="2"/>
        <w:keepNext w:val="0"/>
        <w:keepLines w:val="0"/>
        <w:widowControl/>
        <w:suppressLineNumbers w:val="0"/>
        <w:jc w:val="center"/>
        <w:rPr>
          <w:rFonts w:hint="eastAsia" w:ascii="仿宋" w:hAnsi="仿宋" w:eastAsia="仿宋" w:cs="仿宋"/>
          <w:i w:val="0"/>
          <w:iCs w:val="0"/>
          <w:caps w:val="0"/>
          <w:color w:val="333333"/>
          <w:spacing w:val="0"/>
          <w:kern w:val="0"/>
          <w:sz w:val="24"/>
          <w:szCs w:val="24"/>
          <w:shd w:val="clear" w:fill="FFFFFF"/>
          <w:lang w:val="en-US" w:eastAsia="zh-CN" w:bidi="ar"/>
        </w:rPr>
      </w:pPr>
      <w:r>
        <w:rPr>
          <w:rStyle w:val="6"/>
        </w:rPr>
        <w:t>表2.药物临床试验机构</w:t>
      </w:r>
      <w:r>
        <w:rPr>
          <w:rStyle w:val="6"/>
          <w:rFonts w:hint="eastAsia" w:ascii="Times New Roman" w:hAnsi="Times New Roman" w:eastAsia="宋体" w:cs="Times New Roman"/>
          <w:lang w:eastAsia="zh-CN"/>
        </w:rPr>
        <w:t>累积记分</w:t>
      </w:r>
      <w:r>
        <w:rPr>
          <w:rStyle w:val="6"/>
        </w:rPr>
        <w:t>及监管等级对照表</w:t>
      </w:r>
    </w:p>
    <w:tbl>
      <w:tblPr>
        <w:tblStyle w:val="4"/>
        <w:tblpPr w:leftFromText="180" w:rightFromText="180" w:vertAnchor="text" w:horzAnchor="page" w:tblpX="1367" w:tblpY="143"/>
        <w:tblOverlap w:val="never"/>
        <w:tblW w:w="95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44"/>
        <w:gridCol w:w="63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44" w:type="dxa"/>
            <w:vAlign w:val="center"/>
          </w:tcPr>
          <w:p>
            <w:pPr>
              <w:widowControl w:val="0"/>
              <w:numPr>
                <w:ilvl w:val="0"/>
                <w:numId w:val="0"/>
              </w:numPr>
              <w:spacing w:before="120" w:line="240" w:lineRule="auto"/>
              <w:jc w:val="center"/>
              <w:rPr>
                <w:rFonts w:hint="eastAsia" w:ascii="Times New Roman" w:hAnsi="Times New Roman" w:eastAsia="仿宋_GB2312" w:cs="Times New Roman"/>
                <w:sz w:val="24"/>
                <w:szCs w:val="24"/>
                <w:vertAlign w:val="baseline"/>
                <w:lang w:val="en-US" w:eastAsia="zh-CN"/>
              </w:rPr>
            </w:pPr>
            <w:r>
              <w:rPr>
                <w:rFonts w:hint="eastAsia" w:ascii="Times New Roman" w:hAnsi="Times New Roman" w:eastAsia="仿宋_GB2312" w:cs="Times New Roman"/>
                <w:sz w:val="24"/>
                <w:szCs w:val="24"/>
                <w:vertAlign w:val="baseline"/>
                <w:lang w:val="en-US" w:eastAsia="zh-CN"/>
              </w:rPr>
              <w:t>监管等级</w:t>
            </w:r>
          </w:p>
        </w:tc>
        <w:tc>
          <w:tcPr>
            <w:tcW w:w="6392" w:type="dxa"/>
            <w:vAlign w:val="center"/>
          </w:tcPr>
          <w:p>
            <w:pPr>
              <w:widowControl w:val="0"/>
              <w:numPr>
                <w:ilvl w:val="0"/>
                <w:numId w:val="0"/>
              </w:numPr>
              <w:spacing w:before="120" w:line="240" w:lineRule="auto"/>
              <w:jc w:val="center"/>
              <w:rPr>
                <w:rFonts w:hint="eastAsia" w:ascii="Times New Roman" w:hAnsi="Times New Roman" w:eastAsia="仿宋_GB2312" w:cs="Times New Roman"/>
                <w:sz w:val="24"/>
                <w:szCs w:val="24"/>
                <w:vertAlign w:val="baseline"/>
                <w:lang w:eastAsia="zh-CN"/>
              </w:rPr>
            </w:pPr>
            <w:r>
              <w:rPr>
                <w:rFonts w:hint="eastAsia" w:ascii="Times New Roman" w:hAnsi="Times New Roman" w:eastAsia="仿宋_GB2312" w:cs="Times New Roman"/>
                <w:sz w:val="24"/>
                <w:szCs w:val="24"/>
                <w:vertAlign w:val="baseline"/>
                <w:lang w:eastAsia="zh-CN"/>
              </w:rPr>
              <w:t>累积记分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3144" w:type="dxa"/>
            <w:vAlign w:val="center"/>
          </w:tcPr>
          <w:p>
            <w:pPr>
              <w:widowControl w:val="0"/>
              <w:numPr>
                <w:ilvl w:val="0"/>
                <w:numId w:val="0"/>
              </w:numPr>
              <w:spacing w:before="120" w:line="240" w:lineRule="auto"/>
              <w:jc w:val="center"/>
              <w:rPr>
                <w:rFonts w:hint="eastAsia" w:ascii="Times New Roman" w:hAnsi="Times New Roman" w:eastAsia="仿宋_GB2312" w:cs="Times New Roman"/>
                <w:sz w:val="24"/>
                <w:szCs w:val="24"/>
                <w:vertAlign w:val="baseline"/>
                <w:lang w:eastAsia="zh-CN"/>
              </w:rPr>
            </w:pPr>
            <w:r>
              <w:rPr>
                <w:rFonts w:hint="eastAsia" w:ascii="Times New Roman" w:hAnsi="Times New Roman" w:eastAsia="仿宋_GB2312" w:cs="Times New Roman"/>
                <w:sz w:val="24"/>
                <w:szCs w:val="24"/>
                <w:vertAlign w:val="baseline"/>
                <w:lang w:eastAsia="zh-CN"/>
              </w:rPr>
              <w:t>三级监管</w:t>
            </w:r>
          </w:p>
        </w:tc>
        <w:tc>
          <w:tcPr>
            <w:tcW w:w="639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120" w:line="360" w:lineRule="auto"/>
              <w:jc w:val="left"/>
              <w:textAlignment w:val="auto"/>
              <w:rPr>
                <w:rFonts w:hint="eastAsia" w:ascii="仿宋" w:hAnsi="仿宋" w:eastAsia="仿宋" w:cs="仿宋"/>
                <w:i w:val="0"/>
                <w:iCs w:val="0"/>
                <w:caps w:val="0"/>
                <w:color w:val="333333"/>
                <w:spacing w:val="0"/>
                <w:sz w:val="24"/>
                <w:szCs w:val="24"/>
                <w:shd w:val="clear" w:fill="FFFFFF"/>
                <w:lang w:eastAsia="zh-CN"/>
              </w:rPr>
            </w:pPr>
            <w:r>
              <w:rPr>
                <w:rFonts w:hint="eastAsia" w:ascii="仿宋" w:hAnsi="仿宋" w:eastAsia="仿宋" w:cs="仿宋"/>
                <w:i w:val="0"/>
                <w:iCs w:val="0"/>
                <w:caps w:val="0"/>
                <w:color w:val="333333"/>
                <w:spacing w:val="0"/>
                <w:sz w:val="24"/>
                <w:szCs w:val="24"/>
                <w:shd w:val="clear" w:fill="FFFFFF"/>
                <w:lang w:eastAsia="zh-CN"/>
              </w:rPr>
              <w:t>满足下列情形之一：</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340" w:leftChars="0"/>
              <w:jc w:val="left"/>
              <w:textAlignment w:val="auto"/>
              <w:rPr>
                <w:rFonts w:hint="eastAsia" w:ascii="仿宋" w:hAnsi="仿宋" w:eastAsia="仿宋" w:cs="仿宋"/>
                <w:i w:val="0"/>
                <w:iCs w:val="0"/>
                <w:caps w:val="0"/>
                <w:color w:val="333333"/>
                <w:spacing w:val="0"/>
                <w:sz w:val="24"/>
                <w:szCs w:val="24"/>
                <w:shd w:val="clear" w:fill="FFFFFF"/>
                <w:lang w:val="en-US" w:eastAsia="zh-CN"/>
              </w:rPr>
            </w:pPr>
            <w:r>
              <w:rPr>
                <w:rFonts w:hint="eastAsia" w:ascii="仿宋" w:hAnsi="仿宋" w:eastAsia="仿宋" w:cs="仿宋"/>
                <w:i w:val="0"/>
                <w:iCs w:val="0"/>
                <w:caps w:val="0"/>
                <w:color w:val="333333"/>
                <w:spacing w:val="0"/>
                <w:sz w:val="24"/>
                <w:szCs w:val="24"/>
                <w:shd w:val="clear" w:fill="FFFFFF"/>
                <w:lang w:val="en-US" w:eastAsia="zh-CN"/>
              </w:rPr>
              <w:t>1.</w:t>
            </w:r>
            <w:r>
              <w:rPr>
                <w:rFonts w:hint="eastAsia" w:ascii="仿宋" w:hAnsi="仿宋" w:eastAsia="仿宋" w:cs="仿宋"/>
                <w:i w:val="0"/>
                <w:iCs w:val="0"/>
                <w:caps w:val="0"/>
                <w:color w:val="333333"/>
                <w:spacing w:val="0"/>
                <w:sz w:val="24"/>
                <w:szCs w:val="24"/>
                <w:shd w:val="clear" w:fill="FFFFFF"/>
                <w:lang w:eastAsia="zh-CN"/>
              </w:rPr>
              <w:t>机构部分、伦理委员会和专业部分三个部分中任一部分</w:t>
            </w:r>
            <w:r>
              <w:rPr>
                <w:rFonts w:hint="eastAsia" w:ascii="仿宋" w:hAnsi="仿宋" w:eastAsia="仿宋" w:cs="仿宋"/>
                <w:i w:val="0"/>
                <w:iCs w:val="0"/>
                <w:caps w:val="0"/>
                <w:color w:val="333333"/>
                <w:spacing w:val="0"/>
                <w:sz w:val="24"/>
                <w:szCs w:val="24"/>
                <w:shd w:val="clear" w:fill="FFFFFF"/>
                <w:lang w:val="en-US" w:eastAsia="zh-CN"/>
              </w:rPr>
              <w:t>满足</w:t>
            </w:r>
            <w:r>
              <w:rPr>
                <w:rFonts w:hint="eastAsia" w:ascii="仿宋" w:hAnsi="仿宋" w:eastAsia="仿宋" w:cs="仿宋"/>
                <w:i w:val="0"/>
                <w:iCs w:val="0"/>
                <w:caps w:val="0"/>
                <w:color w:val="333333"/>
                <w:spacing w:val="0"/>
                <w:sz w:val="24"/>
                <w:szCs w:val="24"/>
                <w:shd w:val="clear" w:fill="FFFFFF"/>
                <w:lang w:eastAsia="zh-CN"/>
              </w:rPr>
              <w:t>累计记分达到</w:t>
            </w:r>
            <w:r>
              <w:rPr>
                <w:rFonts w:hint="eastAsia" w:ascii="仿宋" w:hAnsi="仿宋" w:eastAsia="仿宋" w:cs="仿宋"/>
                <w:i w:val="0"/>
                <w:iCs w:val="0"/>
                <w:caps w:val="0"/>
                <w:color w:val="333333"/>
                <w:spacing w:val="0"/>
                <w:sz w:val="24"/>
                <w:szCs w:val="24"/>
                <w:shd w:val="clear" w:fill="FFFFFF"/>
                <w:lang w:val="en-US" w:eastAsia="zh-CN"/>
              </w:rPr>
              <w:t>20分及以上的；</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340" w:leftChars="0"/>
              <w:jc w:val="left"/>
              <w:textAlignment w:val="auto"/>
              <w:rPr>
                <w:rFonts w:hint="default" w:ascii="仿宋" w:hAnsi="仿宋" w:eastAsia="仿宋" w:cs="仿宋"/>
                <w:i w:val="0"/>
                <w:iCs w:val="0"/>
                <w:caps w:val="0"/>
                <w:color w:val="333333"/>
                <w:spacing w:val="0"/>
                <w:sz w:val="24"/>
                <w:szCs w:val="24"/>
                <w:shd w:val="clear" w:fill="FFFFFF"/>
                <w:lang w:val="en-US" w:eastAsia="zh-CN"/>
              </w:rPr>
            </w:pPr>
            <w:r>
              <w:rPr>
                <w:rFonts w:hint="eastAsia" w:ascii="仿宋" w:hAnsi="仿宋" w:eastAsia="仿宋" w:cs="仿宋"/>
                <w:i w:val="0"/>
                <w:iCs w:val="0"/>
                <w:caps w:val="0"/>
                <w:color w:val="333333"/>
                <w:spacing w:val="0"/>
                <w:sz w:val="24"/>
                <w:szCs w:val="24"/>
                <w:shd w:val="clear" w:fill="FFFFFF"/>
                <w:lang w:val="en-US" w:eastAsia="zh-CN"/>
              </w:rPr>
              <w:t>2.</w:t>
            </w:r>
            <w:r>
              <w:rPr>
                <w:rFonts w:hint="eastAsia" w:ascii="仿宋" w:hAnsi="仿宋" w:eastAsia="仿宋" w:cs="仿宋"/>
                <w:i w:val="0"/>
                <w:iCs w:val="0"/>
                <w:caps w:val="0"/>
                <w:color w:val="333333"/>
                <w:spacing w:val="0"/>
                <w:sz w:val="24"/>
                <w:szCs w:val="24"/>
                <w:shd w:val="clear" w:fill="FFFFFF"/>
                <w:lang w:eastAsia="zh-CN"/>
              </w:rPr>
              <w:t>机构部分、伦理委员会和专业部分三个部分中任一部分均不满足累计记分达到</w:t>
            </w:r>
            <w:r>
              <w:rPr>
                <w:rFonts w:hint="eastAsia" w:ascii="仿宋" w:hAnsi="仿宋" w:eastAsia="仿宋" w:cs="仿宋"/>
                <w:i w:val="0"/>
                <w:iCs w:val="0"/>
                <w:caps w:val="0"/>
                <w:color w:val="333333"/>
                <w:spacing w:val="0"/>
                <w:sz w:val="24"/>
                <w:szCs w:val="24"/>
                <w:shd w:val="clear" w:fill="FFFFFF"/>
                <w:lang w:val="en-US" w:eastAsia="zh-CN"/>
              </w:rPr>
              <w:t>20分及以上，但</w:t>
            </w:r>
            <w:r>
              <w:rPr>
                <w:rFonts w:hint="eastAsia" w:ascii="仿宋" w:hAnsi="仿宋" w:eastAsia="仿宋" w:cs="仿宋"/>
                <w:i w:val="0"/>
                <w:iCs w:val="0"/>
                <w:caps w:val="0"/>
                <w:color w:val="333333"/>
                <w:spacing w:val="0"/>
                <w:sz w:val="24"/>
                <w:szCs w:val="24"/>
                <w:shd w:val="clear" w:fill="FFFFFF"/>
                <w:lang w:eastAsia="zh-CN"/>
              </w:rPr>
              <w:t>经综合研判：认为质量管理体系不能有效运行或者不符合机构备案基本条件的。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44" w:type="dxa"/>
            <w:vAlign w:val="center"/>
          </w:tcPr>
          <w:p>
            <w:pPr>
              <w:widowControl w:val="0"/>
              <w:numPr>
                <w:ilvl w:val="0"/>
                <w:numId w:val="0"/>
              </w:numPr>
              <w:spacing w:before="120" w:line="240" w:lineRule="auto"/>
              <w:jc w:val="center"/>
              <w:rPr>
                <w:rFonts w:hint="eastAsia" w:ascii="Times New Roman" w:hAnsi="Times New Roman" w:eastAsia="仿宋_GB2312" w:cs="Times New Roman"/>
                <w:sz w:val="24"/>
                <w:szCs w:val="24"/>
                <w:vertAlign w:val="baseline"/>
                <w:lang w:eastAsia="zh-CN"/>
              </w:rPr>
            </w:pPr>
            <w:r>
              <w:rPr>
                <w:rFonts w:hint="eastAsia" w:ascii="Times New Roman" w:hAnsi="Times New Roman" w:eastAsia="仿宋_GB2312" w:cs="Times New Roman"/>
                <w:sz w:val="24"/>
                <w:szCs w:val="24"/>
                <w:vertAlign w:val="baseline"/>
                <w:lang w:eastAsia="zh-CN"/>
              </w:rPr>
              <w:t>二级监管</w:t>
            </w:r>
          </w:p>
        </w:tc>
        <w:tc>
          <w:tcPr>
            <w:tcW w:w="639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120" w:line="360" w:lineRule="auto"/>
              <w:ind w:left="365" w:leftChars="174" w:firstLine="0" w:firstLineChars="0"/>
              <w:jc w:val="left"/>
              <w:textAlignment w:val="auto"/>
              <w:rPr>
                <w:rFonts w:hint="default" w:ascii="仿宋" w:hAnsi="仿宋" w:eastAsia="仿宋" w:cs="仿宋"/>
                <w:i w:val="0"/>
                <w:iCs w:val="0"/>
                <w:caps w:val="0"/>
                <w:color w:val="333333"/>
                <w:spacing w:val="0"/>
                <w:sz w:val="24"/>
                <w:szCs w:val="24"/>
                <w:shd w:val="clear" w:fill="FFFFFF"/>
                <w:lang w:val="en-US" w:eastAsia="zh-CN"/>
              </w:rPr>
            </w:pPr>
            <w:r>
              <w:rPr>
                <w:rFonts w:hint="eastAsia" w:ascii="仿宋" w:hAnsi="仿宋" w:eastAsia="仿宋" w:cs="仿宋"/>
                <w:i w:val="0"/>
                <w:iCs w:val="0"/>
                <w:caps w:val="0"/>
                <w:color w:val="333333"/>
                <w:spacing w:val="0"/>
                <w:sz w:val="24"/>
                <w:szCs w:val="24"/>
                <w:shd w:val="clear" w:fill="FFFFFF"/>
                <w:lang w:eastAsia="zh-CN"/>
              </w:rPr>
              <w:t>机构部分、伦理委员会和专业部分三个部分中两部分及以上</w:t>
            </w:r>
            <w:r>
              <w:rPr>
                <w:rFonts w:hint="eastAsia" w:ascii="仿宋" w:hAnsi="仿宋" w:eastAsia="仿宋" w:cs="仿宋"/>
                <w:i w:val="0"/>
                <w:iCs w:val="0"/>
                <w:caps w:val="0"/>
                <w:color w:val="333333"/>
                <w:spacing w:val="0"/>
                <w:sz w:val="24"/>
                <w:szCs w:val="24"/>
                <w:shd w:val="clear" w:fill="FFFFFF"/>
                <w:lang w:val="en-US" w:eastAsia="zh-CN"/>
              </w:rPr>
              <w:t>均满足</w:t>
            </w:r>
            <w:r>
              <w:rPr>
                <w:rFonts w:hint="eastAsia" w:ascii="仿宋" w:hAnsi="仿宋" w:eastAsia="仿宋" w:cs="仿宋"/>
                <w:i w:val="0"/>
                <w:iCs w:val="0"/>
                <w:caps w:val="0"/>
                <w:color w:val="333333"/>
                <w:spacing w:val="0"/>
                <w:sz w:val="24"/>
                <w:szCs w:val="24"/>
                <w:shd w:val="clear" w:fill="FFFFFF"/>
                <w:lang w:eastAsia="zh-CN"/>
              </w:rPr>
              <w:t>累计记分达到</w:t>
            </w:r>
            <w:r>
              <w:rPr>
                <w:rFonts w:hint="eastAsia" w:ascii="仿宋" w:hAnsi="仿宋" w:eastAsia="仿宋" w:cs="仿宋"/>
                <w:i w:val="0"/>
                <w:iCs w:val="0"/>
                <w:caps w:val="0"/>
                <w:color w:val="333333"/>
                <w:spacing w:val="0"/>
                <w:sz w:val="24"/>
                <w:szCs w:val="24"/>
                <w:shd w:val="clear" w:fill="FFFFFF"/>
                <w:lang w:val="en-US" w:eastAsia="zh-CN"/>
              </w:rPr>
              <w:t>5</w:t>
            </w:r>
            <w:r>
              <w:rPr>
                <w:rFonts w:hint="eastAsia" w:ascii="仿宋" w:hAnsi="仿宋" w:eastAsia="仿宋" w:cs="仿宋"/>
                <w:i w:val="0"/>
                <w:iCs w:val="0"/>
                <w:caps w:val="0"/>
                <w:color w:val="333333"/>
                <w:spacing w:val="0"/>
                <w:sz w:val="24"/>
                <w:szCs w:val="24"/>
                <w:shd w:val="clear" w:fill="FFFFFF"/>
                <w:lang w:eastAsia="zh-CN"/>
              </w:rPr>
              <w:t>分不满2</w:t>
            </w:r>
            <w:r>
              <w:rPr>
                <w:rFonts w:hint="eastAsia" w:ascii="仿宋" w:hAnsi="仿宋" w:eastAsia="仿宋" w:cs="仿宋"/>
                <w:i w:val="0"/>
                <w:iCs w:val="0"/>
                <w:caps w:val="0"/>
                <w:color w:val="333333"/>
                <w:spacing w:val="0"/>
                <w:sz w:val="24"/>
                <w:szCs w:val="24"/>
                <w:shd w:val="clear" w:fill="FFFFFF"/>
                <w:lang w:val="en-US" w:eastAsia="zh-CN"/>
              </w:rPr>
              <w:t>0</w:t>
            </w:r>
            <w:r>
              <w:rPr>
                <w:rFonts w:hint="eastAsia" w:ascii="仿宋" w:hAnsi="仿宋" w:eastAsia="仿宋" w:cs="仿宋"/>
                <w:i w:val="0"/>
                <w:iCs w:val="0"/>
                <w:caps w:val="0"/>
                <w:color w:val="333333"/>
                <w:spacing w:val="0"/>
                <w:sz w:val="24"/>
                <w:szCs w:val="24"/>
                <w:shd w:val="clear" w:fill="FFFFFF"/>
                <w:lang w:eastAsia="zh-CN"/>
              </w:rPr>
              <w:t>分的，经综合研判；质量管理体系基本健全的。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44" w:type="dxa"/>
            <w:vAlign w:val="center"/>
          </w:tcPr>
          <w:p>
            <w:pPr>
              <w:widowControl w:val="0"/>
              <w:numPr>
                <w:ilvl w:val="0"/>
                <w:numId w:val="0"/>
              </w:numPr>
              <w:spacing w:before="120" w:line="240" w:lineRule="auto"/>
              <w:jc w:val="center"/>
              <w:rPr>
                <w:rFonts w:hint="eastAsia" w:ascii="Times New Roman" w:hAnsi="Times New Roman" w:eastAsia="仿宋_GB2312" w:cs="Times New Roman"/>
                <w:sz w:val="24"/>
                <w:szCs w:val="24"/>
                <w:vertAlign w:val="baseline"/>
                <w:lang w:eastAsia="zh-CN"/>
              </w:rPr>
            </w:pPr>
            <w:r>
              <w:rPr>
                <w:rFonts w:hint="eastAsia" w:ascii="Times New Roman" w:hAnsi="Times New Roman" w:eastAsia="仿宋_GB2312" w:cs="Times New Roman"/>
                <w:sz w:val="24"/>
                <w:szCs w:val="24"/>
                <w:vertAlign w:val="baseline"/>
                <w:lang w:eastAsia="zh-CN"/>
              </w:rPr>
              <w:t>一级监管</w:t>
            </w:r>
          </w:p>
        </w:tc>
        <w:tc>
          <w:tcPr>
            <w:tcW w:w="639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120" w:line="360" w:lineRule="auto"/>
              <w:ind w:left="126" w:leftChars="60" w:firstLine="240" w:firstLineChars="100"/>
              <w:jc w:val="left"/>
              <w:textAlignment w:val="auto"/>
              <w:rPr>
                <w:rFonts w:hint="eastAsia" w:ascii="仿宋" w:hAnsi="仿宋" w:eastAsia="仿宋" w:cs="仿宋"/>
                <w:i w:val="0"/>
                <w:iCs w:val="0"/>
                <w:caps w:val="0"/>
                <w:color w:val="333333"/>
                <w:spacing w:val="0"/>
                <w:sz w:val="24"/>
                <w:szCs w:val="24"/>
                <w:shd w:val="clear" w:fill="FFFFFF"/>
                <w:lang w:eastAsia="zh-CN"/>
              </w:rPr>
            </w:pPr>
            <w:r>
              <w:rPr>
                <w:rFonts w:hint="eastAsia" w:ascii="仿宋" w:hAnsi="仿宋" w:eastAsia="仿宋" w:cs="仿宋"/>
                <w:i w:val="0"/>
                <w:iCs w:val="0"/>
                <w:caps w:val="0"/>
                <w:color w:val="333333"/>
                <w:spacing w:val="0"/>
                <w:sz w:val="24"/>
                <w:szCs w:val="24"/>
                <w:shd w:val="clear" w:fill="FFFFFF"/>
                <w:lang w:eastAsia="zh-CN"/>
              </w:rPr>
              <w:t>满足下列情形之一：</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340" w:leftChars="0"/>
              <w:jc w:val="left"/>
              <w:textAlignment w:val="auto"/>
              <w:rPr>
                <w:rFonts w:hint="eastAsia" w:ascii="仿宋" w:hAnsi="仿宋" w:eastAsia="仿宋" w:cs="仿宋"/>
                <w:i w:val="0"/>
                <w:iCs w:val="0"/>
                <w:caps w:val="0"/>
                <w:color w:val="333333"/>
                <w:spacing w:val="0"/>
                <w:sz w:val="24"/>
                <w:szCs w:val="24"/>
                <w:shd w:val="clear" w:fill="FFFFFF"/>
                <w:lang w:val="en-US" w:eastAsia="zh-CN"/>
              </w:rPr>
            </w:pPr>
            <w:r>
              <w:rPr>
                <w:rFonts w:hint="eastAsia" w:ascii="仿宋" w:hAnsi="仿宋" w:eastAsia="仿宋" w:cs="仿宋"/>
                <w:i w:val="0"/>
                <w:iCs w:val="0"/>
                <w:caps w:val="0"/>
                <w:color w:val="333333"/>
                <w:spacing w:val="0"/>
                <w:sz w:val="24"/>
                <w:szCs w:val="24"/>
                <w:shd w:val="clear" w:fill="FFFFFF"/>
                <w:lang w:val="en-US" w:eastAsia="zh-CN"/>
              </w:rPr>
              <w:t>1.</w:t>
            </w:r>
            <w:r>
              <w:rPr>
                <w:rFonts w:hint="eastAsia" w:ascii="仿宋" w:hAnsi="仿宋" w:eastAsia="仿宋" w:cs="仿宋"/>
                <w:i w:val="0"/>
                <w:iCs w:val="0"/>
                <w:caps w:val="0"/>
                <w:color w:val="333333"/>
                <w:spacing w:val="0"/>
                <w:sz w:val="24"/>
                <w:szCs w:val="24"/>
                <w:shd w:val="clear" w:fill="FFFFFF"/>
                <w:lang w:eastAsia="zh-CN"/>
              </w:rPr>
              <w:t>机构部分、伦理委员会和专业部分三个部分中任一部分累计记分均不满</w:t>
            </w:r>
            <w:r>
              <w:rPr>
                <w:rFonts w:hint="eastAsia" w:ascii="仿宋" w:hAnsi="仿宋" w:eastAsia="仿宋" w:cs="仿宋"/>
                <w:i w:val="0"/>
                <w:iCs w:val="0"/>
                <w:caps w:val="0"/>
                <w:color w:val="333333"/>
                <w:spacing w:val="0"/>
                <w:sz w:val="24"/>
                <w:szCs w:val="24"/>
                <w:shd w:val="clear" w:fill="FFFFFF"/>
                <w:lang w:val="en-US" w:eastAsia="zh-CN"/>
              </w:rPr>
              <w:t>5分的；</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340" w:leftChars="0"/>
              <w:jc w:val="left"/>
              <w:textAlignment w:val="auto"/>
              <w:rPr>
                <w:rFonts w:hint="default" w:ascii="仿宋" w:hAnsi="仿宋" w:eastAsia="仿宋" w:cs="仿宋"/>
                <w:i w:val="0"/>
                <w:iCs w:val="0"/>
                <w:caps w:val="0"/>
                <w:color w:val="333333"/>
                <w:spacing w:val="0"/>
                <w:sz w:val="24"/>
                <w:szCs w:val="24"/>
                <w:shd w:val="clear" w:fill="FFFFFF"/>
                <w:lang w:val="en-US" w:eastAsia="zh-CN"/>
              </w:rPr>
            </w:pPr>
            <w:r>
              <w:rPr>
                <w:rFonts w:hint="eastAsia" w:ascii="仿宋" w:hAnsi="仿宋" w:eastAsia="仿宋" w:cs="仿宋"/>
                <w:i w:val="0"/>
                <w:iCs w:val="0"/>
                <w:caps w:val="0"/>
                <w:color w:val="333333"/>
                <w:spacing w:val="0"/>
                <w:sz w:val="24"/>
                <w:szCs w:val="24"/>
                <w:shd w:val="clear" w:fill="FFFFFF"/>
                <w:lang w:val="en-US" w:eastAsia="zh-CN"/>
              </w:rPr>
              <w:t>2.</w:t>
            </w:r>
            <w:r>
              <w:rPr>
                <w:rFonts w:hint="eastAsia" w:ascii="仿宋" w:hAnsi="仿宋" w:eastAsia="仿宋" w:cs="仿宋"/>
                <w:i w:val="0"/>
                <w:iCs w:val="0"/>
                <w:caps w:val="0"/>
                <w:color w:val="333333"/>
                <w:spacing w:val="0"/>
                <w:sz w:val="24"/>
                <w:szCs w:val="24"/>
                <w:shd w:val="clear" w:fill="FFFFFF"/>
                <w:lang w:eastAsia="zh-CN"/>
              </w:rPr>
              <w:t>机构部分、伦理委员会和专业部分三个部分满足任一部分累计记分达到</w:t>
            </w:r>
            <w:r>
              <w:rPr>
                <w:rFonts w:hint="eastAsia" w:ascii="仿宋" w:hAnsi="仿宋" w:eastAsia="仿宋" w:cs="仿宋"/>
                <w:i w:val="0"/>
                <w:iCs w:val="0"/>
                <w:caps w:val="0"/>
                <w:color w:val="333333"/>
                <w:spacing w:val="0"/>
                <w:sz w:val="24"/>
                <w:szCs w:val="24"/>
                <w:shd w:val="clear" w:fill="FFFFFF"/>
                <w:lang w:val="en-US" w:eastAsia="zh-CN"/>
              </w:rPr>
              <w:t>5</w:t>
            </w:r>
            <w:r>
              <w:rPr>
                <w:rFonts w:hint="eastAsia" w:ascii="仿宋" w:hAnsi="仿宋" w:eastAsia="仿宋" w:cs="仿宋"/>
                <w:i w:val="0"/>
                <w:iCs w:val="0"/>
                <w:caps w:val="0"/>
                <w:color w:val="333333"/>
                <w:spacing w:val="0"/>
                <w:sz w:val="24"/>
                <w:szCs w:val="24"/>
                <w:shd w:val="clear" w:fill="FFFFFF"/>
                <w:lang w:eastAsia="zh-CN"/>
              </w:rPr>
              <w:t>分不满2</w:t>
            </w:r>
            <w:r>
              <w:rPr>
                <w:rFonts w:hint="eastAsia" w:ascii="仿宋" w:hAnsi="仿宋" w:eastAsia="仿宋" w:cs="仿宋"/>
                <w:i w:val="0"/>
                <w:iCs w:val="0"/>
                <w:caps w:val="0"/>
                <w:color w:val="333333"/>
                <w:spacing w:val="0"/>
                <w:sz w:val="24"/>
                <w:szCs w:val="24"/>
                <w:shd w:val="clear" w:fill="FFFFFF"/>
                <w:lang w:val="en-US" w:eastAsia="zh-CN"/>
              </w:rPr>
              <w:t>0</w:t>
            </w:r>
            <w:r>
              <w:rPr>
                <w:rFonts w:hint="eastAsia" w:ascii="仿宋" w:hAnsi="仿宋" w:eastAsia="仿宋" w:cs="仿宋"/>
                <w:i w:val="0"/>
                <w:iCs w:val="0"/>
                <w:caps w:val="0"/>
                <w:color w:val="333333"/>
                <w:spacing w:val="0"/>
                <w:sz w:val="24"/>
                <w:szCs w:val="24"/>
                <w:shd w:val="clear" w:fill="FFFFFF"/>
                <w:lang w:eastAsia="zh-CN"/>
              </w:rPr>
              <w:t>分的，其余两部分累计记分均不满</w:t>
            </w:r>
            <w:r>
              <w:rPr>
                <w:rFonts w:hint="eastAsia" w:ascii="仿宋" w:hAnsi="仿宋" w:eastAsia="仿宋" w:cs="仿宋"/>
                <w:i w:val="0"/>
                <w:iCs w:val="0"/>
                <w:caps w:val="0"/>
                <w:color w:val="333333"/>
                <w:spacing w:val="0"/>
                <w:sz w:val="24"/>
                <w:szCs w:val="24"/>
                <w:shd w:val="clear" w:fill="FFFFFF"/>
                <w:lang w:val="en-US" w:eastAsia="zh-CN"/>
              </w:rPr>
              <w:t>5分，</w:t>
            </w:r>
            <w:r>
              <w:rPr>
                <w:rFonts w:hint="eastAsia" w:ascii="仿宋" w:hAnsi="仿宋" w:eastAsia="仿宋" w:cs="仿宋"/>
                <w:i w:val="0"/>
                <w:iCs w:val="0"/>
                <w:caps w:val="0"/>
                <w:color w:val="333333"/>
                <w:spacing w:val="0"/>
                <w:sz w:val="24"/>
                <w:szCs w:val="24"/>
                <w:shd w:val="clear" w:fill="FFFFFF"/>
                <w:lang w:eastAsia="zh-CN"/>
              </w:rPr>
              <w:t>经综合研判；质量管理体系比较健全的。</w:t>
            </w:r>
          </w:p>
        </w:tc>
      </w:tr>
    </w:tbl>
    <w:p>
      <w:pPr>
        <w:pStyle w:val="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right="0" w:rightChars="0"/>
        <w:rPr>
          <w:rFonts w:hint="eastAsia" w:ascii="仿宋" w:hAnsi="仿宋" w:eastAsia="仿宋" w:cs="仿宋"/>
          <w:i w:val="0"/>
          <w:iCs w:val="0"/>
          <w:caps w:val="0"/>
          <w:color w:val="333333"/>
          <w:spacing w:val="0"/>
          <w:sz w:val="24"/>
          <w:szCs w:val="24"/>
          <w:shd w:val="clear" w:fill="FFFFFF"/>
        </w:rPr>
      </w:pPr>
    </w:p>
    <w:p>
      <w:pPr>
        <w:pStyle w:val="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right="0" w:rightChars="0"/>
        <w:rPr>
          <w:rFonts w:hint="default" w:ascii="Times New Roman" w:hAnsi="Times New Roman" w:eastAsia="仿宋_GB2312" w:cs="Times New Roman"/>
          <w:sz w:val="24"/>
          <w:szCs w:val="24"/>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ACF3C50" w:usb2="00000016" w:usb3="00000000" w:csb0="0004001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思源宋体">
    <w:panose1 w:val="02020400000000000000"/>
    <w:charset w:val="86"/>
    <w:family w:val="auto"/>
    <w:pitch w:val="default"/>
    <w:sig w:usb0="30000083" w:usb1="2BDF3C10" w:usb2="00000016" w:usb3="00000000" w:csb0="602E0107" w:csb1="00000000"/>
  </w:font>
  <w:font w:name="DejaVu Sans">
    <w:panose1 w:val="020B0603030804020204"/>
    <w:charset w:val="00"/>
    <w:family w:val="auto"/>
    <w:pitch w:val="default"/>
    <w:sig w:usb0="E7006EFF" w:usb1="D200FDFF" w:usb2="0A246029" w:usb3="0400200C" w:csb0="600001FF" w:csb1="D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B7B565B"/>
    <w:multiLevelType w:val="singleLevel"/>
    <w:tmpl w:val="6B7B565B"/>
    <w:lvl w:ilvl="0" w:tentative="0">
      <w:start w:val="1"/>
      <w:numFmt w:val="chineseCounting"/>
      <w:suff w:val="nothing"/>
      <w:lvlText w:val="%1、"/>
      <w:lvlJc w:val="left"/>
      <w:pPr>
        <w:ind w:left="480" w:leftChars="0" w:firstLine="0" w:firstLineChars="0"/>
      </w:pPr>
      <w:rPr>
        <w:rFonts w:hint="eastAsia"/>
      </w:rPr>
    </w:lvl>
  </w:abstractNum>
  <w:abstractNum w:abstractNumId="1">
    <w:nsid w:val="7A4C43F1"/>
    <w:multiLevelType w:val="singleLevel"/>
    <w:tmpl w:val="7A4C43F1"/>
    <w:lvl w:ilvl="0" w:tentative="0">
      <w:start w:val="1"/>
      <w:numFmt w:val="decimal"/>
      <w:lvlText w:val="%1."/>
      <w:lvlJc w:val="left"/>
      <w:pPr>
        <w:ind w:left="425" w:hanging="425"/>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7B71BC2"/>
    <w:rsid w:val="00D46B21"/>
    <w:rsid w:val="033003B6"/>
    <w:rsid w:val="05176743"/>
    <w:rsid w:val="07B71BC2"/>
    <w:rsid w:val="0CAA5073"/>
    <w:rsid w:val="0CD66DD1"/>
    <w:rsid w:val="0FEE5277"/>
    <w:rsid w:val="117160AC"/>
    <w:rsid w:val="13826402"/>
    <w:rsid w:val="14D96A5A"/>
    <w:rsid w:val="15774DC7"/>
    <w:rsid w:val="1752277D"/>
    <w:rsid w:val="193006AE"/>
    <w:rsid w:val="1A174E43"/>
    <w:rsid w:val="1B052DA7"/>
    <w:rsid w:val="1DF60CD6"/>
    <w:rsid w:val="1F291E28"/>
    <w:rsid w:val="263D2ECD"/>
    <w:rsid w:val="263F672A"/>
    <w:rsid w:val="290F208E"/>
    <w:rsid w:val="29673C78"/>
    <w:rsid w:val="29B80978"/>
    <w:rsid w:val="2B6A1B7D"/>
    <w:rsid w:val="2D320A41"/>
    <w:rsid w:val="2FDEB1F8"/>
    <w:rsid w:val="341B222F"/>
    <w:rsid w:val="3A5D4201"/>
    <w:rsid w:val="3E35FF36"/>
    <w:rsid w:val="3F160EE8"/>
    <w:rsid w:val="45610E61"/>
    <w:rsid w:val="49EF3AEA"/>
    <w:rsid w:val="4EAF1A9A"/>
    <w:rsid w:val="515E090B"/>
    <w:rsid w:val="542C1497"/>
    <w:rsid w:val="54D20290"/>
    <w:rsid w:val="57F3740E"/>
    <w:rsid w:val="5DEB5F1F"/>
    <w:rsid w:val="5EDE3869"/>
    <w:rsid w:val="5F406A3D"/>
    <w:rsid w:val="63BE035D"/>
    <w:rsid w:val="65336B29"/>
    <w:rsid w:val="698B40F7"/>
    <w:rsid w:val="6C1B3E73"/>
    <w:rsid w:val="6C1D7BEB"/>
    <w:rsid w:val="6D170ADE"/>
    <w:rsid w:val="70D0347E"/>
    <w:rsid w:val="739A7D73"/>
    <w:rsid w:val="769B61D5"/>
    <w:rsid w:val="78A0407E"/>
    <w:rsid w:val="79AF6FF1"/>
    <w:rsid w:val="79DE755A"/>
    <w:rsid w:val="7B454A69"/>
    <w:rsid w:val="7BAF7513"/>
    <w:rsid w:val="7BBFC201"/>
    <w:rsid w:val="7EE12CFA"/>
    <w:rsid w:val="8C5A8643"/>
    <w:rsid w:val="9DF7EB73"/>
    <w:rsid w:val="F93B32BF"/>
    <w:rsid w:val="FDB6D628"/>
    <w:rsid w:val="FEEFB4AE"/>
    <w:rsid w:val="FF582083"/>
    <w:rsid w:val="FFED9C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2086</Words>
  <Characters>2096</Characters>
  <Lines>0</Lines>
  <Paragraphs>0</Paragraphs>
  <TotalTime>80</TotalTime>
  <ScaleCrop>false</ScaleCrop>
  <LinksUpToDate>false</LinksUpToDate>
  <CharactersWithSpaces>2123</CharactersWithSpaces>
  <Application>WPS Office_12.8.2.1113_F1E327BC-269C-435d-A152-05C5408002CA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2024-12-24T08:19:00Z</dcterms:created>
  <dc:creator>舒也</dc:creator>
  <cp:lastModifiedBy>baixin</cp:lastModifiedBy>
  <dcterms:modified xsi:type="dcterms:W3CDTF">2025-05-06T09:58:17Z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2052-12.8.2.1113</vt:lpwstr>
  </property>
  <property fmtid="{D5CDD505-2E9C-101B-9397-08002B2CF9AE}" pid="3" name="ICV">
    <vt:lpwstr>56A6666E1185477489E6EB4287F5BEF4_13</vt:lpwstr>
  </property>
  <property fmtid="{D5CDD505-2E9C-101B-9397-08002B2CF9AE}" pid="4" name="KSOTemplateDocerSaveRecord">
    <vt:lpwstr>eyJoZGlkIjoiMDM1ZGY0MzIwMjQyNjk1OGI2YzQxM2I4OGFlMjEzN2IiLCJ1c2VySWQiOiIzNTQwNjY5MDIifQ==</vt:lpwstr>
  </property>
</Properties>
</file>