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1E" w:rsidRDefault="0035641E">
      <w:pPr>
        <w:spacing w:line="240" w:lineRule="exact"/>
        <w:rPr>
          <w:rFonts w:eastAsia="方正姚体"/>
          <w:color w:val="FF0000"/>
          <w:spacing w:val="-60"/>
          <w:sz w:val="24"/>
        </w:rPr>
      </w:pPr>
    </w:p>
    <w:p w:rsidR="0035641E" w:rsidRDefault="003429A2">
      <w:pPr>
        <w:widowControl/>
        <w:spacing w:line="560" w:lineRule="exact"/>
        <w:rPr>
          <w:rFonts w:ascii="黑体" w:eastAsia="黑体" w:hAnsi="黑体" w:cs="黑体"/>
          <w:sz w:val="32"/>
          <w:szCs w:val="32"/>
        </w:rPr>
      </w:pPr>
      <w:r>
        <w:rPr>
          <w:rFonts w:ascii="黑体" w:eastAsia="黑体" w:hAnsi="黑体" w:cs="黑体" w:hint="eastAsia"/>
          <w:sz w:val="32"/>
          <w:szCs w:val="32"/>
        </w:rPr>
        <w:t>附件2</w:t>
      </w:r>
    </w:p>
    <w:p w:rsidR="0035641E" w:rsidRDefault="0035641E">
      <w:pPr>
        <w:snapToGrid w:val="0"/>
        <w:spacing w:line="560" w:lineRule="exact"/>
        <w:jc w:val="center"/>
        <w:rPr>
          <w:rFonts w:eastAsia="方正小标宋简体"/>
          <w:sz w:val="44"/>
          <w:szCs w:val="44"/>
        </w:rPr>
      </w:pPr>
    </w:p>
    <w:p w:rsidR="0035641E" w:rsidRDefault="003429A2">
      <w:pPr>
        <w:snapToGrid w:val="0"/>
        <w:spacing w:line="560" w:lineRule="exact"/>
        <w:jc w:val="center"/>
        <w:rPr>
          <w:rFonts w:eastAsia="方正小标宋简体"/>
          <w:sz w:val="44"/>
          <w:szCs w:val="44"/>
        </w:rPr>
      </w:pPr>
      <w:r>
        <w:rPr>
          <w:rFonts w:eastAsia="方正小标宋简体" w:hint="eastAsia"/>
          <w:sz w:val="44"/>
          <w:szCs w:val="44"/>
        </w:rPr>
        <w:t>《化学仿制药参比制剂调整程序（试行）》</w:t>
      </w:r>
    </w:p>
    <w:p w:rsidR="0035641E" w:rsidRDefault="003429A2">
      <w:pPr>
        <w:snapToGrid w:val="0"/>
        <w:spacing w:line="560" w:lineRule="exact"/>
        <w:jc w:val="center"/>
        <w:rPr>
          <w:rFonts w:eastAsia="方正小标宋简体"/>
          <w:sz w:val="44"/>
          <w:szCs w:val="44"/>
        </w:rPr>
      </w:pPr>
      <w:r>
        <w:rPr>
          <w:rFonts w:eastAsia="方正小标宋简体" w:hint="eastAsia"/>
          <w:sz w:val="44"/>
          <w:szCs w:val="44"/>
        </w:rPr>
        <w:t>政策解读</w:t>
      </w:r>
    </w:p>
    <w:p w:rsidR="0035641E" w:rsidRDefault="0035641E">
      <w:pPr>
        <w:snapToGrid w:val="0"/>
        <w:spacing w:line="560" w:lineRule="exact"/>
        <w:jc w:val="center"/>
        <w:rPr>
          <w:rFonts w:eastAsia="方正小标宋简体"/>
          <w:sz w:val="44"/>
          <w:szCs w:val="44"/>
        </w:rPr>
      </w:pPr>
    </w:p>
    <w:p w:rsidR="0035641E" w:rsidRDefault="003429A2">
      <w:pPr>
        <w:spacing w:line="560" w:lineRule="exact"/>
        <w:ind w:firstLineChars="200" w:firstLine="640"/>
        <w:rPr>
          <w:rFonts w:eastAsia="黑体"/>
          <w:sz w:val="32"/>
          <w:szCs w:val="32"/>
        </w:rPr>
      </w:pPr>
      <w:r>
        <w:rPr>
          <w:rFonts w:eastAsia="黑体" w:hint="eastAsia"/>
          <w:sz w:val="32"/>
          <w:szCs w:val="32"/>
        </w:rPr>
        <w:t>一、制定《化学仿制药参比制剂调整程序》的目的是什么？</w:t>
      </w:r>
    </w:p>
    <w:p w:rsidR="0035641E" w:rsidRDefault="003429A2">
      <w:pPr>
        <w:spacing w:line="560" w:lineRule="exact"/>
        <w:ind w:firstLineChars="200" w:firstLine="640"/>
        <w:rPr>
          <w:rFonts w:eastAsia="仿宋_GB2312"/>
          <w:color w:val="000000"/>
          <w:sz w:val="32"/>
          <w:szCs w:val="32"/>
        </w:rPr>
      </w:pPr>
      <w:r>
        <w:rPr>
          <w:rFonts w:eastAsia="仿宋_GB2312" w:hint="eastAsia"/>
          <w:sz w:val="32"/>
          <w:szCs w:val="32"/>
        </w:rPr>
        <w:t>为促进我国仿制药高质量研发，</w:t>
      </w:r>
      <w:r>
        <w:rPr>
          <w:rFonts w:eastAsia="仿宋_GB2312" w:hint="eastAsia"/>
          <w:color w:val="000000"/>
          <w:sz w:val="32"/>
          <w:szCs w:val="32"/>
        </w:rPr>
        <w:t>国家药监局深化药品审评审批改革，</w:t>
      </w:r>
      <w:r>
        <w:rPr>
          <w:rFonts w:eastAsia="仿宋_GB2312" w:hint="eastAsia"/>
          <w:sz w:val="32"/>
          <w:szCs w:val="32"/>
        </w:rPr>
        <w:t>确立参比制剂在仿制药研究中的标杆作用，严格</w:t>
      </w:r>
      <w:r>
        <w:rPr>
          <w:rFonts w:eastAsia="仿宋_GB2312" w:hint="eastAsia"/>
          <w:color w:val="000000"/>
          <w:sz w:val="32"/>
          <w:szCs w:val="32"/>
        </w:rPr>
        <w:t>按照</w:t>
      </w:r>
      <w:r>
        <w:rPr>
          <w:rFonts w:eastAsia="仿宋_GB2312"/>
          <w:sz w:val="32"/>
          <w:szCs w:val="32"/>
        </w:rPr>
        <w:t>《关于发布化学仿制药参比制剂遴选与确定程序的公告》（</w:t>
      </w:r>
      <w:r>
        <w:rPr>
          <w:rFonts w:eastAsia="仿宋_GB2312"/>
          <w:sz w:val="32"/>
          <w:szCs w:val="32"/>
        </w:rPr>
        <w:t>2019</w:t>
      </w:r>
      <w:r>
        <w:rPr>
          <w:rFonts w:eastAsia="仿宋_GB2312"/>
          <w:sz w:val="32"/>
          <w:szCs w:val="32"/>
        </w:rPr>
        <w:t>年第</w:t>
      </w:r>
      <w:r>
        <w:rPr>
          <w:rFonts w:eastAsia="仿宋_GB2312"/>
          <w:sz w:val="32"/>
          <w:szCs w:val="32"/>
        </w:rPr>
        <w:t>25</w:t>
      </w:r>
      <w:r>
        <w:rPr>
          <w:rFonts w:eastAsia="仿宋_GB2312"/>
          <w:sz w:val="32"/>
          <w:szCs w:val="32"/>
        </w:rPr>
        <w:t>号）</w:t>
      </w:r>
      <w:r>
        <w:rPr>
          <w:rFonts w:eastAsia="仿宋_GB2312" w:hint="eastAsia"/>
          <w:sz w:val="32"/>
          <w:szCs w:val="32"/>
        </w:rPr>
        <w:t>要求遴选发布参比制剂。</w:t>
      </w:r>
      <w:r>
        <w:rPr>
          <w:rFonts w:eastAsia="仿宋_GB2312" w:hint="eastAsia"/>
          <w:color w:val="000000"/>
          <w:sz w:val="32"/>
          <w:szCs w:val="32"/>
        </w:rPr>
        <w:t>自</w:t>
      </w:r>
      <w:r>
        <w:rPr>
          <w:rFonts w:eastAsia="仿宋_GB2312"/>
          <w:color w:val="000000"/>
          <w:sz w:val="32"/>
          <w:szCs w:val="32"/>
        </w:rPr>
        <w:t>2016</w:t>
      </w:r>
      <w:r>
        <w:rPr>
          <w:rFonts w:eastAsia="仿宋_GB2312" w:hint="eastAsia"/>
          <w:color w:val="000000"/>
          <w:sz w:val="32"/>
          <w:szCs w:val="32"/>
        </w:rPr>
        <w:t>年启动参比制剂遴选工作以来，已发布参比制剂</w:t>
      </w:r>
      <w:bookmarkStart w:id="0" w:name="_GoBack"/>
      <w:bookmarkEnd w:id="0"/>
      <w:r w:rsidRPr="008105D4">
        <w:rPr>
          <w:rFonts w:eastAsia="仿宋_GB2312" w:hint="eastAsia"/>
          <w:sz w:val="32"/>
          <w:szCs w:val="32"/>
        </w:rPr>
        <w:t>6</w:t>
      </w:r>
      <w:r w:rsidRPr="008105D4">
        <w:rPr>
          <w:rFonts w:eastAsia="仿宋_GB2312"/>
          <w:sz w:val="32"/>
          <w:szCs w:val="32"/>
          <w:lang w:val="en"/>
        </w:rPr>
        <w:t>6</w:t>
      </w:r>
      <w:r>
        <w:rPr>
          <w:rFonts w:eastAsia="仿宋_GB2312" w:hint="eastAsia"/>
          <w:color w:val="000000"/>
          <w:sz w:val="32"/>
          <w:szCs w:val="32"/>
        </w:rPr>
        <w:t>批，共</w:t>
      </w:r>
      <w:r>
        <w:rPr>
          <w:rFonts w:eastAsia="仿宋_GB2312"/>
          <w:color w:val="000000"/>
          <w:sz w:val="32"/>
          <w:szCs w:val="32"/>
          <w:lang w:val="en"/>
        </w:rPr>
        <w:t>2408</w:t>
      </w:r>
      <w:r>
        <w:rPr>
          <w:rFonts w:eastAsia="仿宋_GB2312" w:hint="eastAsia"/>
          <w:color w:val="000000"/>
          <w:sz w:val="32"/>
          <w:szCs w:val="32"/>
        </w:rPr>
        <w:t>个品种，</w:t>
      </w:r>
      <w:r>
        <w:rPr>
          <w:rFonts w:eastAsia="仿宋_GB2312"/>
          <w:color w:val="000000"/>
          <w:sz w:val="32"/>
          <w:szCs w:val="32"/>
          <w:lang w:val="en"/>
        </w:rPr>
        <w:t>6174</w:t>
      </w:r>
      <w:r>
        <w:rPr>
          <w:rFonts w:eastAsia="仿宋_GB2312" w:hint="eastAsia"/>
          <w:color w:val="000000"/>
          <w:sz w:val="32"/>
          <w:szCs w:val="32"/>
        </w:rPr>
        <w:t>个品规，</w:t>
      </w:r>
      <w:r>
        <w:rPr>
          <w:rFonts w:eastAsia="仿宋_GB2312" w:hint="eastAsia"/>
          <w:sz w:val="32"/>
          <w:szCs w:val="32"/>
        </w:rPr>
        <w:t>为仿制药研发审评和仿制药质量和疗效一致性评价工作提供了有力支持。</w:t>
      </w:r>
    </w:p>
    <w:p w:rsidR="0035641E" w:rsidRDefault="003429A2">
      <w:pPr>
        <w:spacing w:line="560" w:lineRule="exact"/>
        <w:ind w:firstLineChars="200" w:firstLine="640"/>
        <w:rPr>
          <w:rFonts w:eastAsia="仿宋_GB2312"/>
          <w:color w:val="000000"/>
          <w:sz w:val="32"/>
          <w:szCs w:val="32"/>
        </w:rPr>
      </w:pPr>
      <w:r>
        <w:rPr>
          <w:rFonts w:eastAsia="仿宋_GB2312" w:hint="eastAsia"/>
          <w:color w:val="000000"/>
          <w:sz w:val="32"/>
          <w:szCs w:val="32"/>
        </w:rPr>
        <w:t>随着制药技术的不断发展进步，在药品审评过程中发现个别参比制剂已不符合现行《中国药典》或现行审评技术要求，不鼓励仿制，还有个别参比制剂因安全或有效性原因撤市。为</w:t>
      </w:r>
      <w:r>
        <w:rPr>
          <w:rFonts w:eastAsia="仿宋_GB2312" w:hint="eastAsia"/>
          <w:sz w:val="32"/>
          <w:szCs w:val="32"/>
        </w:rPr>
        <w:t>保障我国仿制药研发质量水平，</w:t>
      </w:r>
      <w:r>
        <w:rPr>
          <w:rFonts w:eastAsia="仿宋_GB2312" w:hint="eastAsia"/>
          <w:color w:val="000000"/>
          <w:sz w:val="32"/>
          <w:szCs w:val="32"/>
        </w:rPr>
        <w:t>有必要借鉴国际惯例，对</w:t>
      </w:r>
      <w:r>
        <w:rPr>
          <w:rFonts w:eastAsia="仿宋_GB2312" w:hint="eastAsia"/>
          <w:sz w:val="32"/>
          <w:szCs w:val="32"/>
        </w:rPr>
        <w:t>参比制剂目录实施动态管理，及时将不符合参比制剂要求的品种</w:t>
      </w:r>
      <w:r>
        <w:rPr>
          <w:rFonts w:eastAsia="仿宋_GB2312" w:hint="eastAsia"/>
          <w:color w:val="000000"/>
          <w:sz w:val="32"/>
          <w:szCs w:val="32"/>
        </w:rPr>
        <w:t>调出参比制剂目录</w:t>
      </w:r>
      <w:r>
        <w:rPr>
          <w:rFonts w:eastAsia="仿宋_GB2312" w:hint="eastAsia"/>
          <w:sz w:val="32"/>
          <w:szCs w:val="32"/>
        </w:rPr>
        <w:t>。为此，</w:t>
      </w:r>
      <w:r>
        <w:rPr>
          <w:rFonts w:eastAsia="仿宋_GB2312" w:hint="eastAsia"/>
          <w:color w:val="000000"/>
          <w:sz w:val="32"/>
          <w:szCs w:val="32"/>
        </w:rPr>
        <w:t>国家药监局根据《药品管理法》《药品注册管理办法》《化学仿制药参比制剂遴选与确定程序》，经过充分调研论证，广泛征求业界专家意见，研究制定了《化学仿制药参比制剂调整程序（试行）》，确保参比制剂调整工作科学规范。化学仿制药参</w:t>
      </w:r>
      <w:r>
        <w:rPr>
          <w:rFonts w:eastAsia="仿宋_GB2312" w:hint="eastAsia"/>
          <w:color w:val="000000"/>
          <w:sz w:val="32"/>
          <w:szCs w:val="32"/>
        </w:rPr>
        <w:lastRenderedPageBreak/>
        <w:t>比制剂调整程序中也</w:t>
      </w:r>
      <w:r>
        <w:rPr>
          <w:rFonts w:eastAsia="仿宋_GB2312" w:hint="eastAsia"/>
          <w:vanish/>
          <w:color w:val="000000"/>
          <w:sz w:val="32"/>
          <w:szCs w:val="32"/>
        </w:rPr>
        <w:t>明确了参比制剂调整的情形和提出路径，</w:t>
      </w:r>
      <w:r>
        <w:rPr>
          <w:rFonts w:eastAsia="仿宋_GB2312" w:hint="eastAsia"/>
          <w:color w:val="000000"/>
          <w:sz w:val="32"/>
          <w:szCs w:val="32"/>
        </w:rPr>
        <w:t>设置了公示及异议处理流程，让业界充分参与论证和审议，确保调整工作公开透明。</w:t>
      </w:r>
    </w:p>
    <w:p w:rsidR="0035641E" w:rsidRDefault="003429A2">
      <w:pPr>
        <w:spacing w:line="560" w:lineRule="exact"/>
        <w:ind w:firstLineChars="200" w:firstLine="640"/>
        <w:rPr>
          <w:rFonts w:eastAsia="黑体"/>
          <w:sz w:val="32"/>
          <w:szCs w:val="32"/>
        </w:rPr>
      </w:pPr>
      <w:r>
        <w:rPr>
          <w:rFonts w:eastAsia="黑体" w:hint="eastAsia"/>
          <w:sz w:val="32"/>
          <w:szCs w:val="32"/>
        </w:rPr>
        <w:t>二、调整情形（一）适用于什么样的情形？</w:t>
      </w:r>
    </w:p>
    <w:p w:rsidR="0035641E" w:rsidRDefault="003429A2">
      <w:pPr>
        <w:spacing w:line="560" w:lineRule="exact"/>
        <w:ind w:firstLineChars="200" w:firstLine="640"/>
        <w:rPr>
          <w:rFonts w:eastAsia="仿宋_GB2312"/>
          <w:sz w:val="32"/>
          <w:szCs w:val="32"/>
        </w:rPr>
      </w:pPr>
      <w:r>
        <w:rPr>
          <w:rFonts w:eastAsia="仿宋_GB2312" w:hint="eastAsia"/>
          <w:sz w:val="32"/>
          <w:szCs w:val="32"/>
        </w:rPr>
        <w:t>《仿制药参比制剂目录》收载的参比制剂，因安全或有效性原因经我国药品监管部门评估撤市的，参比制剂目录中本品所有参比制剂应予调出。如参比制剂来源于国外，参比制剂来源国因安全或有效性原因，将列为参比制剂的品种撤市的，按照本程序，经充分评估认为风险大于获益的，参比制剂目录中相应品种应予调出。</w:t>
      </w:r>
    </w:p>
    <w:p w:rsidR="0035641E" w:rsidRDefault="003429A2">
      <w:pPr>
        <w:spacing w:line="560" w:lineRule="exact"/>
        <w:ind w:firstLineChars="200" w:firstLine="640"/>
        <w:rPr>
          <w:rFonts w:eastAsia="黑体"/>
          <w:sz w:val="32"/>
          <w:szCs w:val="32"/>
        </w:rPr>
      </w:pPr>
      <w:r>
        <w:rPr>
          <w:rFonts w:eastAsia="黑体" w:hint="eastAsia"/>
          <w:sz w:val="32"/>
          <w:szCs w:val="32"/>
        </w:rPr>
        <w:t>三、因非安全或有效性原因撤市的药品，参比制剂是否调整？</w:t>
      </w:r>
    </w:p>
    <w:p w:rsidR="0035641E" w:rsidRDefault="003429A2">
      <w:pPr>
        <w:spacing w:line="560" w:lineRule="exact"/>
        <w:ind w:firstLineChars="200" w:firstLine="640"/>
        <w:rPr>
          <w:rFonts w:eastAsia="仿宋_GB2312"/>
          <w:sz w:val="32"/>
          <w:szCs w:val="32"/>
        </w:rPr>
      </w:pPr>
      <w:r>
        <w:rPr>
          <w:rFonts w:eastAsia="仿宋_GB2312" w:hint="eastAsia"/>
          <w:sz w:val="32"/>
          <w:szCs w:val="32"/>
        </w:rPr>
        <w:t>被遴选为参比制剂的药品，在参比制剂来源国因非安全或有效性原因撤市的，参比制剂目录中参比制剂不做调整。</w:t>
      </w:r>
    </w:p>
    <w:p w:rsidR="0035641E" w:rsidRDefault="003429A2">
      <w:pPr>
        <w:spacing w:line="560" w:lineRule="exact"/>
        <w:ind w:firstLineChars="200" w:firstLine="640"/>
        <w:rPr>
          <w:rFonts w:eastAsia="黑体"/>
          <w:sz w:val="32"/>
          <w:szCs w:val="32"/>
        </w:rPr>
      </w:pPr>
      <w:r>
        <w:rPr>
          <w:rFonts w:eastAsia="黑体" w:hint="eastAsia"/>
          <w:sz w:val="32"/>
          <w:szCs w:val="32"/>
        </w:rPr>
        <w:t>四、调整情形（二）适用于什么样的情形？</w:t>
      </w:r>
    </w:p>
    <w:p w:rsidR="0035641E" w:rsidRDefault="003429A2">
      <w:pPr>
        <w:spacing w:line="560" w:lineRule="exact"/>
        <w:ind w:firstLineChars="200" w:firstLine="640"/>
        <w:rPr>
          <w:rFonts w:eastAsia="仿宋_GB2312"/>
          <w:spacing w:val="6"/>
          <w:sz w:val="32"/>
          <w:szCs w:val="32"/>
        </w:rPr>
      </w:pPr>
      <w:r>
        <w:rPr>
          <w:rFonts w:eastAsia="仿宋_GB2312" w:hint="eastAsia"/>
          <w:sz w:val="32"/>
          <w:szCs w:val="32"/>
        </w:rPr>
        <w:t>现行《</w:t>
      </w:r>
      <w:r>
        <w:rPr>
          <w:rFonts w:eastAsia="仿宋_GB2312" w:hint="eastAsia"/>
          <w:spacing w:val="6"/>
          <w:sz w:val="32"/>
          <w:szCs w:val="32"/>
        </w:rPr>
        <w:t>中国药典》或审评技术要求随着科学技术进步，在不断优化改进。目前国内外上市的部分药品，经过技术改进仍无法符合现行《中国药典》或审评技术要求，经评估不鼓励仿制。例如：已有符合终端灭菌工艺要求上市的注射剂，对于采用非终端灭菌工艺生产的相同活性成分的注射剂不鼓励仿制等。</w:t>
      </w:r>
    </w:p>
    <w:p w:rsidR="0035641E" w:rsidRDefault="003429A2">
      <w:pPr>
        <w:numPr>
          <w:ilvl w:val="0"/>
          <w:numId w:val="1"/>
        </w:numPr>
        <w:spacing w:line="560" w:lineRule="exact"/>
        <w:ind w:firstLineChars="200" w:firstLine="640"/>
        <w:rPr>
          <w:rFonts w:eastAsia="黑体"/>
          <w:sz w:val="32"/>
          <w:szCs w:val="32"/>
        </w:rPr>
      </w:pPr>
      <w:r>
        <w:rPr>
          <w:rFonts w:eastAsia="黑体" w:hint="eastAsia"/>
          <w:sz w:val="32"/>
          <w:szCs w:val="32"/>
        </w:rPr>
        <w:t>调整情形（三）适用于什么样的情形？</w:t>
      </w:r>
    </w:p>
    <w:p w:rsidR="0035641E" w:rsidRDefault="003429A2">
      <w:pPr>
        <w:spacing w:line="560" w:lineRule="exact"/>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调整情形（一）（二）以外，按照本程序评估认为不再符合参比制剂遴选原则的情形。</w:t>
      </w:r>
    </w:p>
    <w:p w:rsidR="0035641E" w:rsidRDefault="003429A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六、参比制剂调出目录后，其他在审和已上市化学仿制药同</w:t>
      </w:r>
      <w:r>
        <w:rPr>
          <w:rFonts w:ascii="黑体" w:eastAsia="黑体" w:hAnsi="黑体" w:cs="黑体" w:hint="eastAsia"/>
          <w:sz w:val="32"/>
          <w:szCs w:val="32"/>
        </w:rPr>
        <w:lastRenderedPageBreak/>
        <w:t>品种如何处理？</w:t>
      </w:r>
    </w:p>
    <w:p w:rsidR="0035641E" w:rsidRDefault="003429A2">
      <w:pPr>
        <w:spacing w:line="560" w:lineRule="exact"/>
        <w:ind w:firstLineChars="200" w:firstLine="640"/>
        <w:rPr>
          <w:rFonts w:eastAsia="仿宋_GB2312"/>
          <w:sz w:val="32"/>
          <w:szCs w:val="32"/>
        </w:rPr>
      </w:pPr>
      <w:r>
        <w:rPr>
          <w:rFonts w:eastAsia="仿宋_GB2312" w:hint="eastAsia"/>
          <w:sz w:val="32"/>
          <w:szCs w:val="32"/>
        </w:rPr>
        <w:t>按照本程序调出参比制剂目录的品种，自参比制剂调整公告发布之日起不再作为参比制剂。</w:t>
      </w:r>
    </w:p>
    <w:p w:rsidR="0035641E" w:rsidRDefault="003429A2">
      <w:pPr>
        <w:spacing w:line="560" w:lineRule="exact"/>
        <w:ind w:firstLineChars="200" w:firstLine="640"/>
        <w:rPr>
          <w:rFonts w:eastAsia="仿宋_GB2312"/>
          <w:sz w:val="32"/>
          <w:szCs w:val="32"/>
        </w:rPr>
      </w:pPr>
      <w:r>
        <w:rPr>
          <w:rFonts w:eastAsia="仿宋_GB2312" w:hint="eastAsia"/>
          <w:sz w:val="32"/>
          <w:szCs w:val="32"/>
        </w:rPr>
        <w:t>属于情形一的品种，在审的仿制药上市申请和仿制药质量和疗效一致性评价申请不予批准，已上市药品按照《药品管理法》《药品管理法实施条例》有关规定办理。</w:t>
      </w:r>
    </w:p>
    <w:p w:rsidR="0035641E" w:rsidRDefault="003429A2">
      <w:pPr>
        <w:spacing w:line="560" w:lineRule="exact"/>
        <w:ind w:firstLineChars="200" w:firstLine="640"/>
        <w:rPr>
          <w:rFonts w:eastAsia="仿宋_GB2312"/>
          <w:sz w:val="32"/>
          <w:szCs w:val="32"/>
        </w:rPr>
      </w:pPr>
      <w:r>
        <w:rPr>
          <w:rFonts w:eastAsia="仿宋_GB2312" w:hint="eastAsia"/>
          <w:sz w:val="32"/>
          <w:szCs w:val="32"/>
        </w:rPr>
        <w:t>属于情形二、三的品种，在审仿制药上市申请批准后，</w:t>
      </w:r>
      <w:r>
        <w:rPr>
          <w:rFonts w:eastAsia="仿宋_GB2312"/>
          <w:sz w:val="32"/>
          <w:szCs w:val="32"/>
        </w:rPr>
        <w:t>不纳入《上市药品目录集》；</w:t>
      </w:r>
      <w:r>
        <w:rPr>
          <w:rFonts w:eastAsia="仿宋_GB2312" w:hint="eastAsia"/>
          <w:sz w:val="32"/>
          <w:szCs w:val="32"/>
        </w:rPr>
        <w:t>在审仿制药质量和疗效一致性评价申请按照上市后变更</w:t>
      </w:r>
      <w:r>
        <w:rPr>
          <w:rFonts w:eastAsia="仿宋_GB2312"/>
          <w:sz w:val="32"/>
          <w:szCs w:val="32"/>
        </w:rPr>
        <w:t>补充申请</w:t>
      </w:r>
      <w:r>
        <w:rPr>
          <w:rFonts w:eastAsia="仿宋_GB2312" w:hint="eastAsia"/>
          <w:sz w:val="32"/>
          <w:szCs w:val="32"/>
        </w:rPr>
        <w:t>审评，</w:t>
      </w:r>
      <w:r>
        <w:rPr>
          <w:rFonts w:eastAsia="仿宋_GB2312"/>
          <w:sz w:val="32"/>
          <w:szCs w:val="32"/>
        </w:rPr>
        <w:t>批准后不适用一致性评价有关政策</w:t>
      </w:r>
      <w:r>
        <w:rPr>
          <w:rFonts w:eastAsia="仿宋_GB2312" w:hint="eastAsia"/>
          <w:sz w:val="32"/>
          <w:szCs w:val="32"/>
        </w:rPr>
        <w:t>；已批准上市或通过仿制药质量和疗效一致性评价的仿制药品，同步调出《上市药品目录集》，说明书、标签不再使用通过一致性评价标识，药品上市许可持有人应于参比制剂目录调整公告发布之日起</w:t>
      </w:r>
      <w:r>
        <w:rPr>
          <w:rFonts w:eastAsia="仿宋_GB2312"/>
          <w:sz w:val="32"/>
          <w:szCs w:val="32"/>
          <w:lang w:val="en"/>
        </w:rPr>
        <w:t>3</w:t>
      </w:r>
      <w:r>
        <w:rPr>
          <w:rFonts w:eastAsia="仿宋_GB2312" w:hint="eastAsia"/>
          <w:sz w:val="32"/>
          <w:szCs w:val="32"/>
        </w:rPr>
        <w:t>个月内按照《药品上市后变更管理办法（试行）》有关规定，提出说明书、标签修订备案。</w:t>
      </w:r>
    </w:p>
    <w:p w:rsidR="0035641E" w:rsidRDefault="0035641E">
      <w:pPr>
        <w:spacing w:line="600" w:lineRule="exact"/>
        <w:ind w:firstLineChars="200" w:firstLine="640"/>
        <w:rPr>
          <w:rFonts w:eastAsia="仿宋_GB2312"/>
          <w:sz w:val="32"/>
          <w:szCs w:val="32"/>
        </w:rPr>
      </w:pPr>
    </w:p>
    <w:p w:rsidR="0035641E" w:rsidRDefault="0035641E">
      <w:pPr>
        <w:spacing w:line="600" w:lineRule="exact"/>
        <w:ind w:firstLineChars="200" w:firstLine="640"/>
        <w:rPr>
          <w:rFonts w:eastAsia="仿宋_GB2312"/>
          <w:sz w:val="32"/>
          <w:szCs w:val="32"/>
        </w:rPr>
      </w:pPr>
    </w:p>
    <w:p w:rsidR="003429A2" w:rsidRPr="00A93CF6" w:rsidRDefault="003429A2">
      <w:pPr>
        <w:spacing w:line="600" w:lineRule="exact"/>
        <w:ind w:firstLineChars="200" w:firstLine="640"/>
        <w:rPr>
          <w:rFonts w:eastAsia="仿宋_GB2312"/>
          <w:sz w:val="32"/>
          <w:szCs w:val="32"/>
        </w:rPr>
      </w:pPr>
    </w:p>
    <w:sectPr w:rsidR="003429A2" w:rsidRPr="00A93CF6">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D96" w:rsidRDefault="00674D96">
      <w:r>
        <w:separator/>
      </w:r>
    </w:p>
  </w:endnote>
  <w:endnote w:type="continuationSeparator" w:id="0">
    <w:p w:rsidR="00674D96" w:rsidRDefault="0067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41E" w:rsidRDefault="00A93CF6">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35641E" w:rsidRDefault="003429A2">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105D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35641E" w:rsidRDefault="003429A2">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8105D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D96" w:rsidRDefault="00674D96">
      <w:r>
        <w:separator/>
      </w:r>
    </w:p>
  </w:footnote>
  <w:footnote w:type="continuationSeparator" w:id="0">
    <w:p w:rsidR="00674D96" w:rsidRDefault="00674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F953F"/>
    <w:multiLevelType w:val="singleLevel"/>
    <w:tmpl w:val="DF7F953F"/>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91FED5A"/>
    <w:rsid w:val="996DD8AA"/>
    <w:rsid w:val="9DAE6CE1"/>
    <w:rsid w:val="9F9DB1A8"/>
    <w:rsid w:val="CBBCA0E1"/>
    <w:rsid w:val="CD5D489B"/>
    <w:rsid w:val="CF6B0887"/>
    <w:rsid w:val="CFDFD05B"/>
    <w:rsid w:val="CFF9200A"/>
    <w:rsid w:val="D7B72D0D"/>
    <w:rsid w:val="D7F20AE9"/>
    <w:rsid w:val="D7FF0E22"/>
    <w:rsid w:val="DFE7A1FE"/>
    <w:rsid w:val="DFEFABFA"/>
    <w:rsid w:val="E29EB148"/>
    <w:rsid w:val="EEDF7E82"/>
    <w:rsid w:val="F3EFFC9C"/>
    <w:rsid w:val="F3FB10B8"/>
    <w:rsid w:val="F67EF2DF"/>
    <w:rsid w:val="F71F4902"/>
    <w:rsid w:val="F76B4C82"/>
    <w:rsid w:val="FBFB2CF0"/>
    <w:rsid w:val="FBFF9890"/>
    <w:rsid w:val="FD7F25FD"/>
    <w:rsid w:val="FDE7EC50"/>
    <w:rsid w:val="FDF68A5D"/>
    <w:rsid w:val="FDFD7FAE"/>
    <w:rsid w:val="FDFE3120"/>
    <w:rsid w:val="FF47115C"/>
    <w:rsid w:val="FFBA5ACB"/>
    <w:rsid w:val="FFBC1D27"/>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429A2"/>
    <w:rsid w:val="0035031B"/>
    <w:rsid w:val="00351116"/>
    <w:rsid w:val="00352FFE"/>
    <w:rsid w:val="0035641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74D96"/>
    <w:rsid w:val="00690209"/>
    <w:rsid w:val="006D3D5E"/>
    <w:rsid w:val="006E0E17"/>
    <w:rsid w:val="00727597"/>
    <w:rsid w:val="00735046"/>
    <w:rsid w:val="00766F07"/>
    <w:rsid w:val="007B409A"/>
    <w:rsid w:val="007C72C1"/>
    <w:rsid w:val="007E3EB2"/>
    <w:rsid w:val="007F6C62"/>
    <w:rsid w:val="00802B33"/>
    <w:rsid w:val="008044C1"/>
    <w:rsid w:val="0080591C"/>
    <w:rsid w:val="008105D4"/>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93CF6"/>
    <w:rsid w:val="00AA30FC"/>
    <w:rsid w:val="00AC2D33"/>
    <w:rsid w:val="00B11072"/>
    <w:rsid w:val="00B16FFF"/>
    <w:rsid w:val="00B25838"/>
    <w:rsid w:val="00B64617"/>
    <w:rsid w:val="00B84EF7"/>
    <w:rsid w:val="00BA00D5"/>
    <w:rsid w:val="00BA1FC7"/>
    <w:rsid w:val="00BE16F8"/>
    <w:rsid w:val="00BE6970"/>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2A8D465A"/>
    <w:rsid w:val="3BFE1C30"/>
    <w:rsid w:val="3E7E23B3"/>
    <w:rsid w:val="3FFB5C23"/>
    <w:rsid w:val="43E2636A"/>
    <w:rsid w:val="4C1A048F"/>
    <w:rsid w:val="591D3208"/>
    <w:rsid w:val="5ABFD470"/>
    <w:rsid w:val="5D5B0805"/>
    <w:rsid w:val="5D9FC9D2"/>
    <w:rsid w:val="5F297A5F"/>
    <w:rsid w:val="63E446CD"/>
    <w:rsid w:val="64FC4DC5"/>
    <w:rsid w:val="6B5AA501"/>
    <w:rsid w:val="6FEFC68E"/>
    <w:rsid w:val="6FFB253C"/>
    <w:rsid w:val="71CDACF0"/>
    <w:rsid w:val="76FEB812"/>
    <w:rsid w:val="773FF6BA"/>
    <w:rsid w:val="7AF5C762"/>
    <w:rsid w:val="7B5DB482"/>
    <w:rsid w:val="7ED62E8A"/>
    <w:rsid w:val="7F1D147C"/>
    <w:rsid w:val="7F8F6AC3"/>
    <w:rsid w:val="7FF3D8D4"/>
    <w:rsid w:val="7FFA6F5B"/>
    <w:rsid w:val="7FFFF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713B96-CF96-45F4-B23B-4C94DFF9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paragraph" w:styleId="a7">
    <w:name w:val="Normal (Web)"/>
    <w:basedOn w:val="a"/>
    <w:uiPriority w:val="99"/>
    <w:unhideWhenUsed/>
    <w:qFormat/>
    <w:rPr>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205</Words>
  <Characters>1170</Characters>
  <Application>Microsoft Office Word</Application>
  <DocSecurity>0</DocSecurity>
  <Lines>9</Lines>
  <Paragraphs>2</Paragraphs>
  <ScaleCrop>false</ScaleCrop>
  <Company>Xtzj.Com</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2023-03-24T22:29:00Z</cp:lastPrinted>
  <dcterms:created xsi:type="dcterms:W3CDTF">2023-03-24T08:43:00Z</dcterms:created>
  <dcterms:modified xsi:type="dcterms:W3CDTF">2023-03-24T08:43:00Z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