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甘肃省医疗器械网络销售重点监测产品目录（第一批）</w:t>
      </w:r>
    </w:p>
    <w:tbl>
      <w:tblPr>
        <w:tblStyle w:val="6"/>
        <w:tblW w:w="10095" w:type="dxa"/>
        <w:jc w:val="center"/>
        <w:tblInd w:w="-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30"/>
        <w:gridCol w:w="2280"/>
        <w:gridCol w:w="7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产品类别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主要风险关注点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医疗美容用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医疗器械</w:t>
            </w:r>
          </w:p>
        </w:tc>
        <w:tc>
          <w:tcPr>
            <w:tcW w:w="7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注射用透明质酸钠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凝胶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、注射用透明质酸钠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溶液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、面部埋植线、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超声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治疗仪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激光治疗仪（用于脱毛、祛斑等）| 未取得注册证/备案凭证、假冒伪劣、超范围使用、使用未经培训人员操作、虚假夸大宣传疗效、从非法渠道购进等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凝胶、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贴敷类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医疗器械</w:t>
            </w:r>
          </w:p>
        </w:tc>
        <w:tc>
          <w:tcPr>
            <w:tcW w:w="7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如医用退热凝胶、导光凝胶、医用冷敷贴、胶原蛋白敷料、抗鼻腔过敏凝胶及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宣称具有治疗作用的穴位压力刺激贴、远红外贴、磁疗贴等 | 产品未经注册备案、夸大宣传适应症和功效、混淆药品与医疗器械概念等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眼科医疗器械（含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角膜接触镜（隐形眼镜）及其护理产品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如近视控制、弱视治疗类医院器械，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软性角膜接触镜（含彩色平光隐形眼镜）、硬性角膜接触镜（RGP）、角膜塑形镜（OK镜）及护理液、清洗液等 | 无证经营、销售未注册产品、混淆医疗器械与非医疗器械概念（如将美瞳宣传为化妆品）、误导消费者、未按要求储存运输、不提供专业验配服务等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口腔科医疗器械</w:t>
            </w:r>
          </w:p>
        </w:tc>
        <w:tc>
          <w:tcPr>
            <w:tcW w:w="7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如复合树脂填充材料、水门汀类材料、牙用螺纹钉等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|无证经营、超范围销售、证照信息不真实、产品无证/套证等。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体外诊断试剂</w:t>
            </w:r>
          </w:p>
        </w:tc>
        <w:tc>
          <w:tcPr>
            <w:tcW w:w="7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甲型流感病毒、乙型流感病毒、支原体、新型冠状病毒、呼吸道合胞病毒、人类免疫缺陷病毒（HIV）检测试剂等|无证经营/超范围销售、注册证失效或套证、混淆产品类别、虚假宣传与误导风险（高发违规）、非法流通与追溯风险（责任缺位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有特殊验配要求的医疗器械</w:t>
            </w:r>
          </w:p>
        </w:tc>
        <w:tc>
          <w:tcPr>
            <w:tcW w:w="7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助听器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|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无证销售、超范围经营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、混淆产品属性、远程验配失真、夸大功效、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虚假宣传与消费欺诈风险（高发区）等。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其他高风险、高关注度产品 </w:t>
            </w:r>
          </w:p>
        </w:tc>
        <w:tc>
          <w:tcPr>
            <w:tcW w:w="7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根据国家局要求及甘肃省监管实际动态补充（如部分植入器械、定制式义齿、需冷链管理的体外诊断试剂等）| 无证经营、销售未注册产品、储运条件不合规、虚假宣传等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注：1.本目录将根据国家药监局最新要求、医疗器械产业发展状况、风险测评估结果及监管实践进行动态调整和更新。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2.各级监管部门在监测处置工作中，除目录所列产品外，也应高度关注其他在网络上销售活跃、投诉举报集中、存在潜在风险的医疗器械产品。</w:t>
      </w:r>
    </w:p>
    <w:sectPr>
      <w:footerReference r:id="rId3" w:type="default"/>
      <w:pgSz w:w="11906" w:h="16838"/>
      <w:pgMar w:top="1417" w:right="1587" w:bottom="132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F2001"/>
    <w:rsid w:val="46C73D0A"/>
    <w:rsid w:val="5D7F2001"/>
    <w:rsid w:val="7CFF1513"/>
    <w:rsid w:val="EDFF86C7"/>
    <w:rsid w:val="F90BE015"/>
    <w:rsid w:val="FEDD7B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8.33333333333333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2025-06-26T18:21:00Z</dcterms:created>
  <dc:creator>user</dc:creator>
  <cp:lastModifiedBy>杨巧能</cp:lastModifiedBy>
  <cp:lastPrinted>2025-06-26T21:09:47Z</cp:lastPrinted>
  <dcterms:modified xsi:type="dcterms:W3CDTF">2025-07-01T07:06:20Z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