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8C58A">
      <w:pPr>
        <w:pStyle w:val="3"/>
        <w:keepNext w:val="0"/>
        <w:keepLines w:val="0"/>
        <w:pageBreakBefore w:val="0"/>
        <w:kinsoku/>
        <w:overflowPunct/>
        <w:topLinePunct w:val="0"/>
        <w:autoSpaceDE/>
        <w:autoSpaceDN/>
        <w:bidi w:val="0"/>
        <w:adjustRightInd/>
        <w:snapToGrid/>
        <w:spacing w:after="0" w:line="560" w:lineRule="exact"/>
        <w:textAlignment w:val="auto"/>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附件</w:t>
      </w:r>
    </w:p>
    <w:p w14:paraId="31E2A1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p>
    <w:p w14:paraId="07104F82">
      <w:pPr>
        <w:pStyle w:val="3"/>
        <w:keepNext w:val="0"/>
        <w:keepLines w:val="0"/>
        <w:pageBreakBefore w:val="0"/>
        <w:widowControl/>
        <w:kinsoku/>
        <w:wordWrap/>
        <w:overflowPunct/>
        <w:topLinePunct w:val="0"/>
        <w:autoSpaceDE/>
        <w:autoSpaceDN/>
        <w:bidi w:val="0"/>
        <w:adjustRightInd w:val="0"/>
        <w:snapToGrid w:val="0"/>
        <w:spacing w:beforeLines="0" w:afterLines="0" w:line="580" w:lineRule="exact"/>
        <w:jc w:val="center"/>
        <w:textAlignment w:val="baseline"/>
        <w:rPr>
          <w:rFonts w:hint="eastAsia" w:ascii="Times New Roman" w:hAnsi="Times New Roman" w:eastAsia="方正小标宋简体" w:cs="方正小标宋简体"/>
          <w:snapToGrid/>
          <w:color w:val="auto"/>
          <w:kern w:val="0"/>
          <w:sz w:val="44"/>
          <w:szCs w:val="44"/>
          <w:lang w:val="en-US" w:eastAsia="zh-CN" w:bidi="ar"/>
        </w:rPr>
      </w:pPr>
      <w:r>
        <w:rPr>
          <w:rFonts w:hint="eastAsia" w:ascii="Times New Roman" w:hAnsi="Times New Roman" w:eastAsia="方正小标宋简体" w:cs="方正小标宋简体"/>
          <w:snapToGrid/>
          <w:color w:val="auto"/>
          <w:kern w:val="0"/>
          <w:sz w:val="44"/>
          <w:szCs w:val="44"/>
          <w:lang w:val="en-US" w:eastAsia="zh-CN" w:bidi="ar"/>
        </w:rPr>
        <w:t>自治区医保局 自治区财政厅 广西金融监管局关于进一步完善城乡居民大病保险</w:t>
      </w:r>
    </w:p>
    <w:p w14:paraId="1BB2E6E7">
      <w:pPr>
        <w:pStyle w:val="3"/>
        <w:keepNext w:val="0"/>
        <w:keepLines w:val="0"/>
        <w:pageBreakBefore w:val="0"/>
        <w:widowControl/>
        <w:kinsoku/>
        <w:wordWrap/>
        <w:overflowPunct/>
        <w:topLinePunct w:val="0"/>
        <w:autoSpaceDE/>
        <w:autoSpaceDN/>
        <w:bidi w:val="0"/>
        <w:adjustRightInd w:val="0"/>
        <w:snapToGrid w:val="0"/>
        <w:spacing w:beforeLines="0" w:afterLines="0" w:line="580" w:lineRule="exact"/>
        <w:jc w:val="center"/>
        <w:textAlignment w:val="baseline"/>
        <w:rPr>
          <w:rFonts w:hint="eastAsia" w:ascii="Times New Roman" w:hAnsi="Times New Roman" w:eastAsia="方正小标宋简体" w:cs="方正小标宋简体"/>
          <w:snapToGrid/>
          <w:color w:val="auto"/>
          <w:kern w:val="0"/>
          <w:sz w:val="44"/>
          <w:szCs w:val="44"/>
          <w:lang w:val="en-US" w:eastAsia="zh-CN" w:bidi="ar"/>
        </w:rPr>
      </w:pPr>
      <w:r>
        <w:rPr>
          <w:rFonts w:hint="eastAsia" w:ascii="Times New Roman" w:hAnsi="Times New Roman" w:eastAsia="方正小标宋简体" w:cs="方正小标宋简体"/>
          <w:snapToGrid/>
          <w:color w:val="auto"/>
          <w:kern w:val="0"/>
          <w:sz w:val="44"/>
          <w:szCs w:val="44"/>
          <w:lang w:val="en-US" w:eastAsia="zh-CN" w:bidi="ar"/>
        </w:rPr>
        <w:t>制度的通知（征求意见稿）</w:t>
      </w:r>
    </w:p>
    <w:p w14:paraId="0BA7DC58">
      <w:pPr>
        <w:keepNext w:val="0"/>
        <w:keepLines w:val="0"/>
        <w:pageBreakBefore w:val="0"/>
        <w:widowControl/>
        <w:kinsoku/>
        <w:wordWrap/>
        <w:overflowPunct/>
        <w:topLinePunct w:val="0"/>
        <w:autoSpaceDE/>
        <w:autoSpaceDN/>
        <w:bidi w:val="0"/>
        <w:adjustRightInd/>
        <w:snapToGrid/>
        <w:spacing w:beforeLines="0" w:afterLines="0" w:line="560" w:lineRule="exact"/>
        <w:jc w:val="center"/>
        <w:textAlignment w:val="auto"/>
        <w:rPr>
          <w:rFonts w:hint="eastAsia" w:ascii="Times New Roman" w:hAnsi="Times New Roman" w:eastAsia="仿宋_GB2312" w:cs="Times New Roman"/>
          <w:b w:val="0"/>
          <w:bCs w:val="0"/>
          <w:color w:val="auto"/>
          <w:sz w:val="32"/>
          <w:szCs w:val="32"/>
          <w:highlight w:val="none"/>
          <w:lang w:val="en-US" w:eastAsia="zh-CN"/>
        </w:rPr>
      </w:pPr>
    </w:p>
    <w:p w14:paraId="6ABA8B41">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Times New Roman" w:hAnsi="Times New Roman" w:eastAsia="仿宋_GB2312" w:cs="Times New Roman"/>
          <w:snapToGrid/>
          <w:color w:val="auto"/>
          <w:spacing w:val="0"/>
          <w:kern w:val="2"/>
          <w:sz w:val="32"/>
          <w:szCs w:val="32"/>
          <w:shd w:val="clear" w:color="auto" w:fill="auto"/>
          <w:lang w:val="en-US" w:eastAsia="zh-CN"/>
        </w:rPr>
      </w:pPr>
      <w:r>
        <w:rPr>
          <w:rFonts w:hint="eastAsia" w:ascii="Times New Roman" w:hAnsi="Times New Roman" w:eastAsia="仿宋_GB2312" w:cs="Times New Roman"/>
          <w:snapToGrid/>
          <w:color w:val="auto"/>
          <w:spacing w:val="0"/>
          <w:kern w:val="2"/>
          <w:sz w:val="32"/>
          <w:szCs w:val="32"/>
          <w:shd w:val="clear" w:color="auto" w:fill="auto"/>
          <w:lang w:val="en-US" w:eastAsia="zh-CN"/>
        </w:rPr>
        <w:t>各市医疗保障局、财政局、金融监管分局：</w:t>
      </w:r>
    </w:p>
    <w:p w14:paraId="1899FB7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Times New Roman"/>
          <w:snapToGrid/>
          <w:color w:val="auto"/>
          <w:spacing w:val="0"/>
          <w:kern w:val="2"/>
          <w:sz w:val="32"/>
          <w:szCs w:val="32"/>
          <w:highlight w:val="none"/>
          <w:u w:val="none"/>
          <w:shd w:val="clear" w:color="auto" w:fill="auto"/>
          <w:lang w:eastAsia="zh-CN"/>
        </w:rPr>
      </w:pPr>
      <w:r>
        <w:rPr>
          <w:rFonts w:hint="eastAsia" w:ascii="Times New Roman" w:hAnsi="Times New Roman" w:eastAsia="仿宋_GB2312" w:cs="Times New Roman"/>
          <w:snapToGrid/>
          <w:color w:val="auto"/>
          <w:spacing w:val="0"/>
          <w:kern w:val="2"/>
          <w:sz w:val="32"/>
          <w:szCs w:val="32"/>
          <w:u w:val="none"/>
          <w:shd w:val="clear" w:color="auto" w:fill="auto"/>
          <w:lang w:eastAsia="zh-CN"/>
        </w:rPr>
        <w:t>为持续完善我区城乡居民大病保险（</w:t>
      </w:r>
      <w:r>
        <w:rPr>
          <w:rFonts w:hint="eastAsia" w:ascii="Times New Roman" w:hAnsi="Times New Roman" w:eastAsia="仿宋_GB2312" w:cs="Times New Roman"/>
          <w:snapToGrid/>
          <w:color w:val="auto"/>
          <w:spacing w:val="0"/>
          <w:kern w:val="2"/>
          <w:sz w:val="32"/>
          <w:szCs w:val="32"/>
          <w:u w:val="none"/>
          <w:shd w:val="clear" w:color="auto" w:fill="auto"/>
          <w:lang w:val="en-US" w:eastAsia="zh-CN"/>
        </w:rPr>
        <w:t>以下简称大病保险</w:t>
      </w:r>
      <w:r>
        <w:rPr>
          <w:rFonts w:hint="eastAsia" w:ascii="Times New Roman" w:hAnsi="Times New Roman" w:eastAsia="仿宋_GB2312" w:cs="Times New Roman"/>
          <w:snapToGrid/>
          <w:color w:val="auto"/>
          <w:spacing w:val="0"/>
          <w:kern w:val="2"/>
          <w:sz w:val="32"/>
          <w:szCs w:val="32"/>
          <w:u w:val="none"/>
          <w:shd w:val="clear" w:color="auto" w:fill="auto"/>
          <w:lang w:eastAsia="zh-CN"/>
        </w:rPr>
        <w:t>）政策，健全多层次医疗保障体系，</w:t>
      </w:r>
      <w:r>
        <w:rPr>
          <w:rFonts w:hint="eastAsia" w:ascii="Times New Roman" w:hAnsi="Times New Roman" w:eastAsia="仿宋_GB2312" w:cs="Times New Roman"/>
          <w:snapToGrid/>
          <w:color w:val="auto"/>
          <w:spacing w:val="0"/>
          <w:kern w:val="2"/>
          <w:sz w:val="32"/>
          <w:szCs w:val="32"/>
          <w:u w:val="none"/>
          <w:shd w:val="clear" w:color="auto" w:fill="auto"/>
          <w:lang w:val="en-US" w:eastAsia="zh-CN"/>
        </w:rPr>
        <w:t>按照《国家医保局办公室 财政部办公厅关于规范大病保险管理确保稳健运行有关工作的通知》（医保办发〔2025〕5号）工作要求，结合我区实际，</w:t>
      </w:r>
      <w:r>
        <w:rPr>
          <w:rFonts w:hint="eastAsia" w:ascii="Times New Roman" w:hAnsi="Times New Roman" w:eastAsia="仿宋_GB2312" w:cs="Times New Roman"/>
          <w:snapToGrid/>
          <w:color w:val="auto"/>
          <w:spacing w:val="0"/>
          <w:kern w:val="2"/>
          <w:sz w:val="32"/>
          <w:szCs w:val="32"/>
          <w:u w:val="none"/>
          <w:shd w:val="clear" w:color="auto" w:fill="auto"/>
          <w:lang w:eastAsia="zh-CN"/>
        </w:rPr>
        <w:t>现就</w:t>
      </w:r>
      <w:r>
        <w:rPr>
          <w:rFonts w:hint="eastAsia" w:ascii="Times New Roman" w:hAnsi="Times New Roman" w:eastAsia="仿宋_GB2312" w:cs="Times New Roman"/>
          <w:snapToGrid/>
          <w:color w:val="auto"/>
          <w:spacing w:val="0"/>
          <w:kern w:val="2"/>
          <w:sz w:val="32"/>
          <w:szCs w:val="32"/>
          <w:highlight w:val="none"/>
          <w:u w:val="none"/>
          <w:shd w:val="clear" w:color="auto" w:fill="auto"/>
          <w:lang w:eastAsia="zh-CN"/>
        </w:rPr>
        <w:t>有关</w:t>
      </w:r>
      <w:r>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t>事项</w:t>
      </w:r>
      <w:r>
        <w:rPr>
          <w:rFonts w:hint="eastAsia" w:ascii="Times New Roman" w:hAnsi="Times New Roman" w:eastAsia="仿宋_GB2312" w:cs="Times New Roman"/>
          <w:snapToGrid/>
          <w:color w:val="auto"/>
          <w:spacing w:val="0"/>
          <w:kern w:val="2"/>
          <w:sz w:val="32"/>
          <w:szCs w:val="32"/>
          <w:highlight w:val="none"/>
          <w:u w:val="none"/>
          <w:shd w:val="clear" w:color="auto" w:fill="auto"/>
          <w:lang w:eastAsia="zh-CN"/>
        </w:rPr>
        <w:t>通知如下，请认真贯彻执行。</w:t>
      </w:r>
    </w:p>
    <w:p w14:paraId="421E26B4">
      <w:pPr>
        <w:keepNext w:val="0"/>
        <w:keepLines w:val="0"/>
        <w:pageBreakBefore w:val="0"/>
        <w:widowControl/>
        <w:kinsoku/>
        <w:wordWrap/>
        <w:overflowPunct/>
        <w:topLinePunct w:val="0"/>
        <w:autoSpaceDE/>
        <w:autoSpaceDN/>
        <w:bidi w:val="0"/>
        <w:adjustRightInd w:val="0"/>
        <w:snapToGrid w:val="0"/>
        <w:spacing w:beforeLines="0" w:afterLines="0" w:line="560" w:lineRule="exact"/>
        <w:ind w:left="610"/>
        <w:jc w:val="both"/>
        <w:textAlignment w:val="baseline"/>
        <w:rPr>
          <w:rFonts w:hint="eastAsia" w:ascii="Times New Roman" w:hAnsi="Times New Roman" w:eastAsia="黑体" w:cs="黑体"/>
          <w:color w:val="auto"/>
          <w:sz w:val="32"/>
          <w:szCs w:val="32"/>
          <w:highlight w:val="none"/>
          <w:shd w:val="clear" w:color="auto" w:fill="auto"/>
          <w:lang w:eastAsia="zh-CN"/>
        </w:rPr>
      </w:pPr>
      <w:r>
        <w:rPr>
          <w:rFonts w:ascii="Times New Roman" w:hAnsi="Times New Roman" w:eastAsia="黑体" w:cs="黑体"/>
          <w:color w:val="auto"/>
          <w:spacing w:val="0"/>
          <w:sz w:val="32"/>
          <w:szCs w:val="32"/>
          <w:highlight w:val="none"/>
          <w:shd w:val="clear" w:color="auto" w:fill="auto"/>
        </w:rPr>
        <w:t>一、明确保障对象和</w:t>
      </w:r>
      <w:r>
        <w:rPr>
          <w:rFonts w:hint="eastAsia" w:ascii="Times New Roman" w:hAnsi="Times New Roman" w:eastAsia="黑体" w:cs="黑体"/>
          <w:color w:val="auto"/>
          <w:spacing w:val="0"/>
          <w:sz w:val="32"/>
          <w:szCs w:val="32"/>
          <w:highlight w:val="none"/>
          <w:shd w:val="clear" w:color="auto" w:fill="auto"/>
          <w:lang w:eastAsia="zh-CN"/>
        </w:rPr>
        <w:t>支付</w:t>
      </w:r>
      <w:r>
        <w:rPr>
          <w:rFonts w:ascii="Times New Roman" w:hAnsi="Times New Roman" w:eastAsia="黑体" w:cs="黑体"/>
          <w:color w:val="auto"/>
          <w:spacing w:val="0"/>
          <w:sz w:val="32"/>
          <w:szCs w:val="32"/>
          <w:highlight w:val="none"/>
          <w:shd w:val="clear" w:color="auto" w:fill="auto"/>
        </w:rPr>
        <w:t>范围</w:t>
      </w:r>
    </w:p>
    <w:p w14:paraId="190FFC72">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firstLineChars="200"/>
        <w:jc w:val="both"/>
        <w:textAlignment w:val="baseline"/>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pPr>
      <w:r>
        <w:rPr>
          <w:rFonts w:hint="eastAsia" w:ascii="Times New Roman" w:hAnsi="Times New Roman" w:eastAsia="楷体_GB2312" w:cs="楷体_GB2312"/>
          <w:color w:val="auto"/>
          <w:spacing w:val="0"/>
          <w:sz w:val="32"/>
          <w:szCs w:val="32"/>
          <w:highlight w:val="none"/>
          <w:shd w:val="clear" w:color="auto" w:fill="auto"/>
          <w:lang w:eastAsia="zh-CN"/>
        </w:rPr>
        <w:t>（一）</w:t>
      </w:r>
      <w:r>
        <w:rPr>
          <w:rFonts w:hint="eastAsia" w:ascii="Times New Roman" w:hAnsi="Times New Roman" w:eastAsia="楷体_GB2312" w:cs="楷体_GB2312"/>
          <w:color w:val="auto"/>
          <w:spacing w:val="0"/>
          <w:sz w:val="32"/>
          <w:szCs w:val="32"/>
          <w:highlight w:val="none"/>
          <w:shd w:val="clear" w:color="auto" w:fill="auto"/>
        </w:rPr>
        <w:t>保障对象。</w:t>
      </w:r>
      <w:r>
        <w:rPr>
          <w:rFonts w:hint="eastAsia" w:ascii="Times New Roman" w:hAnsi="Times New Roman" w:eastAsia="仿宋_GB2312" w:cs="Times New Roman"/>
          <w:snapToGrid/>
          <w:color w:val="auto"/>
          <w:spacing w:val="0"/>
          <w:kern w:val="2"/>
          <w:sz w:val="32"/>
          <w:szCs w:val="32"/>
          <w:highlight w:val="none"/>
          <w:shd w:val="clear" w:color="auto" w:fill="auto"/>
          <w:lang w:val="en-US" w:eastAsia="zh-CN"/>
        </w:rPr>
        <w:t>大病保险覆盖全区所有城乡居民基本医疗保险</w:t>
      </w:r>
      <w:r>
        <w:rPr>
          <w:rFonts w:hint="eastAsia" w:ascii="Times New Roman" w:hAnsi="Times New Roman" w:eastAsia="仿宋_GB2312" w:cs="Times New Roman"/>
          <w:snapToGrid/>
          <w:color w:val="auto"/>
          <w:spacing w:val="0"/>
          <w:kern w:val="2"/>
          <w:sz w:val="32"/>
          <w:szCs w:val="32"/>
          <w:u w:val="none"/>
          <w:shd w:val="clear" w:color="auto" w:fill="auto"/>
          <w:lang w:eastAsia="zh-CN"/>
        </w:rPr>
        <w:t>（</w:t>
      </w:r>
      <w:r>
        <w:rPr>
          <w:rFonts w:hint="eastAsia" w:ascii="Times New Roman" w:hAnsi="Times New Roman" w:eastAsia="仿宋_GB2312" w:cs="Times New Roman"/>
          <w:snapToGrid/>
          <w:color w:val="auto"/>
          <w:spacing w:val="0"/>
          <w:kern w:val="2"/>
          <w:sz w:val="32"/>
          <w:szCs w:val="32"/>
          <w:u w:val="none"/>
          <w:shd w:val="clear" w:color="auto" w:fill="auto"/>
          <w:lang w:val="en-US" w:eastAsia="zh-CN"/>
        </w:rPr>
        <w:t>以下简称居民医保</w:t>
      </w:r>
      <w:r>
        <w:rPr>
          <w:rFonts w:hint="eastAsia" w:ascii="Times New Roman" w:hAnsi="Times New Roman" w:eastAsia="仿宋_GB2312" w:cs="Times New Roman"/>
          <w:snapToGrid/>
          <w:color w:val="auto"/>
          <w:spacing w:val="0"/>
          <w:kern w:val="2"/>
          <w:sz w:val="32"/>
          <w:szCs w:val="32"/>
          <w:u w:val="none"/>
          <w:shd w:val="clear" w:color="auto" w:fill="auto"/>
          <w:lang w:eastAsia="zh-CN"/>
        </w:rPr>
        <w:t>）</w:t>
      </w:r>
      <w:r>
        <w:rPr>
          <w:rFonts w:hint="eastAsia" w:ascii="Times New Roman" w:hAnsi="Times New Roman" w:eastAsia="仿宋_GB2312" w:cs="Times New Roman"/>
          <w:snapToGrid/>
          <w:color w:val="auto"/>
          <w:spacing w:val="0"/>
          <w:kern w:val="2"/>
          <w:sz w:val="32"/>
          <w:szCs w:val="32"/>
          <w:highlight w:val="none"/>
          <w:shd w:val="clear" w:color="auto" w:fill="auto"/>
          <w:lang w:val="en-US" w:eastAsia="zh-CN"/>
        </w:rPr>
        <w:t>参保人员，</w:t>
      </w:r>
      <w:r>
        <w:rPr>
          <w:rFonts w:hint="eastAsia" w:ascii="Times New Roman" w:hAnsi="Times New Roman" w:eastAsia="仿宋_GB2312" w:cs="Times New Roman"/>
          <w:i w:val="0"/>
          <w:iCs w:val="0"/>
          <w:caps w:val="0"/>
          <w:snapToGrid/>
          <w:color w:val="auto"/>
          <w:spacing w:val="0"/>
          <w:kern w:val="2"/>
          <w:sz w:val="32"/>
          <w:szCs w:val="32"/>
          <w:highlight w:val="none"/>
          <w:u w:val="none"/>
          <w:shd w:val="clear" w:color="auto" w:fill="auto"/>
          <w:lang w:val="en-US" w:eastAsia="zh-CN"/>
        </w:rPr>
        <w:t>正常</w:t>
      </w:r>
      <w:r>
        <w:rPr>
          <w:rFonts w:hint="eastAsia" w:ascii="Times New Roman" w:hAnsi="Times New Roman" w:eastAsia="仿宋_GB2312" w:cs="Times New Roman"/>
          <w:i w:val="0"/>
          <w:iCs w:val="0"/>
          <w:caps w:val="0"/>
          <w:snapToGrid/>
          <w:color w:val="auto"/>
          <w:spacing w:val="0"/>
          <w:kern w:val="2"/>
          <w:sz w:val="32"/>
          <w:szCs w:val="32"/>
          <w:highlight w:val="none"/>
          <w:u w:val="none"/>
          <w:shd w:val="clear" w:color="auto" w:fill="auto"/>
          <w:lang w:eastAsia="zh-CN"/>
        </w:rPr>
        <w:t>享受</w:t>
      </w:r>
      <w:r>
        <w:rPr>
          <w:rFonts w:hint="eastAsia" w:ascii="Times New Roman" w:hAnsi="Times New Roman" w:eastAsia="仿宋_GB2312" w:cs="Times New Roman"/>
          <w:i w:val="0"/>
          <w:iCs w:val="0"/>
          <w:caps w:val="0"/>
          <w:snapToGrid/>
          <w:color w:val="auto"/>
          <w:spacing w:val="0"/>
          <w:kern w:val="2"/>
          <w:sz w:val="32"/>
          <w:szCs w:val="32"/>
          <w:highlight w:val="none"/>
          <w:u w:val="none"/>
          <w:shd w:val="clear" w:color="auto" w:fill="auto"/>
          <w:lang w:val="en-US" w:eastAsia="zh-CN"/>
        </w:rPr>
        <w:t>居民医保</w:t>
      </w:r>
      <w:r>
        <w:rPr>
          <w:rFonts w:hint="eastAsia" w:ascii="Times New Roman" w:hAnsi="Times New Roman" w:eastAsia="仿宋_GB2312" w:cs="Times New Roman"/>
          <w:i w:val="0"/>
          <w:iCs w:val="0"/>
          <w:caps w:val="0"/>
          <w:snapToGrid/>
          <w:color w:val="auto"/>
          <w:spacing w:val="0"/>
          <w:kern w:val="2"/>
          <w:sz w:val="32"/>
          <w:szCs w:val="32"/>
          <w:highlight w:val="none"/>
          <w:u w:val="none"/>
          <w:shd w:val="clear" w:color="auto" w:fill="auto"/>
          <w:lang w:eastAsia="zh-CN"/>
        </w:rPr>
        <w:t>待遇的人员，按规定享受大病保险待遇。</w:t>
      </w:r>
    </w:p>
    <w:p w14:paraId="17A3B35B">
      <w:pPr>
        <w:keepNext w:val="0"/>
        <w:keepLines w:val="0"/>
        <w:pageBreakBefore w:val="0"/>
        <w:widowControl/>
        <w:kinsoku/>
        <w:wordWrap/>
        <w:overflowPunct/>
        <w:topLinePunct w:val="0"/>
        <w:bidi w:val="0"/>
        <w:spacing w:beforeLines="0" w:afterLines="0" w:line="560" w:lineRule="exact"/>
        <w:ind w:firstLine="640" w:firstLineChars="200"/>
        <w:jc w:val="both"/>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pPr>
      <w:r>
        <w:rPr>
          <w:rFonts w:hint="eastAsia" w:ascii="Times New Roman" w:hAnsi="Times New Roman" w:eastAsia="楷体_GB2312" w:cs="楷体_GB2312"/>
          <w:color w:val="auto"/>
          <w:spacing w:val="0"/>
          <w:sz w:val="32"/>
          <w:szCs w:val="32"/>
          <w:highlight w:val="none"/>
          <w:shd w:val="clear" w:color="auto" w:fill="auto"/>
          <w:lang w:eastAsia="zh-CN"/>
        </w:rPr>
        <w:t>（二）</w:t>
      </w:r>
      <w:r>
        <w:rPr>
          <w:rFonts w:hint="eastAsia" w:ascii="Times New Roman" w:hAnsi="Times New Roman" w:eastAsia="楷体_GB2312" w:cs="楷体_GB2312"/>
          <w:snapToGrid w:val="0"/>
          <w:color w:val="auto"/>
          <w:spacing w:val="0"/>
          <w:kern w:val="0"/>
          <w:sz w:val="32"/>
          <w:szCs w:val="32"/>
          <w:highlight w:val="none"/>
          <w:u w:val="none"/>
          <w:shd w:val="clear" w:color="auto" w:fill="auto"/>
          <w:lang w:val="en-US" w:eastAsia="zh-CN"/>
        </w:rPr>
        <w:t>支付范围。</w:t>
      </w:r>
      <w:r>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t>与基本医疗保险药品、医用耗材和服务项目支付范围保持一致。参保人在一个参保年度内发生的住院、门诊特殊慢性病、单列门诊统筹的医疗费用，经居民医保报销后，支付范围内个人累计负担医疗费用在大病保险起付线以上、最高支付限额以下部分，由大病保险按规定支付。居民医保住院起付线、门诊特殊慢性病起付线、门诊特殊慢性病和单列门诊统筹的年度基金支付超限额部分、居民医保先行支付及居民医保</w:t>
      </w:r>
      <w:r>
        <w:rPr>
          <w:rFonts w:hint="eastAsia" w:ascii="Times New Roman" w:hAnsi="Times New Roman" w:eastAsia="仿宋_GB2312" w:cs="Times New Roman"/>
          <w:snapToGrid/>
          <w:color w:val="auto"/>
          <w:kern w:val="2"/>
          <w:sz w:val="32"/>
          <w:szCs w:val="32"/>
          <w:highlight w:val="none"/>
          <w:u w:val="none"/>
          <w:shd w:val="clear" w:color="auto" w:fill="auto"/>
          <w:lang w:val="en-US" w:eastAsia="zh-CN"/>
        </w:rPr>
        <w:t>异地就医降低比例部分，不纳入大病保险支付范围。</w:t>
      </w:r>
    </w:p>
    <w:p w14:paraId="5A2AC16D">
      <w:pPr>
        <w:keepNext w:val="0"/>
        <w:keepLines w:val="0"/>
        <w:pageBreakBefore w:val="0"/>
        <w:wordWrap/>
        <w:overflowPunct/>
        <w:topLinePunct w:val="0"/>
        <w:bidi w:val="0"/>
        <w:spacing w:before="0" w:beforeLines="0" w:afterLines="0" w:line="560" w:lineRule="exact"/>
        <w:ind w:left="0" w:firstLine="620" w:firstLineChars="200"/>
        <w:jc w:val="both"/>
        <w:outlineLvl w:val="1"/>
        <w:rPr>
          <w:rFonts w:ascii="Times New Roman" w:hAnsi="Times New Roman" w:eastAsia="黑体" w:cs="黑体"/>
          <w:color w:val="auto"/>
          <w:sz w:val="32"/>
          <w:szCs w:val="32"/>
          <w:highlight w:val="none"/>
          <w:shd w:val="clear" w:color="auto" w:fill="auto"/>
        </w:rPr>
      </w:pPr>
      <w:r>
        <w:rPr>
          <w:rFonts w:ascii="Times New Roman" w:hAnsi="Times New Roman" w:eastAsia="黑体" w:cs="黑体"/>
          <w:color w:val="auto"/>
          <w:spacing w:val="0"/>
          <w:sz w:val="31"/>
          <w:szCs w:val="31"/>
          <w:highlight w:val="none"/>
          <w:shd w:val="clear" w:color="auto" w:fill="auto"/>
        </w:rPr>
        <w:t>二、</w:t>
      </w:r>
      <w:r>
        <w:rPr>
          <w:rFonts w:ascii="Times New Roman" w:hAnsi="Times New Roman" w:eastAsia="黑体" w:cs="黑体"/>
          <w:color w:val="auto"/>
          <w:spacing w:val="0"/>
          <w:sz w:val="32"/>
          <w:szCs w:val="32"/>
          <w:highlight w:val="none"/>
          <w:shd w:val="clear" w:color="auto" w:fill="auto"/>
        </w:rPr>
        <w:t>科学确定筹资水平，强化资金支撑能力</w:t>
      </w:r>
    </w:p>
    <w:p w14:paraId="2AE84D59">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Times New Roman"/>
          <w:snapToGrid/>
          <w:color w:val="auto"/>
          <w:spacing w:val="0"/>
          <w:kern w:val="2"/>
          <w:sz w:val="32"/>
          <w:szCs w:val="32"/>
          <w:highlight w:val="none"/>
          <w:shd w:val="clear" w:color="auto" w:fill="auto"/>
          <w:lang w:eastAsia="zh-CN"/>
        </w:rPr>
      </w:pPr>
      <w:r>
        <w:rPr>
          <w:rFonts w:hint="eastAsia" w:ascii="Times New Roman" w:hAnsi="Times New Roman" w:eastAsia="仿宋_GB2312" w:cs="Times New Roman"/>
          <w:snapToGrid/>
          <w:color w:val="auto"/>
          <w:kern w:val="2"/>
          <w:sz w:val="32"/>
          <w:szCs w:val="32"/>
          <w:highlight w:val="none"/>
          <w:u w:val="none"/>
          <w:shd w:val="clear" w:color="auto" w:fill="auto"/>
          <w:lang w:eastAsia="zh-CN"/>
        </w:rPr>
        <w:t>从居民医保基金中划出一定比例或额度作为大病保险资金。</w:t>
      </w:r>
      <w:r>
        <w:rPr>
          <w:rFonts w:hint="eastAsia" w:ascii="Times New Roman" w:hAnsi="Times New Roman" w:eastAsia="仿宋_GB2312" w:cs="Times New Roman"/>
          <w:snapToGrid/>
          <w:color w:val="auto"/>
          <w:kern w:val="2"/>
          <w:sz w:val="32"/>
          <w:szCs w:val="32"/>
          <w:highlight w:val="none"/>
          <w:shd w:val="clear" w:color="auto" w:fill="auto"/>
          <w:lang w:eastAsia="zh-CN"/>
        </w:rPr>
        <w:t>原则上划拨比例逐步过渡到6%左右</w:t>
      </w:r>
      <w:r>
        <w:rPr>
          <w:rFonts w:hint="eastAsia" w:ascii="Times New Roman" w:hAnsi="Times New Roman" w:eastAsia="仿宋_GB2312" w:cs="Times New Roman"/>
          <w:snapToGrid/>
          <w:color w:val="auto"/>
          <w:kern w:val="2"/>
          <w:sz w:val="32"/>
          <w:szCs w:val="32"/>
          <w:highlight w:val="none"/>
          <w:shd w:val="clear" w:color="auto" w:fill="auto"/>
          <w:lang w:val="en-US" w:eastAsia="zh-CN"/>
        </w:rPr>
        <w:t>。</w:t>
      </w:r>
      <w:r>
        <w:rPr>
          <w:rFonts w:hint="eastAsia" w:ascii="Times New Roman" w:hAnsi="Times New Roman" w:eastAsia="仿宋_GB2312" w:cs="Times New Roman"/>
          <w:snapToGrid/>
          <w:color w:val="auto"/>
          <w:kern w:val="2"/>
          <w:sz w:val="32"/>
          <w:szCs w:val="32"/>
          <w:highlight w:val="none"/>
          <w:shd w:val="clear" w:color="auto" w:fill="auto"/>
          <w:lang w:eastAsia="zh-CN"/>
        </w:rPr>
        <w:t>各地要坚持尽力而为、量力而行，依据当地经济社会发展水平、患大病发生的高额医疗费用情况、基本医疗保险筹资能力和支付水平以及大病保险保障水平等因素，科学做好资金测算，合理确定大病保险的筹资水平。坚决杜绝赤字运行，</w:t>
      </w:r>
      <w:r>
        <w:rPr>
          <w:rFonts w:hint="eastAsia" w:ascii="Times New Roman" w:hAnsi="Times New Roman" w:eastAsia="仿宋_GB2312" w:cs="Times New Roman"/>
          <w:i w:val="0"/>
          <w:iCs w:val="0"/>
          <w:caps w:val="0"/>
          <w:snapToGrid/>
          <w:color w:val="auto"/>
          <w:spacing w:val="0"/>
          <w:kern w:val="2"/>
          <w:sz w:val="32"/>
          <w:szCs w:val="32"/>
          <w:highlight w:val="none"/>
          <w:u w:val="none"/>
          <w:shd w:val="clear" w:color="auto" w:fill="auto"/>
          <w:lang w:eastAsia="zh-CN"/>
        </w:rPr>
        <w:t>避免“一刀切”，确保平稳过渡。</w:t>
      </w:r>
    </w:p>
    <w:p w14:paraId="0CC45A2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黑体" w:cs="Times New Roman"/>
          <w:color w:val="auto"/>
          <w:spacing w:val="0"/>
          <w:sz w:val="32"/>
          <w:szCs w:val="32"/>
          <w:highlight w:val="none"/>
          <w:shd w:val="clear" w:color="auto" w:fill="auto"/>
          <w:lang w:eastAsia="zh-CN"/>
        </w:rPr>
      </w:pPr>
      <w:r>
        <w:rPr>
          <w:rFonts w:ascii="Times New Roman" w:hAnsi="Times New Roman" w:eastAsia="黑体" w:cs="Times New Roman"/>
          <w:color w:val="auto"/>
          <w:spacing w:val="0"/>
          <w:sz w:val="32"/>
          <w:szCs w:val="32"/>
          <w:highlight w:val="none"/>
          <w:shd w:val="clear" w:color="auto" w:fill="auto"/>
        </w:rPr>
        <w:t>三、合理设定待遇标准</w:t>
      </w:r>
      <w:r>
        <w:rPr>
          <w:rFonts w:hint="eastAsia" w:ascii="Times New Roman" w:hAnsi="Times New Roman" w:eastAsia="黑体" w:cs="Times New Roman"/>
          <w:color w:val="auto"/>
          <w:spacing w:val="0"/>
          <w:sz w:val="32"/>
          <w:szCs w:val="32"/>
          <w:highlight w:val="none"/>
          <w:shd w:val="clear" w:color="auto" w:fill="auto"/>
          <w:lang w:eastAsia="zh-CN"/>
        </w:rPr>
        <w:t>，</w:t>
      </w:r>
      <w:r>
        <w:rPr>
          <w:rFonts w:hint="eastAsia" w:ascii="Times New Roman" w:hAnsi="Times New Roman" w:eastAsia="黑体" w:cs="Times New Roman"/>
          <w:color w:val="auto"/>
          <w:spacing w:val="0"/>
          <w:sz w:val="32"/>
          <w:szCs w:val="32"/>
          <w:highlight w:val="none"/>
          <w:shd w:val="clear" w:color="auto" w:fill="auto"/>
          <w:lang w:val="en-US" w:eastAsia="zh-CN"/>
        </w:rPr>
        <w:t>规范</w:t>
      </w:r>
      <w:r>
        <w:rPr>
          <w:rFonts w:ascii="Times New Roman" w:hAnsi="Times New Roman" w:eastAsia="黑体" w:cs="Times New Roman"/>
          <w:color w:val="auto"/>
          <w:spacing w:val="0"/>
          <w:sz w:val="32"/>
          <w:szCs w:val="32"/>
          <w:highlight w:val="none"/>
          <w:shd w:val="clear" w:color="auto" w:fill="auto"/>
        </w:rPr>
        <w:t>保障</w:t>
      </w:r>
      <w:r>
        <w:rPr>
          <w:rFonts w:hint="eastAsia" w:ascii="Times New Roman" w:hAnsi="Times New Roman" w:eastAsia="黑体" w:cs="Times New Roman"/>
          <w:color w:val="auto"/>
          <w:spacing w:val="0"/>
          <w:sz w:val="32"/>
          <w:szCs w:val="32"/>
          <w:highlight w:val="none"/>
          <w:shd w:val="clear" w:color="auto" w:fill="auto"/>
          <w:lang w:eastAsia="zh-CN"/>
        </w:rPr>
        <w:t>范围</w:t>
      </w:r>
    </w:p>
    <w:p w14:paraId="1F698D7E">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pPr>
      <w:r>
        <w:rPr>
          <w:rFonts w:hint="eastAsia" w:ascii="Times New Roman" w:hAnsi="Times New Roman" w:eastAsia="楷体_GB2312" w:cs="楷体_GB2312"/>
          <w:color w:val="auto"/>
          <w:spacing w:val="0"/>
          <w:sz w:val="32"/>
          <w:szCs w:val="32"/>
          <w:highlight w:val="none"/>
          <w:shd w:val="clear" w:color="auto" w:fill="auto"/>
          <w:lang w:eastAsia="zh-CN"/>
        </w:rPr>
        <w:t>（一）年度</w:t>
      </w:r>
      <w:r>
        <w:rPr>
          <w:rFonts w:hint="eastAsia" w:ascii="Times New Roman" w:hAnsi="Times New Roman" w:eastAsia="楷体_GB2312" w:cs="楷体_GB2312"/>
          <w:color w:val="auto"/>
          <w:spacing w:val="0"/>
          <w:sz w:val="32"/>
          <w:szCs w:val="32"/>
          <w:highlight w:val="none"/>
          <w:shd w:val="clear" w:color="auto" w:fill="auto"/>
        </w:rPr>
        <w:t>起付标准</w:t>
      </w:r>
      <w:r>
        <w:rPr>
          <w:rFonts w:hint="eastAsia" w:ascii="Times New Roman" w:hAnsi="Times New Roman" w:eastAsia="楷体_GB2312" w:cs="楷体_GB2312"/>
          <w:color w:val="auto"/>
          <w:spacing w:val="0"/>
          <w:sz w:val="32"/>
          <w:szCs w:val="32"/>
          <w:highlight w:val="none"/>
          <w:u w:val="none"/>
          <w:shd w:val="clear" w:color="auto" w:fill="auto"/>
        </w:rPr>
        <w:t>。</w:t>
      </w:r>
      <w:r>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t>大病保险年度起付标准以统计部门最新公布的广西居民人均可支配收入的50%核定，计算结果经四舍五入后统一取千位整数</w:t>
      </w:r>
      <w:r>
        <w:rPr>
          <w:rFonts w:hint="eastAsia" w:ascii="Times New Roman" w:hAnsi="Times New Roman" w:eastAsia="仿宋_GB2312" w:cs="Times New Roman"/>
          <w:snapToGrid/>
          <w:color w:val="auto"/>
          <w:kern w:val="2"/>
          <w:sz w:val="32"/>
          <w:szCs w:val="32"/>
          <w:highlight w:val="none"/>
          <w:shd w:val="clear" w:color="auto" w:fill="auto"/>
          <w:lang w:val="en-US" w:eastAsia="zh-CN" w:bidi="ar"/>
        </w:rPr>
        <w:t>。</w:t>
      </w:r>
      <w:r>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t>属于我区城乡特困人员、孤儿、事实无人抚养儿童、城乡低保对象、防止返贫致贫对象，大病保险年度起付标准降低50%。</w:t>
      </w:r>
    </w:p>
    <w:p w14:paraId="11A82893">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firstLineChars="200"/>
        <w:jc w:val="both"/>
        <w:textAlignment w:val="baseline"/>
        <w:rPr>
          <w:rFonts w:hint="eastAsia" w:ascii="Times New Roman" w:hAnsi="Times New Roman" w:eastAsia="仿宋_GB2312" w:cs="Times New Roman"/>
          <w:snapToGrid/>
          <w:color w:val="auto"/>
          <w:spacing w:val="0"/>
          <w:kern w:val="2"/>
          <w:sz w:val="32"/>
          <w:szCs w:val="32"/>
          <w:highlight w:val="none"/>
          <w:u w:val="single"/>
          <w:shd w:val="clear" w:color="auto" w:fill="auto"/>
          <w:lang w:val="en-US" w:eastAsia="zh-CN"/>
        </w:rPr>
      </w:pPr>
      <w:r>
        <w:rPr>
          <w:rFonts w:hint="eastAsia" w:ascii="Times New Roman" w:hAnsi="Times New Roman" w:eastAsia="楷体_GB2312" w:cs="楷体_GB2312"/>
          <w:color w:val="auto"/>
          <w:spacing w:val="0"/>
          <w:sz w:val="32"/>
          <w:szCs w:val="32"/>
          <w:highlight w:val="none"/>
          <w:shd w:val="clear" w:color="auto" w:fill="auto"/>
          <w:lang w:eastAsia="zh-CN"/>
        </w:rPr>
        <w:t>（二）</w:t>
      </w:r>
      <w:r>
        <w:rPr>
          <w:rFonts w:hint="eastAsia" w:ascii="Times New Roman" w:hAnsi="Times New Roman" w:eastAsia="楷体_GB2312" w:cs="楷体_GB2312"/>
          <w:color w:val="auto"/>
          <w:spacing w:val="0"/>
          <w:sz w:val="32"/>
          <w:szCs w:val="32"/>
          <w:highlight w:val="none"/>
          <w:shd w:val="clear" w:color="auto" w:fill="auto"/>
        </w:rPr>
        <w:t>支付比例。</w:t>
      </w:r>
      <w:r>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t>大病保险支付范围内、年度起付线以上的医疗费用支付比例按以下标准支付：</w:t>
      </w:r>
    </w:p>
    <w:p w14:paraId="45F80A60">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jc w:val="both"/>
        <w:textAlignment w:val="baseline"/>
        <w:rPr>
          <w:rFonts w:hint="eastAsia"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color w:val="auto"/>
          <w:spacing w:val="0"/>
          <w:sz w:val="32"/>
          <w:szCs w:val="32"/>
          <w:highlight w:val="none"/>
          <w:shd w:val="clear" w:color="auto" w:fill="auto"/>
        </w:rPr>
        <w:t>1</w:t>
      </w:r>
      <w:r>
        <w:rPr>
          <w:rFonts w:hint="eastAsia" w:ascii="Times New Roman" w:hAnsi="Times New Roman" w:eastAsia="仿宋_GB2312" w:cs="Times New Roman"/>
          <w:color w:val="auto"/>
          <w:spacing w:val="0"/>
          <w:sz w:val="32"/>
          <w:szCs w:val="32"/>
          <w:highlight w:val="none"/>
          <w:shd w:val="clear" w:color="auto" w:fill="auto"/>
          <w:lang w:val="en-US" w:eastAsia="zh-CN"/>
        </w:rPr>
        <w:t>.</w:t>
      </w:r>
      <w:r>
        <w:rPr>
          <w:rFonts w:hint="eastAsia" w:ascii="Times New Roman" w:hAnsi="Times New Roman" w:eastAsia="仿宋_GB2312" w:cs="Times New Roman"/>
          <w:color w:val="auto"/>
          <w:spacing w:val="0"/>
          <w:sz w:val="32"/>
          <w:szCs w:val="32"/>
          <w:highlight w:val="none"/>
          <w:shd w:val="clear" w:color="auto" w:fill="auto"/>
        </w:rPr>
        <w:t>在0至5万元</w:t>
      </w:r>
      <w:r>
        <w:rPr>
          <w:rFonts w:hint="eastAsia" w:ascii="Times New Roman" w:hAnsi="Times New Roman" w:eastAsia="仿宋_GB2312" w:cs="Times New Roman"/>
          <w:color w:val="auto"/>
          <w:spacing w:val="0"/>
          <w:sz w:val="32"/>
          <w:szCs w:val="32"/>
          <w:highlight w:val="none"/>
          <w:shd w:val="clear" w:color="auto" w:fill="auto"/>
          <w:lang w:eastAsia="zh-CN"/>
        </w:rPr>
        <w:t>（</w:t>
      </w:r>
      <w:r>
        <w:rPr>
          <w:rFonts w:hint="eastAsia" w:ascii="Times New Roman" w:hAnsi="Times New Roman" w:eastAsia="仿宋_GB2312" w:cs="Times New Roman"/>
          <w:color w:val="auto"/>
          <w:spacing w:val="0"/>
          <w:sz w:val="32"/>
          <w:szCs w:val="32"/>
          <w:highlight w:val="none"/>
          <w:shd w:val="clear" w:color="auto" w:fill="auto"/>
        </w:rPr>
        <w:t>含5万元</w:t>
      </w:r>
      <w:r>
        <w:rPr>
          <w:rFonts w:hint="eastAsia" w:ascii="Times New Roman" w:hAnsi="Times New Roman" w:eastAsia="仿宋_GB2312" w:cs="Times New Roman"/>
          <w:color w:val="auto"/>
          <w:spacing w:val="0"/>
          <w:sz w:val="32"/>
          <w:szCs w:val="32"/>
          <w:highlight w:val="none"/>
          <w:shd w:val="clear" w:color="auto" w:fill="auto"/>
          <w:lang w:eastAsia="zh-CN"/>
        </w:rPr>
        <w:t>）</w:t>
      </w:r>
      <w:r>
        <w:rPr>
          <w:rFonts w:hint="eastAsia" w:ascii="Times New Roman" w:hAnsi="Times New Roman" w:eastAsia="仿宋_GB2312" w:cs="Times New Roman"/>
          <w:color w:val="auto"/>
          <w:spacing w:val="0"/>
          <w:sz w:val="32"/>
          <w:szCs w:val="32"/>
          <w:highlight w:val="none"/>
          <w:shd w:val="clear" w:color="auto" w:fill="auto"/>
        </w:rPr>
        <w:t>的部分，支付60%;</w:t>
      </w:r>
    </w:p>
    <w:p w14:paraId="6DBD991E">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jc w:val="both"/>
        <w:textAlignment w:val="baseline"/>
        <w:rPr>
          <w:rFonts w:hint="eastAsia"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color w:val="auto"/>
          <w:spacing w:val="0"/>
          <w:sz w:val="32"/>
          <w:szCs w:val="32"/>
          <w:highlight w:val="none"/>
          <w:shd w:val="clear" w:color="auto" w:fill="auto"/>
        </w:rPr>
        <w:t>2.在5万元至10万元</w:t>
      </w:r>
      <w:r>
        <w:rPr>
          <w:rFonts w:hint="eastAsia" w:ascii="Times New Roman" w:hAnsi="Times New Roman" w:eastAsia="仿宋_GB2312" w:cs="Times New Roman"/>
          <w:color w:val="auto"/>
          <w:spacing w:val="0"/>
          <w:sz w:val="32"/>
          <w:szCs w:val="32"/>
          <w:highlight w:val="none"/>
          <w:shd w:val="clear" w:color="auto" w:fill="auto"/>
          <w:lang w:eastAsia="zh-CN"/>
        </w:rPr>
        <w:t>（</w:t>
      </w:r>
      <w:r>
        <w:rPr>
          <w:rFonts w:hint="eastAsia" w:ascii="Times New Roman" w:hAnsi="Times New Roman" w:eastAsia="仿宋_GB2312" w:cs="Times New Roman"/>
          <w:color w:val="auto"/>
          <w:spacing w:val="0"/>
          <w:sz w:val="32"/>
          <w:szCs w:val="32"/>
          <w:highlight w:val="none"/>
          <w:shd w:val="clear" w:color="auto" w:fill="auto"/>
        </w:rPr>
        <w:t>含10万元</w:t>
      </w:r>
      <w:r>
        <w:rPr>
          <w:rFonts w:hint="eastAsia" w:ascii="Times New Roman" w:hAnsi="Times New Roman" w:eastAsia="仿宋_GB2312" w:cs="Times New Roman"/>
          <w:color w:val="auto"/>
          <w:spacing w:val="0"/>
          <w:sz w:val="32"/>
          <w:szCs w:val="32"/>
          <w:highlight w:val="none"/>
          <w:shd w:val="clear" w:color="auto" w:fill="auto"/>
          <w:lang w:eastAsia="zh-CN"/>
        </w:rPr>
        <w:t>）</w:t>
      </w:r>
      <w:r>
        <w:rPr>
          <w:rFonts w:hint="eastAsia" w:ascii="Times New Roman" w:hAnsi="Times New Roman" w:eastAsia="仿宋_GB2312" w:cs="Times New Roman"/>
          <w:color w:val="auto"/>
          <w:spacing w:val="0"/>
          <w:sz w:val="32"/>
          <w:szCs w:val="32"/>
          <w:highlight w:val="none"/>
          <w:shd w:val="clear" w:color="auto" w:fill="auto"/>
        </w:rPr>
        <w:t>的部分</w:t>
      </w:r>
      <w:r>
        <w:rPr>
          <w:rFonts w:hint="eastAsia" w:ascii="Times New Roman" w:hAnsi="Times New Roman" w:eastAsia="仿宋_GB2312" w:cs="Times New Roman"/>
          <w:color w:val="auto"/>
          <w:spacing w:val="0"/>
          <w:sz w:val="32"/>
          <w:szCs w:val="32"/>
          <w:highlight w:val="none"/>
          <w:shd w:val="clear" w:color="auto" w:fill="auto"/>
          <w:lang w:eastAsia="zh-CN"/>
        </w:rPr>
        <w:t>，</w:t>
      </w:r>
      <w:r>
        <w:rPr>
          <w:rFonts w:hint="eastAsia" w:ascii="Times New Roman" w:hAnsi="Times New Roman" w:eastAsia="仿宋_GB2312" w:cs="Times New Roman"/>
          <w:color w:val="auto"/>
          <w:spacing w:val="0"/>
          <w:sz w:val="32"/>
          <w:szCs w:val="32"/>
          <w:highlight w:val="none"/>
          <w:shd w:val="clear" w:color="auto" w:fill="auto"/>
        </w:rPr>
        <w:t>支付70%;</w:t>
      </w:r>
    </w:p>
    <w:p w14:paraId="2E819D47">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jc w:val="both"/>
        <w:textAlignment w:val="baseline"/>
        <w:rPr>
          <w:rFonts w:hint="eastAsia" w:ascii="Times New Roman" w:hAnsi="Times New Roman" w:eastAsia="仿宋_GB2312" w:cs="Times New Roman"/>
          <w:color w:val="auto"/>
          <w:spacing w:val="0"/>
          <w:sz w:val="32"/>
          <w:szCs w:val="32"/>
          <w:highlight w:val="none"/>
          <w:shd w:val="clear" w:color="auto" w:fill="auto"/>
        </w:rPr>
      </w:pPr>
      <w:r>
        <w:rPr>
          <w:rFonts w:hint="eastAsia" w:ascii="Times New Roman" w:hAnsi="Times New Roman" w:eastAsia="仿宋_GB2312" w:cs="Times New Roman"/>
          <w:color w:val="auto"/>
          <w:spacing w:val="0"/>
          <w:sz w:val="32"/>
          <w:szCs w:val="32"/>
          <w:highlight w:val="none"/>
          <w:shd w:val="clear" w:color="auto" w:fill="auto"/>
        </w:rPr>
        <w:t>3.在10万元以上的部分，支付80%;</w:t>
      </w:r>
    </w:p>
    <w:p w14:paraId="0336B9AA">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jc w:val="both"/>
        <w:textAlignment w:val="baseline"/>
        <w:rPr>
          <w:rFonts w:hint="eastAsia" w:ascii="Times New Roman" w:hAnsi="Times New Roman" w:eastAsia="仿宋_GB2312" w:cs="Times New Roman"/>
          <w:color w:val="auto"/>
          <w:spacing w:val="0"/>
          <w:sz w:val="32"/>
          <w:szCs w:val="32"/>
          <w:highlight w:val="none"/>
          <w:shd w:val="clear" w:color="auto" w:fill="auto"/>
        </w:rPr>
      </w:pPr>
      <w:r>
        <w:rPr>
          <w:rFonts w:hint="eastAsia" w:ascii="Times New Roman" w:hAnsi="Times New Roman" w:eastAsia="仿宋_GB2312" w:cs="Times New Roman"/>
          <w:color w:val="auto"/>
          <w:spacing w:val="0"/>
          <w:sz w:val="32"/>
          <w:szCs w:val="32"/>
          <w:highlight w:val="none"/>
          <w:shd w:val="clear" w:color="auto" w:fill="auto"/>
          <w:lang w:val="en-US" w:eastAsia="zh-CN"/>
        </w:rPr>
        <w:t>4.</w:t>
      </w:r>
      <w:r>
        <w:rPr>
          <w:rFonts w:hint="eastAsia" w:ascii="Times New Roman" w:hAnsi="Times New Roman" w:eastAsia="仿宋_GB2312" w:cs="Times New Roman"/>
          <w:color w:val="auto"/>
          <w:spacing w:val="0"/>
          <w:sz w:val="32"/>
          <w:szCs w:val="32"/>
          <w:highlight w:val="none"/>
          <w:shd w:val="clear" w:color="auto" w:fill="auto"/>
        </w:rPr>
        <w:t>属于我区</w:t>
      </w:r>
      <w:r>
        <w:rPr>
          <w:rFonts w:hint="eastAsia" w:ascii="Times New Roman" w:hAnsi="Times New Roman" w:eastAsia="仿宋_GB2312" w:cs="Times New Roman"/>
          <w:color w:val="auto"/>
          <w:spacing w:val="0"/>
          <w:sz w:val="32"/>
          <w:szCs w:val="32"/>
          <w:highlight w:val="none"/>
          <w:shd w:val="clear" w:color="auto" w:fill="auto"/>
          <w:lang w:eastAsia="zh-CN"/>
        </w:rPr>
        <w:t>城乡特困人员</w:t>
      </w:r>
      <w:r>
        <w:rPr>
          <w:rFonts w:hint="eastAsia" w:ascii="Times New Roman" w:hAnsi="Times New Roman" w:eastAsia="仿宋_GB2312" w:cs="Times New Roman"/>
          <w:color w:val="auto"/>
          <w:spacing w:val="0"/>
          <w:sz w:val="32"/>
          <w:szCs w:val="32"/>
          <w:highlight w:val="none"/>
          <w:shd w:val="clear" w:color="auto" w:fill="auto"/>
        </w:rPr>
        <w:t>、孤儿、事实无人抚养儿童、城乡</w:t>
      </w:r>
    </w:p>
    <w:p w14:paraId="29CCC9B1">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ind w:right="0" w:rightChars="0" w:firstLine="0" w:firstLineChars="0"/>
        <w:jc w:val="both"/>
        <w:textAlignment w:val="baseline"/>
        <w:rPr>
          <w:rFonts w:hint="eastAsia" w:ascii="Times New Roman" w:hAnsi="Times New Roman" w:eastAsia="仿宋_GB2312" w:cs="Times New Roman"/>
          <w:color w:val="auto"/>
          <w:spacing w:val="0"/>
          <w:sz w:val="32"/>
          <w:szCs w:val="32"/>
          <w:highlight w:val="none"/>
          <w:u w:val="none"/>
          <w:shd w:val="clear" w:color="auto" w:fill="auto"/>
          <w:lang w:eastAsia="zh-CN"/>
        </w:rPr>
      </w:pPr>
      <w:r>
        <w:rPr>
          <w:rFonts w:hint="eastAsia" w:ascii="Times New Roman" w:hAnsi="Times New Roman" w:eastAsia="仿宋_GB2312" w:cs="Times New Roman"/>
          <w:color w:val="auto"/>
          <w:spacing w:val="0"/>
          <w:sz w:val="32"/>
          <w:szCs w:val="32"/>
          <w:highlight w:val="none"/>
          <w:shd w:val="clear" w:color="auto" w:fill="auto"/>
        </w:rPr>
        <w:t>低保对象</w:t>
      </w:r>
      <w:r>
        <w:rPr>
          <w:rFonts w:hint="eastAsia" w:ascii="Times New Roman" w:hAnsi="Times New Roman" w:eastAsia="仿宋_GB2312" w:cs="Times New Roman"/>
          <w:color w:val="auto"/>
          <w:spacing w:val="0"/>
          <w:sz w:val="32"/>
          <w:szCs w:val="32"/>
          <w:highlight w:val="none"/>
          <w:shd w:val="clear" w:color="auto" w:fill="auto"/>
          <w:lang w:eastAsia="zh-CN"/>
        </w:rPr>
        <w:t>、</w:t>
      </w:r>
      <w:r>
        <w:rPr>
          <w:rFonts w:hint="eastAsia" w:ascii="Times New Roman" w:hAnsi="Times New Roman" w:eastAsia="仿宋_GB2312" w:cs="Times New Roman"/>
          <w:color w:val="auto"/>
          <w:spacing w:val="0"/>
          <w:sz w:val="32"/>
          <w:szCs w:val="32"/>
          <w:highlight w:val="none"/>
          <w:shd w:val="clear" w:color="auto" w:fill="auto"/>
          <w:lang w:val="en-US" w:eastAsia="zh-CN"/>
        </w:rPr>
        <w:t>防止返贫致贫对象，</w:t>
      </w:r>
      <w:r>
        <w:rPr>
          <w:rFonts w:hint="eastAsia" w:ascii="Times New Roman" w:hAnsi="Times New Roman" w:eastAsia="仿宋_GB2312" w:cs="Times New Roman"/>
          <w:color w:val="auto"/>
          <w:spacing w:val="0"/>
          <w:sz w:val="32"/>
          <w:szCs w:val="32"/>
          <w:highlight w:val="none"/>
          <w:u w:val="none"/>
          <w:shd w:val="clear" w:color="auto" w:fill="auto"/>
        </w:rPr>
        <w:t>在以上</w:t>
      </w:r>
      <w:r>
        <w:rPr>
          <w:rFonts w:hint="eastAsia" w:ascii="Times New Roman" w:hAnsi="Times New Roman" w:eastAsia="仿宋_GB2312" w:cs="Times New Roman"/>
          <w:color w:val="auto"/>
          <w:spacing w:val="0"/>
          <w:sz w:val="32"/>
          <w:szCs w:val="32"/>
          <w:highlight w:val="none"/>
          <w:u w:val="none"/>
          <w:shd w:val="clear" w:color="auto" w:fill="auto"/>
          <w:lang w:eastAsia="zh-CN"/>
        </w:rPr>
        <w:t>支付</w:t>
      </w:r>
      <w:r>
        <w:rPr>
          <w:rFonts w:hint="eastAsia" w:ascii="Times New Roman" w:hAnsi="Times New Roman" w:eastAsia="仿宋_GB2312" w:cs="Times New Roman"/>
          <w:color w:val="auto"/>
          <w:spacing w:val="0"/>
          <w:sz w:val="32"/>
          <w:szCs w:val="32"/>
          <w:highlight w:val="none"/>
          <w:u w:val="none"/>
          <w:shd w:val="clear" w:color="auto" w:fill="auto"/>
        </w:rPr>
        <w:t>比例基础上提高</w:t>
      </w:r>
      <w:r>
        <w:rPr>
          <w:rFonts w:hint="eastAsia" w:ascii="Times New Roman" w:hAnsi="Times New Roman" w:eastAsia="仿宋_GB2312" w:cs="Times New Roman"/>
          <w:color w:val="auto"/>
          <w:spacing w:val="0"/>
          <w:sz w:val="32"/>
          <w:szCs w:val="32"/>
          <w:highlight w:val="none"/>
          <w:u w:val="none"/>
          <w:shd w:val="clear" w:color="auto" w:fill="auto"/>
          <w:lang w:val="en-US" w:eastAsia="zh-CN"/>
        </w:rPr>
        <w:t>5个百分点</w:t>
      </w:r>
      <w:r>
        <w:rPr>
          <w:rFonts w:hint="eastAsia" w:ascii="Times New Roman" w:hAnsi="Times New Roman" w:eastAsia="仿宋_GB2312" w:cs="Times New Roman"/>
          <w:color w:val="auto"/>
          <w:spacing w:val="0"/>
          <w:sz w:val="32"/>
          <w:szCs w:val="32"/>
          <w:highlight w:val="none"/>
          <w:u w:val="none"/>
          <w:shd w:val="clear" w:color="auto" w:fill="auto"/>
        </w:rPr>
        <w:t>。</w:t>
      </w:r>
    </w:p>
    <w:p w14:paraId="478C0F63">
      <w:pPr>
        <w:keepNext w:val="0"/>
        <w:keepLines w:val="0"/>
        <w:pageBreakBefore w:val="0"/>
        <w:widowControl/>
        <w:kinsoku/>
        <w:wordWrap/>
        <w:overflowPunct/>
        <w:topLinePunct w:val="0"/>
        <w:autoSpaceDE/>
        <w:autoSpaceDN/>
        <w:bidi w:val="0"/>
        <w:adjustRightInd w:val="0"/>
        <w:snapToGrid w:val="0"/>
        <w:spacing w:beforeLines="0" w:afterLines="0" w:line="560" w:lineRule="exact"/>
        <w:ind w:right="0" w:firstLine="640" w:firstLineChars="200"/>
        <w:jc w:val="both"/>
        <w:textAlignment w:val="baseline"/>
        <w:rPr>
          <w:rFonts w:hint="default" w:ascii="Times New Roman" w:hAnsi="Times New Roman" w:eastAsia="仿宋_GB2312" w:cs="Times New Roman"/>
          <w:snapToGrid/>
          <w:color w:val="auto"/>
          <w:kern w:val="2"/>
          <w:sz w:val="32"/>
          <w:szCs w:val="32"/>
          <w:highlight w:val="none"/>
          <w:bdr w:val="single" w:color="000000" w:sz="4" w:space="0"/>
          <w:shd w:val="clear" w:color="auto" w:fill="auto"/>
          <w:lang w:val="en-US" w:eastAsia="zh-CN"/>
        </w:rPr>
      </w:pPr>
      <w:r>
        <w:rPr>
          <w:rFonts w:hint="eastAsia" w:ascii="Times New Roman" w:hAnsi="Times New Roman" w:eastAsia="楷体_GB2312" w:cs="楷体_GB2312"/>
          <w:color w:val="auto"/>
          <w:spacing w:val="0"/>
          <w:sz w:val="32"/>
          <w:szCs w:val="32"/>
          <w:highlight w:val="none"/>
          <w:shd w:val="clear" w:color="auto" w:fill="auto"/>
          <w:lang w:val="en-US" w:eastAsia="zh-CN"/>
        </w:rPr>
        <w:t>（三）年度支付限额</w:t>
      </w:r>
      <w:r>
        <w:rPr>
          <w:rFonts w:hint="eastAsia" w:ascii="Times New Roman" w:hAnsi="Times New Roman" w:eastAsia="楷体_GB2312" w:cs="楷体_GB2312"/>
          <w:snapToGrid/>
          <w:color w:val="auto"/>
          <w:spacing w:val="0"/>
          <w:kern w:val="2"/>
          <w:sz w:val="32"/>
          <w:szCs w:val="32"/>
          <w:highlight w:val="none"/>
          <w:u w:val="none"/>
          <w:shd w:val="clear" w:color="auto" w:fill="auto"/>
          <w:lang w:val="en-US" w:eastAsia="zh-CN"/>
        </w:rPr>
        <w:t>。</w:t>
      </w:r>
      <w:r>
        <w:rPr>
          <w:rFonts w:hint="eastAsia" w:ascii="Times New Roman" w:hAnsi="Times New Roman" w:eastAsia="仿宋_GB2312" w:cs="Times New Roman"/>
          <w:i w:val="0"/>
          <w:iCs w:val="0"/>
          <w:caps w:val="0"/>
          <w:snapToGrid/>
          <w:color w:val="auto"/>
          <w:spacing w:val="0"/>
          <w:kern w:val="2"/>
          <w:sz w:val="32"/>
          <w:szCs w:val="32"/>
          <w:highlight w:val="none"/>
          <w:u w:val="none"/>
          <w:shd w:val="clear" w:color="auto" w:fill="auto"/>
          <w:lang w:eastAsia="zh-CN"/>
        </w:rPr>
        <w:t>大病保险最高支付限额</w:t>
      </w:r>
      <w:r>
        <w:rPr>
          <w:rFonts w:hint="eastAsia" w:ascii="Times New Roman" w:hAnsi="Times New Roman" w:eastAsia="仿宋_GB2312" w:cs="Times New Roman"/>
          <w:snapToGrid w:val="0"/>
          <w:color w:val="auto"/>
          <w:spacing w:val="0"/>
          <w:kern w:val="0"/>
          <w:sz w:val="32"/>
          <w:szCs w:val="32"/>
          <w:highlight w:val="none"/>
          <w:shd w:val="clear" w:color="auto" w:fill="auto"/>
          <w:lang w:val="en-US" w:eastAsia="zh-CN"/>
        </w:rPr>
        <w:t>原则上为</w:t>
      </w:r>
      <w:r>
        <w:rPr>
          <w:rFonts w:hint="eastAsia" w:ascii="Times New Roman" w:hAnsi="Times New Roman" w:eastAsia="仿宋_GB2312" w:cs="Times New Roman"/>
          <w:snapToGrid/>
          <w:color w:val="auto"/>
          <w:spacing w:val="0"/>
          <w:kern w:val="2"/>
          <w:sz w:val="32"/>
          <w:szCs w:val="32"/>
          <w:highlight w:val="none"/>
          <w:u w:val="none"/>
          <w:shd w:val="clear" w:color="auto" w:fill="auto"/>
          <w:lang w:val="en-US" w:eastAsia="zh-CN"/>
        </w:rPr>
        <w:t>统计部门最新公布的</w:t>
      </w:r>
      <w:r>
        <w:rPr>
          <w:rFonts w:hint="eastAsia" w:ascii="Times New Roman" w:hAnsi="Times New Roman" w:eastAsia="仿宋_GB2312" w:cs="Times New Roman"/>
          <w:snapToGrid w:val="0"/>
          <w:color w:val="auto"/>
          <w:spacing w:val="0"/>
          <w:kern w:val="0"/>
          <w:sz w:val="32"/>
          <w:szCs w:val="32"/>
          <w:highlight w:val="none"/>
          <w:shd w:val="clear" w:color="auto" w:fill="auto"/>
          <w:lang w:val="en-US" w:eastAsia="zh-CN"/>
        </w:rPr>
        <w:t>广西居民人均可支配收入的6倍。现阶段最高支付限额50万元，将随着人均可支配收入的上涨逐步过渡到6倍。</w:t>
      </w:r>
    </w:p>
    <w:p w14:paraId="259F8A3D">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both"/>
        <w:textAlignment w:val="auto"/>
        <w:rPr>
          <w:rFonts w:ascii="Times New Roman" w:hAnsi="Times New Roman" w:eastAsia="黑体" w:cs="黑体"/>
          <w:color w:val="auto"/>
          <w:spacing w:val="0"/>
          <w:sz w:val="32"/>
          <w:szCs w:val="32"/>
          <w:highlight w:val="none"/>
          <w:shd w:val="clear" w:color="auto" w:fill="auto"/>
        </w:rPr>
      </w:pPr>
      <w:r>
        <w:rPr>
          <w:rFonts w:hint="eastAsia" w:ascii="Times New Roman" w:hAnsi="Times New Roman" w:eastAsia="黑体" w:cs="黑体"/>
          <w:color w:val="auto"/>
          <w:spacing w:val="0"/>
          <w:sz w:val="32"/>
          <w:szCs w:val="32"/>
          <w:highlight w:val="none"/>
          <w:shd w:val="clear" w:color="auto" w:fill="auto"/>
          <w:lang w:val="en-US" w:eastAsia="zh-CN"/>
        </w:rPr>
        <w:t>四、</w:t>
      </w:r>
      <w:r>
        <w:rPr>
          <w:rFonts w:ascii="Times New Roman" w:hAnsi="Times New Roman" w:eastAsia="黑体" w:cs="黑体"/>
          <w:color w:val="auto"/>
          <w:spacing w:val="0"/>
          <w:sz w:val="32"/>
          <w:szCs w:val="32"/>
          <w:highlight w:val="none"/>
          <w:shd w:val="clear" w:color="auto" w:fill="auto"/>
        </w:rPr>
        <w:t>优化承办机制，充分激发市场活力</w:t>
      </w:r>
    </w:p>
    <w:p w14:paraId="7E0D11EC">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仿宋_GB2312"/>
          <w:b w:val="0"/>
          <w:bCs w:val="0"/>
          <w:color w:val="auto"/>
          <w:spacing w:val="0"/>
          <w:sz w:val="32"/>
          <w:szCs w:val="32"/>
          <w:highlight w:val="none"/>
          <w:u w:val="none"/>
          <w:shd w:val="clear" w:color="auto" w:fill="auto"/>
          <w:lang w:val="en-US" w:eastAsia="zh-CN"/>
        </w:rPr>
      </w:pPr>
      <w:r>
        <w:rPr>
          <w:rFonts w:hint="eastAsia" w:ascii="Times New Roman" w:hAnsi="Times New Roman" w:eastAsia="楷体_GB2312" w:cs="楷体_GB2312"/>
          <w:i w:val="0"/>
          <w:iCs w:val="0"/>
          <w:caps w:val="0"/>
          <w:color w:val="auto"/>
          <w:spacing w:val="0"/>
          <w:sz w:val="32"/>
          <w:szCs w:val="32"/>
          <w:highlight w:val="none"/>
          <w:u w:val="none"/>
          <w:shd w:val="clear" w:color="auto" w:fill="auto"/>
          <w:lang w:eastAsia="zh-CN"/>
        </w:rPr>
        <w:t>（一）</w:t>
      </w:r>
      <w:r>
        <w:rPr>
          <w:rFonts w:hint="eastAsia" w:ascii="Times New Roman" w:hAnsi="Times New Roman" w:eastAsia="楷体_GB2312" w:cs="楷体_GB2312"/>
          <w:i w:val="0"/>
          <w:iCs w:val="0"/>
          <w:caps w:val="0"/>
          <w:color w:val="auto"/>
          <w:spacing w:val="0"/>
          <w:sz w:val="32"/>
          <w:szCs w:val="32"/>
          <w:highlight w:val="none"/>
          <w:u w:val="none"/>
          <w:shd w:val="clear" w:color="auto" w:fill="auto"/>
          <w:lang w:val="en-US" w:eastAsia="zh-CN"/>
        </w:rPr>
        <w:t>压实</w:t>
      </w:r>
      <w:r>
        <w:rPr>
          <w:rFonts w:hint="eastAsia" w:ascii="Times New Roman" w:hAnsi="Times New Roman" w:eastAsia="楷体_GB2312" w:cs="楷体_GB2312"/>
          <w:i w:val="0"/>
          <w:iCs w:val="0"/>
          <w:caps w:val="0"/>
          <w:color w:val="auto"/>
          <w:spacing w:val="0"/>
          <w:sz w:val="32"/>
          <w:szCs w:val="32"/>
          <w:highlight w:val="none"/>
          <w:u w:val="none"/>
          <w:shd w:val="clear" w:color="auto" w:fill="auto"/>
          <w:lang w:eastAsia="zh-CN"/>
        </w:rPr>
        <w:t>属地</w:t>
      </w:r>
      <w:r>
        <w:rPr>
          <w:rFonts w:hint="eastAsia" w:ascii="Times New Roman" w:hAnsi="Times New Roman" w:eastAsia="楷体_GB2312" w:cs="楷体_GB2312"/>
          <w:i w:val="0"/>
          <w:iCs w:val="0"/>
          <w:caps w:val="0"/>
          <w:color w:val="auto"/>
          <w:spacing w:val="0"/>
          <w:sz w:val="32"/>
          <w:szCs w:val="32"/>
          <w:highlight w:val="none"/>
          <w:u w:val="none"/>
          <w:shd w:val="clear" w:color="auto" w:fill="auto"/>
          <w:lang w:val="en-US" w:eastAsia="zh-CN"/>
        </w:rPr>
        <w:t>责任</w:t>
      </w:r>
      <w:r>
        <w:rPr>
          <w:rFonts w:hint="eastAsia" w:ascii="Times New Roman" w:hAnsi="Times New Roman" w:eastAsia="楷体_GB2312" w:cs="楷体_GB2312"/>
          <w:i w:val="0"/>
          <w:iCs w:val="0"/>
          <w:caps w:val="0"/>
          <w:color w:val="auto"/>
          <w:spacing w:val="0"/>
          <w:sz w:val="32"/>
          <w:szCs w:val="32"/>
          <w:highlight w:val="none"/>
          <w:u w:val="none"/>
          <w:shd w:val="clear" w:color="auto" w:fill="auto"/>
          <w:lang w:eastAsia="zh-CN"/>
        </w:rPr>
        <w:t>。</w:t>
      </w:r>
      <w:r>
        <w:rPr>
          <w:rFonts w:hint="eastAsia" w:ascii="Times New Roman" w:hAnsi="Times New Roman" w:eastAsia="仿宋_GB2312" w:cs="Times New Roman"/>
          <w:i w:val="0"/>
          <w:iCs w:val="0"/>
          <w:caps w:val="0"/>
          <w:color w:val="auto"/>
          <w:spacing w:val="0"/>
          <w:sz w:val="32"/>
          <w:szCs w:val="32"/>
          <w:highlight w:val="none"/>
          <w:u w:val="none"/>
          <w:shd w:val="clear" w:color="auto" w:fill="auto"/>
          <w:lang w:eastAsia="zh-CN"/>
        </w:rPr>
        <w:t>持续</w:t>
      </w:r>
      <w:r>
        <w:rPr>
          <w:rFonts w:hint="eastAsia" w:ascii="Times New Roman" w:hAnsi="Times New Roman" w:eastAsia="仿宋_GB2312" w:cs="仿宋_GB2312"/>
          <w:color w:val="auto"/>
          <w:spacing w:val="0"/>
          <w:sz w:val="32"/>
          <w:szCs w:val="32"/>
          <w:highlight w:val="none"/>
          <w:u w:val="none"/>
          <w:shd w:val="clear" w:color="auto" w:fill="auto"/>
          <w:lang w:eastAsia="zh-CN"/>
        </w:rPr>
        <w:t>优化大病保险服务质效，</w:t>
      </w:r>
      <w:r>
        <w:rPr>
          <w:rFonts w:hint="eastAsia" w:ascii="Times New Roman" w:hAnsi="Times New Roman" w:eastAsia="仿宋_GB2312" w:cs="仿宋_GB2312"/>
          <w:color w:val="auto"/>
          <w:spacing w:val="0"/>
          <w:sz w:val="32"/>
          <w:szCs w:val="32"/>
          <w:highlight w:val="none"/>
          <w:u w:val="none"/>
          <w:shd w:val="clear" w:color="auto" w:fill="auto"/>
          <w:lang w:val="en-US" w:eastAsia="zh-CN"/>
        </w:rPr>
        <w:t>充分</w:t>
      </w:r>
      <w:r>
        <w:rPr>
          <w:rFonts w:hint="eastAsia" w:ascii="Times New Roman" w:hAnsi="Times New Roman" w:eastAsia="仿宋_GB2312" w:cs="仿宋_GB2312"/>
          <w:color w:val="auto"/>
          <w:spacing w:val="0"/>
          <w:sz w:val="32"/>
          <w:szCs w:val="32"/>
          <w:highlight w:val="none"/>
          <w:u w:val="none"/>
          <w:shd w:val="clear" w:color="auto" w:fill="auto"/>
          <w:lang w:eastAsia="zh-CN"/>
        </w:rPr>
        <w:t>激发市场主体</w:t>
      </w:r>
      <w:r>
        <w:rPr>
          <w:rFonts w:hint="eastAsia" w:ascii="Times New Roman" w:hAnsi="Times New Roman" w:eastAsia="仿宋_GB2312" w:cs="仿宋_GB2312"/>
          <w:color w:val="auto"/>
          <w:spacing w:val="0"/>
          <w:sz w:val="32"/>
          <w:szCs w:val="32"/>
          <w:highlight w:val="none"/>
          <w:u w:val="none"/>
          <w:shd w:val="clear" w:color="auto" w:fill="auto"/>
          <w:lang w:val="en-US" w:eastAsia="zh-CN"/>
        </w:rPr>
        <w:t>竞争</w:t>
      </w:r>
      <w:r>
        <w:rPr>
          <w:rFonts w:hint="eastAsia" w:ascii="Times New Roman" w:hAnsi="Times New Roman" w:eastAsia="仿宋_GB2312" w:cs="仿宋_GB2312"/>
          <w:color w:val="auto"/>
          <w:spacing w:val="0"/>
          <w:sz w:val="32"/>
          <w:szCs w:val="32"/>
          <w:highlight w:val="none"/>
          <w:u w:val="none"/>
          <w:shd w:val="clear" w:color="auto" w:fill="auto"/>
          <w:lang w:eastAsia="zh-CN"/>
        </w:rPr>
        <w:t>活力</w:t>
      </w:r>
      <w:r>
        <w:rPr>
          <w:rFonts w:hint="eastAsia" w:ascii="Times New Roman" w:hAnsi="Times New Roman" w:eastAsia="仿宋_GB2312" w:cs="仿宋_GB2312"/>
          <w:color w:val="auto"/>
          <w:spacing w:val="0"/>
          <w:sz w:val="32"/>
          <w:szCs w:val="32"/>
          <w:highlight w:val="none"/>
          <w:u w:val="none"/>
          <w:shd w:val="clear" w:color="auto" w:fill="auto"/>
          <w:lang w:val="en-US" w:eastAsia="zh-CN"/>
        </w:rPr>
        <w:t>，由各地</w:t>
      </w:r>
      <w:r>
        <w:rPr>
          <w:rFonts w:hint="eastAsia" w:ascii="Times New Roman" w:hAnsi="Times New Roman" w:eastAsia="仿宋_GB2312" w:cs="仿宋_GB2312"/>
          <w:b w:val="0"/>
          <w:bCs w:val="0"/>
          <w:color w:val="auto"/>
          <w:spacing w:val="0"/>
          <w:sz w:val="32"/>
          <w:szCs w:val="32"/>
          <w:highlight w:val="none"/>
          <w:u w:val="none"/>
          <w:shd w:val="clear" w:color="auto" w:fill="auto"/>
          <w:lang w:val="en-US" w:eastAsia="zh-CN"/>
        </w:rPr>
        <w:t>结合本地实际，自主制定本地区大病保险承办招标实施方案并组织实施，招标结果报自治区医保局、财政厅、广西金融监管局备案。</w:t>
      </w:r>
    </w:p>
    <w:p w14:paraId="378ACF2C">
      <w:pPr>
        <w:kinsoku/>
        <w:wordWrap/>
        <w:adjustRightInd w:val="0"/>
        <w:snapToGrid w:val="0"/>
        <w:spacing w:beforeLines="0" w:afterLines="0" w:line="560" w:lineRule="exact"/>
        <w:ind w:right="0" w:firstLine="640" w:firstLineChars="200"/>
        <w:jc w:val="both"/>
        <w:textAlignment w:val="baseline"/>
        <w:outlineLvl w:val="9"/>
        <w:rPr>
          <w:rStyle w:val="7"/>
          <w:rFonts w:hint="eastAsia" w:ascii="Times New Roman" w:hAnsi="Times New Roman" w:eastAsia="仿宋_GB2312" w:cs="Times New Roman"/>
          <w:b w:val="0"/>
          <w:bCs w:val="0"/>
          <w:color w:val="auto"/>
          <w:kern w:val="2"/>
          <w:sz w:val="32"/>
          <w:szCs w:val="32"/>
          <w:highlight w:val="yellow"/>
          <w:u w:val="none"/>
          <w:shd w:val="clear" w:color="auto" w:fill="auto"/>
          <w:lang w:val="en-US" w:eastAsia="zh-CN" w:bidi="ar"/>
        </w:rPr>
      </w:pPr>
      <w:r>
        <w:rPr>
          <w:rFonts w:hint="eastAsia" w:ascii="Times New Roman" w:hAnsi="Times New Roman" w:eastAsia="楷体_GB2312" w:cs="楷体_GB2312"/>
          <w:color w:val="auto"/>
          <w:spacing w:val="0"/>
          <w:sz w:val="32"/>
          <w:szCs w:val="32"/>
          <w:highlight w:val="none"/>
          <w:u w:val="none"/>
          <w:shd w:val="clear" w:color="auto" w:fill="auto"/>
          <w:lang w:eastAsia="zh-CN"/>
        </w:rPr>
        <w:t>（</w:t>
      </w:r>
      <w:r>
        <w:rPr>
          <w:rFonts w:hint="eastAsia" w:ascii="Times New Roman" w:hAnsi="Times New Roman" w:eastAsia="楷体_GB2312" w:cs="楷体_GB2312"/>
          <w:color w:val="auto"/>
          <w:spacing w:val="0"/>
          <w:sz w:val="32"/>
          <w:szCs w:val="32"/>
          <w:highlight w:val="none"/>
          <w:u w:val="none"/>
          <w:shd w:val="clear" w:color="auto" w:fill="auto"/>
          <w:lang w:val="en-US" w:eastAsia="zh-CN"/>
        </w:rPr>
        <w:t>二</w:t>
      </w:r>
      <w:r>
        <w:rPr>
          <w:rFonts w:hint="eastAsia" w:ascii="Times New Roman" w:hAnsi="Times New Roman" w:eastAsia="楷体_GB2312" w:cs="楷体_GB2312"/>
          <w:color w:val="auto"/>
          <w:spacing w:val="0"/>
          <w:sz w:val="32"/>
          <w:szCs w:val="32"/>
          <w:highlight w:val="none"/>
          <w:u w:val="none"/>
          <w:shd w:val="clear" w:color="auto" w:fill="auto"/>
          <w:lang w:eastAsia="zh-CN"/>
        </w:rPr>
        <w:t>）规范招标</w:t>
      </w:r>
      <w:r>
        <w:rPr>
          <w:rFonts w:hint="eastAsia" w:ascii="Times New Roman" w:hAnsi="Times New Roman" w:eastAsia="楷体_GB2312" w:cs="楷体_GB2312"/>
          <w:color w:val="auto"/>
          <w:spacing w:val="0"/>
          <w:sz w:val="32"/>
          <w:szCs w:val="32"/>
          <w:highlight w:val="none"/>
          <w:u w:val="none"/>
          <w:shd w:val="clear" w:color="auto" w:fill="auto"/>
          <w:lang w:val="en-US" w:eastAsia="zh-CN"/>
        </w:rPr>
        <w:t>机制</w:t>
      </w:r>
      <w:r>
        <w:rPr>
          <w:rFonts w:hint="eastAsia" w:ascii="Times New Roman" w:hAnsi="Times New Roman" w:eastAsia="楷体_GB2312" w:cs="楷体_GB2312"/>
          <w:color w:val="auto"/>
          <w:spacing w:val="0"/>
          <w:sz w:val="32"/>
          <w:szCs w:val="32"/>
          <w:highlight w:val="none"/>
          <w:u w:val="none"/>
          <w:shd w:val="clear" w:color="auto" w:fill="auto"/>
        </w:rPr>
        <w:t>。</w:t>
      </w:r>
      <w:r>
        <w:rPr>
          <w:rFonts w:hint="eastAsia" w:ascii="Times New Roman" w:hAnsi="Times New Roman" w:eastAsia="仿宋_GB2312" w:cs="Times New Roman"/>
          <w:color w:val="auto"/>
          <w:sz w:val="32"/>
          <w:szCs w:val="32"/>
          <w:highlight w:val="none"/>
          <w:u w:val="none"/>
          <w:shd w:val="clear" w:color="auto" w:fill="auto"/>
          <w:lang w:val="en-US" w:eastAsia="zh-CN"/>
        </w:rPr>
        <w:t>坚持收支平衡、公平竞争、风险共担原则，规范招标采购程序。统筹地区内选定不超过3家商业保险机构承办大病保险，合作期限以不低于3年为一个周期。统筹做好承办周期衔接工作，合理安排招标进度，确保大病保险运行平稳有序、参保群众待遇保障持续稳定。</w:t>
      </w:r>
    </w:p>
    <w:p w14:paraId="68027ADF">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ind w:firstLine="640" w:firstLineChars="200"/>
        <w:jc w:val="both"/>
        <w:textAlignment w:val="baseline"/>
        <w:outlineLvl w:val="9"/>
        <w:rPr>
          <w:rStyle w:val="7"/>
          <w:rFonts w:hint="eastAsia" w:ascii="Times New Roman" w:hAnsi="Times New Roman" w:eastAsia="仿宋_GB2312" w:cs="Times New Roman"/>
          <w:b w:val="0"/>
          <w:bCs w:val="0"/>
          <w:snapToGrid w:val="0"/>
          <w:color w:val="auto"/>
          <w:kern w:val="2"/>
          <w:sz w:val="32"/>
          <w:szCs w:val="32"/>
          <w:highlight w:val="none"/>
          <w:u w:val="none"/>
          <w:shd w:val="clear" w:color="auto" w:fill="auto"/>
          <w:lang w:val="en-US" w:eastAsia="zh-CN" w:bidi="ar"/>
        </w:rPr>
      </w:pPr>
      <w:r>
        <w:rPr>
          <w:rFonts w:hint="eastAsia" w:ascii="Times New Roman" w:hAnsi="Times New Roman" w:eastAsia="楷体_GB2312" w:cs="楷体_GB2312"/>
          <w:b w:val="0"/>
          <w:bCs w:val="0"/>
          <w:color w:val="auto"/>
          <w:spacing w:val="0"/>
          <w:kern w:val="0"/>
          <w:sz w:val="32"/>
          <w:szCs w:val="32"/>
          <w:highlight w:val="none"/>
          <w:u w:val="none"/>
          <w:shd w:val="clear" w:color="auto" w:fill="auto"/>
          <w:lang w:val="en-US" w:eastAsia="zh-CN" w:bidi="ar-SA"/>
        </w:rPr>
        <w:t>（三）健全盈亏调节与考核评估机制。</w:t>
      </w:r>
      <w:r>
        <w:rPr>
          <w:rFonts w:hint="eastAsia" w:ascii="Times New Roman" w:hAnsi="Times New Roman" w:eastAsia="仿宋_GB2312" w:cs="仿宋_GB2312"/>
          <w:b w:val="0"/>
          <w:bCs w:val="0"/>
          <w:color w:val="auto"/>
          <w:spacing w:val="0"/>
          <w:kern w:val="0"/>
          <w:sz w:val="32"/>
          <w:szCs w:val="32"/>
          <w:highlight w:val="none"/>
          <w:u w:val="none"/>
          <w:shd w:val="clear" w:color="auto" w:fill="auto"/>
          <w:lang w:val="en-US" w:eastAsia="zh-CN" w:bidi="ar-SA"/>
        </w:rPr>
        <w:t>优化</w:t>
      </w:r>
      <w:r>
        <w:rPr>
          <w:rFonts w:hint="eastAsia" w:ascii="Times New Roman" w:hAnsi="Times New Roman" w:eastAsia="仿宋_GB2312" w:cs="仿宋_GB2312"/>
          <w:color w:val="auto"/>
          <w:sz w:val="32"/>
          <w:szCs w:val="32"/>
          <w:highlight w:val="none"/>
          <w:u w:val="none"/>
          <w:shd w:val="clear" w:color="auto" w:fill="auto"/>
          <w:lang w:val="en-US" w:eastAsia="zh-CN"/>
        </w:rPr>
        <w:t>与</w:t>
      </w:r>
      <w:r>
        <w:rPr>
          <w:rFonts w:hint="eastAsia" w:ascii="Times New Roman" w:hAnsi="Times New Roman" w:eastAsia="仿宋_GB2312" w:cs="Times New Roman"/>
          <w:color w:val="auto"/>
          <w:sz w:val="32"/>
          <w:szCs w:val="32"/>
          <w:highlight w:val="none"/>
          <w:u w:val="none"/>
          <w:shd w:val="clear" w:color="auto" w:fill="auto"/>
          <w:lang w:val="en-US" w:eastAsia="zh-CN"/>
        </w:rPr>
        <w:t>商业保险机构权责划分、超支分担机制，完善对承办大病保险商业保险机构的考核评估机制。各地</w:t>
      </w:r>
      <w:r>
        <w:rPr>
          <w:rStyle w:val="7"/>
          <w:rFonts w:hint="eastAsia" w:ascii="Times New Roman" w:hAnsi="Times New Roman" w:eastAsia="仿宋_GB2312" w:cs="Times New Roman"/>
          <w:b w:val="0"/>
          <w:bCs w:val="0"/>
          <w:color w:val="auto"/>
          <w:kern w:val="2"/>
          <w:sz w:val="32"/>
          <w:szCs w:val="32"/>
          <w:highlight w:val="none"/>
          <w:u w:val="none"/>
          <w:shd w:val="clear" w:color="auto" w:fill="auto"/>
          <w:lang w:val="en-US" w:eastAsia="zh-CN" w:bidi="ar"/>
        </w:rPr>
        <w:t>结合实际科学合理制定盈亏分担机制，在扣除大病保险直接赔付支出和综合管理成本（不超过大病保险资金总额的3%）后，商业保险承办机构盈利率控制在大病保险资金总额的2%（含）以内，亏损率控制在大病保险资金总额1.5%（含）以内。</w:t>
      </w:r>
    </w:p>
    <w:p w14:paraId="3794CD69">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ind w:firstLine="640" w:firstLineChars="200"/>
        <w:jc w:val="both"/>
        <w:textAlignment w:val="baseline"/>
        <w:outlineLvl w:val="9"/>
        <w:rPr>
          <w:rStyle w:val="7"/>
          <w:rFonts w:hint="eastAsia" w:ascii="Times New Roman" w:hAnsi="Times New Roman" w:eastAsia="仿宋_GB2312" w:cs="Times New Roman"/>
          <w:b w:val="0"/>
          <w:bCs w:val="0"/>
          <w:snapToGrid w:val="0"/>
          <w:color w:val="auto"/>
          <w:kern w:val="2"/>
          <w:sz w:val="32"/>
          <w:szCs w:val="32"/>
          <w:highlight w:val="none"/>
          <w:u w:val="none"/>
          <w:shd w:val="clear" w:color="auto" w:fill="auto"/>
          <w:lang w:val="en-US" w:eastAsia="zh-CN" w:bidi="ar"/>
        </w:rPr>
      </w:pPr>
      <w:r>
        <w:rPr>
          <w:rFonts w:hint="eastAsia" w:ascii="Times New Roman" w:hAnsi="Times New Roman" w:eastAsia="楷体_GB2312" w:cs="楷体_GB2312"/>
          <w:b w:val="0"/>
          <w:bCs w:val="0"/>
          <w:snapToGrid w:val="0"/>
          <w:color w:val="auto"/>
          <w:spacing w:val="0"/>
          <w:kern w:val="0"/>
          <w:sz w:val="32"/>
          <w:szCs w:val="32"/>
          <w:highlight w:val="none"/>
          <w:u w:val="none"/>
          <w:shd w:val="clear" w:color="auto" w:fill="auto"/>
          <w:lang w:val="en-US" w:eastAsia="zh-CN" w:bidi="ar"/>
        </w:rPr>
        <w:t>（四）</w:t>
      </w:r>
      <w:r>
        <w:rPr>
          <w:rStyle w:val="7"/>
          <w:rFonts w:hint="eastAsia" w:ascii="Times New Roman" w:hAnsi="Times New Roman" w:eastAsia="楷体_GB2312" w:cs="楷体_GB2312"/>
          <w:b w:val="0"/>
          <w:bCs w:val="0"/>
          <w:snapToGrid w:val="0"/>
          <w:color w:val="auto"/>
          <w:spacing w:val="0"/>
          <w:kern w:val="0"/>
          <w:sz w:val="32"/>
          <w:szCs w:val="32"/>
          <w:highlight w:val="none"/>
          <w:u w:val="none"/>
          <w:shd w:val="clear" w:color="auto" w:fill="auto"/>
          <w:lang w:val="en-US" w:eastAsia="zh-CN" w:bidi="ar"/>
        </w:rPr>
        <w:t>强化</w:t>
      </w:r>
      <w:r>
        <w:rPr>
          <w:rFonts w:hint="eastAsia" w:ascii="Times New Roman" w:hAnsi="Times New Roman" w:eastAsia="楷体_GB2312" w:cs="楷体_GB2312"/>
          <w:b w:val="0"/>
          <w:bCs w:val="0"/>
          <w:color w:val="auto"/>
          <w:spacing w:val="0"/>
          <w:kern w:val="0"/>
          <w:sz w:val="32"/>
          <w:szCs w:val="32"/>
          <w:highlight w:val="none"/>
          <w:u w:val="none"/>
          <w:shd w:val="clear" w:color="auto" w:fill="auto"/>
          <w:lang w:val="en-US" w:eastAsia="zh-CN" w:bidi="ar-SA"/>
        </w:rPr>
        <w:t>考核评估与</w:t>
      </w:r>
      <w:r>
        <w:rPr>
          <w:rStyle w:val="7"/>
          <w:rFonts w:hint="eastAsia" w:ascii="Times New Roman" w:hAnsi="Times New Roman" w:eastAsia="楷体_GB2312" w:cs="楷体_GB2312"/>
          <w:b w:val="0"/>
          <w:bCs w:val="0"/>
          <w:snapToGrid w:val="0"/>
          <w:color w:val="auto"/>
          <w:spacing w:val="0"/>
          <w:kern w:val="0"/>
          <w:sz w:val="32"/>
          <w:szCs w:val="32"/>
          <w:highlight w:val="none"/>
          <w:u w:val="none"/>
          <w:shd w:val="clear" w:color="auto" w:fill="auto"/>
          <w:lang w:val="en-US" w:eastAsia="zh-CN" w:bidi="ar"/>
        </w:rPr>
        <w:t>资金划拨管理。</w:t>
      </w:r>
      <w:r>
        <w:rPr>
          <w:rStyle w:val="7"/>
          <w:rFonts w:hint="eastAsia" w:ascii="Times New Roman" w:hAnsi="Times New Roman" w:eastAsia="仿宋_GB2312" w:cs="Times New Roman"/>
          <w:b w:val="0"/>
          <w:bCs w:val="0"/>
          <w:snapToGrid w:val="0"/>
          <w:color w:val="auto"/>
          <w:kern w:val="2"/>
          <w:sz w:val="32"/>
          <w:szCs w:val="32"/>
          <w:highlight w:val="none"/>
          <w:u w:val="none"/>
          <w:shd w:val="clear" w:color="auto" w:fill="auto"/>
          <w:lang w:val="en-US" w:eastAsia="zh-CN" w:bidi="ar"/>
        </w:rPr>
        <w:t>建立承办机构考核评估机制，资金拨付应当与考核评估结果挂钩。原则上于每年6月底前完成上年度大病保险资金结算，并按合作协议及时开展合作周期清算，严防资金拖欠问题。健全资金分阶段定期拨付机制，不得一次性拨付全年费用，严禁一次性预拨多年费用。通过分阶段定期拨付、动态调整拨付额度，压实承办机构运营责任，防范资金沉淀与管理风险。</w:t>
      </w:r>
    </w:p>
    <w:p w14:paraId="185417EE">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Times New Roman" w:hAnsi="Times New Roman" w:eastAsia="仿宋_GB2312" w:cs="仿宋_GB2312"/>
          <w:color w:val="auto"/>
          <w:sz w:val="32"/>
          <w:szCs w:val="32"/>
          <w:u w:val="none"/>
          <w:shd w:val="clear" w:color="auto" w:fill="auto"/>
          <w:lang w:val="en-US" w:eastAsia="zh-CN"/>
        </w:rPr>
      </w:pPr>
      <w:r>
        <w:rPr>
          <w:rFonts w:hint="eastAsia" w:ascii="Times New Roman" w:hAnsi="Times New Roman" w:eastAsia="楷体_GB2312" w:cs="楷体_GB2312"/>
          <w:color w:val="auto"/>
          <w:spacing w:val="0"/>
          <w:sz w:val="32"/>
          <w:szCs w:val="32"/>
          <w:highlight w:val="none"/>
          <w:u w:val="none"/>
          <w:shd w:val="clear" w:color="auto" w:fill="auto"/>
          <w:lang w:val="en-US" w:eastAsia="zh-CN"/>
        </w:rPr>
        <w:t>（五）强化统筹保障。</w:t>
      </w:r>
      <w:r>
        <w:rPr>
          <w:rFonts w:hint="eastAsia" w:ascii="Times New Roman" w:hAnsi="Times New Roman" w:eastAsia="仿宋_GB2312" w:cs="仿宋_GB2312"/>
          <w:color w:val="auto"/>
          <w:spacing w:val="0"/>
          <w:sz w:val="32"/>
          <w:szCs w:val="32"/>
          <w:highlight w:val="none"/>
          <w:u w:val="none"/>
          <w:shd w:val="clear" w:color="auto" w:fill="auto"/>
          <w:lang w:val="en-US" w:eastAsia="zh-CN"/>
        </w:rPr>
        <w:t>各地要</w:t>
      </w:r>
      <w:r>
        <w:rPr>
          <w:rFonts w:hint="eastAsia" w:ascii="Times New Roman" w:hAnsi="Times New Roman" w:eastAsia="仿宋_GB2312" w:cs="仿宋_GB2312"/>
          <w:color w:val="auto"/>
          <w:sz w:val="32"/>
          <w:szCs w:val="32"/>
          <w:u w:val="none"/>
          <w:shd w:val="clear" w:color="auto" w:fill="auto"/>
          <w:lang w:val="en-US" w:eastAsia="zh-CN"/>
        </w:rPr>
        <w:t>健全跨部门协同联动机制，形成工作合力。因特殊情况无法按期完成招标工作的，经本级人民政府同意后，可及时向自治区医保局、自治区财政厅、广西金融监管局提出申请，由自治区统筹指导开展相关工作，保障大病保险工作平稳规范运行。确需调整大病保险承办模式的，应充分研究论证，并经市级人民政府同意后，报自治区人民政府批准；在承办模式调整过程中，须及时清理历史欠账，严防形成新的资金拖欠。</w:t>
      </w:r>
    </w:p>
    <w:p w14:paraId="58E15A3E">
      <w:pPr>
        <w:keepNext w:val="0"/>
        <w:keepLines w:val="0"/>
        <w:pageBreakBefore w:val="0"/>
        <w:widowControl/>
        <w:kinsoku/>
        <w:wordWrap/>
        <w:overflowPunct/>
        <w:topLinePunct w:val="0"/>
        <w:autoSpaceDE/>
        <w:autoSpaceDN/>
        <w:bidi w:val="0"/>
        <w:adjustRightInd w:val="0"/>
        <w:snapToGrid w:val="0"/>
        <w:spacing w:before="0" w:beforeLines="0" w:afterLines="0" w:line="560" w:lineRule="exact"/>
        <w:ind w:left="624"/>
        <w:jc w:val="both"/>
        <w:textAlignment w:val="baseline"/>
        <w:outlineLvl w:val="9"/>
        <w:rPr>
          <w:rFonts w:ascii="Times New Roman" w:hAnsi="Times New Roman" w:eastAsia="黑体" w:cs="黑体"/>
          <w:b w:val="0"/>
          <w:bCs w:val="0"/>
          <w:color w:val="auto"/>
          <w:spacing w:val="0"/>
          <w:sz w:val="32"/>
          <w:szCs w:val="32"/>
          <w:shd w:val="clear" w:color="auto" w:fill="auto"/>
        </w:rPr>
      </w:pPr>
      <w:r>
        <w:rPr>
          <w:rFonts w:ascii="Times New Roman" w:hAnsi="Times New Roman" w:eastAsia="黑体" w:cs="黑体"/>
          <w:b w:val="0"/>
          <w:bCs w:val="0"/>
          <w:color w:val="auto"/>
          <w:spacing w:val="0"/>
          <w:sz w:val="32"/>
          <w:szCs w:val="32"/>
          <w:shd w:val="clear" w:color="auto" w:fill="auto"/>
        </w:rPr>
        <w:t>五、强化监督管理，坚决杜绝“跑冒滴漏”</w:t>
      </w:r>
    </w:p>
    <w:p w14:paraId="762E77FD">
      <w:pPr>
        <w:keepNext w:val="0"/>
        <w:keepLines w:val="0"/>
        <w:pageBreakBefore w:val="0"/>
        <w:widowControl/>
        <w:kinsoku/>
        <w:wordWrap/>
        <w:overflowPunct/>
        <w:topLinePunct w:val="0"/>
        <w:autoSpaceDE/>
        <w:autoSpaceDN/>
        <w:bidi w:val="0"/>
        <w:adjustRightInd/>
        <w:snapToGrid/>
        <w:spacing w:before="0" w:beforeLines="0" w:afterLines="0" w:line="560" w:lineRule="exact"/>
        <w:ind w:firstLine="640" w:firstLineChars="200"/>
        <w:jc w:val="both"/>
        <w:textAlignment w:val="auto"/>
        <w:outlineLvl w:val="9"/>
        <w:rPr>
          <w:rFonts w:hint="eastAsia" w:ascii="Times New Roman" w:hAnsi="Times New Roman" w:eastAsia="仿宋_GB2312" w:cs="仿宋_GB2312"/>
          <w:snapToGrid/>
          <w:color w:val="auto"/>
          <w:kern w:val="2"/>
          <w:sz w:val="32"/>
          <w:szCs w:val="32"/>
          <w:bdr w:val="single" w:color="000000" w:sz="4" w:space="0"/>
          <w:shd w:val="clear" w:color="auto" w:fill="auto"/>
          <w:lang w:val="en-US" w:eastAsia="zh-CN" w:bidi="ar"/>
        </w:rPr>
      </w:pPr>
      <w:r>
        <w:rPr>
          <w:rFonts w:hint="eastAsia" w:ascii="Times New Roman" w:hAnsi="Times New Roman" w:eastAsia="仿宋_GB2312" w:cs="仿宋_GB2312"/>
          <w:color w:val="auto"/>
          <w:spacing w:val="0"/>
          <w:sz w:val="32"/>
          <w:szCs w:val="32"/>
          <w:u w:val="none"/>
          <w:shd w:val="clear" w:color="auto" w:fill="auto"/>
          <w:lang w:eastAsia="zh-CN" w:bidi="ar"/>
        </w:rPr>
        <w:t>各地要建立资金运行监测预警机制，完善与商业保险承办机构风险提示制度。</w:t>
      </w:r>
      <w:r>
        <w:rPr>
          <w:rFonts w:hint="eastAsia" w:ascii="Times New Roman" w:hAnsi="Times New Roman" w:eastAsia="仿宋_GB2312" w:cs="仿宋_GB2312"/>
          <w:snapToGrid w:val="0"/>
          <w:color w:val="auto"/>
          <w:kern w:val="0"/>
          <w:sz w:val="32"/>
          <w:szCs w:val="32"/>
          <w:shd w:val="clear" w:color="auto" w:fill="auto"/>
          <w:lang w:val="en-US" w:eastAsia="zh-CN" w:bidi="ar"/>
        </w:rPr>
        <w:t>建立高额医疗费用监测机制，</w:t>
      </w:r>
      <w:r>
        <w:rPr>
          <w:rFonts w:hint="eastAsia" w:ascii="Times New Roman" w:hAnsi="Times New Roman" w:eastAsia="仿宋_GB2312" w:cs="仿宋_GB2312"/>
          <w:snapToGrid w:val="0"/>
          <w:color w:val="auto"/>
          <w:kern w:val="0"/>
          <w:sz w:val="32"/>
          <w:szCs w:val="32"/>
          <w:highlight w:val="none"/>
          <w:shd w:val="clear" w:color="auto" w:fill="auto"/>
          <w:lang w:val="en-US" w:eastAsia="zh-CN" w:bidi="ar"/>
        </w:rPr>
        <w:t>要</w:t>
      </w:r>
      <w:r>
        <w:rPr>
          <w:rFonts w:hint="eastAsia" w:ascii="Times New Roman" w:hAnsi="Times New Roman" w:eastAsia="仿宋_GB2312" w:cs="仿宋_GB2312"/>
          <w:snapToGrid w:val="0"/>
          <w:color w:val="auto"/>
          <w:kern w:val="0"/>
          <w:sz w:val="32"/>
          <w:szCs w:val="32"/>
          <w:shd w:val="clear" w:color="auto" w:fill="auto"/>
          <w:lang w:val="en-US" w:eastAsia="zh-CN" w:bidi="ar"/>
        </w:rPr>
        <w:t>重点对单次或年度医疗费用明显高于平均值的进行复核。支持有条件的地区开展大病保险支付方式改革，规范医疗机构诊疗行为，提高大病保险资金使用效率。要深入推进专项整治，及时移送违法违规问题线索，加大联合惩戒力度，综合运用协议处理、行政处罚、刑事司法等措施。要强化数据监督，聚焦虚假诊疗、虚假购药、非法倒卖医保药品等欺诈骗保行为，运用大数据手段开展筛查对比，精准发现问题，及时开展核查。全面推进药品追溯码全链条覆盖应用，从源头斩断“回流药”黑色产业链。</w:t>
      </w:r>
      <w:r>
        <w:rPr>
          <w:rFonts w:hint="eastAsia" w:ascii="Times New Roman" w:hAnsi="Times New Roman" w:eastAsia="仿宋_GB2312" w:cs="仿宋_GB2312"/>
          <w:color w:val="auto"/>
          <w:spacing w:val="0"/>
          <w:sz w:val="32"/>
          <w:szCs w:val="32"/>
          <w:u w:val="none"/>
          <w:shd w:val="clear" w:color="auto" w:fill="auto"/>
          <w:lang w:eastAsia="zh-CN" w:bidi="ar"/>
        </w:rPr>
        <w:t>自治区业务主管部门</w:t>
      </w:r>
      <w:r>
        <w:rPr>
          <w:rFonts w:hint="eastAsia" w:ascii="Times New Roman" w:hAnsi="Times New Roman" w:eastAsia="仿宋_GB2312" w:cs="仿宋_GB2312"/>
          <w:snapToGrid w:val="0"/>
          <w:color w:val="auto"/>
          <w:kern w:val="0"/>
          <w:sz w:val="32"/>
          <w:szCs w:val="32"/>
          <w:shd w:val="clear" w:color="auto" w:fill="auto"/>
          <w:lang w:val="en-US" w:eastAsia="zh-CN" w:bidi="ar"/>
        </w:rPr>
        <w:t>对出现风险苗头的统筹地区及时约谈并指导做好处置。</w:t>
      </w:r>
    </w:p>
    <w:p w14:paraId="75FA54AB">
      <w:pPr>
        <w:keepNext w:val="0"/>
        <w:keepLines w:val="0"/>
        <w:pageBreakBefore w:val="0"/>
        <w:wordWrap/>
        <w:overflowPunct/>
        <w:topLinePunct w:val="0"/>
        <w:bidi w:val="0"/>
        <w:spacing w:beforeLines="0" w:afterLines="0" w:line="560" w:lineRule="exact"/>
        <w:ind w:left="592"/>
        <w:jc w:val="both"/>
        <w:outlineLvl w:val="1"/>
        <w:rPr>
          <w:rFonts w:ascii="Times New Roman" w:hAnsi="Times New Roman" w:eastAsia="黑体" w:cs="黑体"/>
          <w:color w:val="auto"/>
          <w:sz w:val="32"/>
          <w:szCs w:val="32"/>
          <w:shd w:val="clear" w:color="auto" w:fill="auto"/>
        </w:rPr>
      </w:pPr>
      <w:r>
        <w:rPr>
          <w:rFonts w:ascii="Times New Roman" w:hAnsi="Times New Roman" w:eastAsia="黑体" w:cs="黑体"/>
          <w:color w:val="auto"/>
          <w:spacing w:val="0"/>
          <w:sz w:val="32"/>
          <w:szCs w:val="32"/>
          <w:shd w:val="clear" w:color="auto" w:fill="auto"/>
        </w:rPr>
        <w:t>六、完善激励约束机制，切实调动各方积极性</w:t>
      </w:r>
    </w:p>
    <w:p w14:paraId="5070EF6C">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Times New Roman" w:hAnsi="Times New Roman" w:eastAsia="仿宋_GB2312" w:cs="仿宋_GB2312"/>
          <w:b w:val="0"/>
          <w:bCs w:val="0"/>
          <w:snapToGrid w:val="0"/>
          <w:color w:val="auto"/>
          <w:kern w:val="0"/>
          <w:sz w:val="32"/>
          <w:szCs w:val="32"/>
          <w:highlight w:val="none"/>
          <w:shd w:val="clear" w:color="auto" w:fill="auto"/>
          <w:lang w:val="en-US" w:eastAsia="zh-CN" w:bidi="ar"/>
        </w:rPr>
      </w:pPr>
      <w:r>
        <w:rPr>
          <w:rFonts w:hint="eastAsia" w:ascii="Times New Roman" w:hAnsi="Times New Roman" w:eastAsia="仿宋_GB2312" w:cs="仿宋_GB2312"/>
          <w:snapToGrid w:val="0"/>
          <w:color w:val="auto"/>
          <w:kern w:val="0"/>
          <w:sz w:val="32"/>
          <w:szCs w:val="32"/>
          <w:shd w:val="clear" w:color="auto" w:fill="auto"/>
          <w:lang w:val="en-US" w:eastAsia="zh-CN" w:bidi="ar"/>
        </w:rPr>
        <w:t>落实落细对连续参保和零报销人员的大病保险待遇激励举措。</w:t>
      </w:r>
      <w:r>
        <w:rPr>
          <w:rFonts w:hint="eastAsia" w:ascii="Times New Roman" w:hAnsi="Times New Roman" w:eastAsia="仿宋_GB2312" w:cs="仿宋_GB2312"/>
          <w:color w:val="auto"/>
          <w:sz w:val="32"/>
          <w:szCs w:val="32"/>
          <w:u w:val="none"/>
          <w:shd w:val="clear" w:color="auto" w:fill="auto"/>
          <w:lang w:val="en-US" w:eastAsia="zh-CN" w:bidi="ar"/>
        </w:rPr>
        <w:t>自2025年连续参加居民医保满4年的参保人员，之后每连续参保1年，提高居民大病保险最高支付限额2000元。对当年基金零报销且于次年正常参保缴费的居民医保参保人员，次年提高大病保险最高支付限额2000元。连续参保激励和零报销激励，累计提高总额不超过全区居民大病保险当年封顶线的20%。居民发生大病报销并使用奖励额度后，前期积累的零报销激励额度清零。</w:t>
      </w:r>
      <w:r>
        <w:rPr>
          <w:rFonts w:hint="eastAsia" w:ascii="Times New Roman" w:hAnsi="Times New Roman" w:eastAsia="仿宋_GB2312" w:cs="仿宋_GB2312"/>
          <w:color w:val="auto"/>
          <w:sz w:val="32"/>
          <w:szCs w:val="32"/>
          <w:u w:val="none"/>
          <w:shd w:val="clear" w:color="auto" w:fill="auto"/>
          <w:lang w:eastAsia="zh-CN" w:bidi="ar"/>
        </w:rPr>
        <w:t>断保</w:t>
      </w:r>
      <w:r>
        <w:rPr>
          <w:rFonts w:hint="eastAsia" w:ascii="Times New Roman" w:hAnsi="Times New Roman" w:eastAsia="仿宋_GB2312" w:cs="仿宋_GB2312"/>
          <w:color w:val="auto"/>
          <w:spacing w:val="0"/>
          <w:sz w:val="32"/>
          <w:szCs w:val="32"/>
          <w:u w:val="none"/>
          <w:shd w:val="clear" w:color="auto" w:fill="auto"/>
          <w:lang w:eastAsia="zh-CN" w:bidi="ar"/>
        </w:rPr>
        <w:t>之后再参保的，连续参</w:t>
      </w:r>
      <w:r>
        <w:rPr>
          <w:rFonts w:hint="eastAsia" w:ascii="Times New Roman" w:hAnsi="Times New Roman" w:eastAsia="仿宋_GB2312" w:cs="仿宋_GB2312"/>
          <w:color w:val="auto"/>
          <w:sz w:val="32"/>
          <w:szCs w:val="32"/>
          <w:u w:val="none"/>
          <w:shd w:val="clear" w:color="auto" w:fill="auto"/>
          <w:lang w:eastAsia="zh-CN" w:bidi="ar"/>
        </w:rPr>
        <w:t>保年数重新计算，同时降低大病保险最高支付限额，每断保1</w:t>
      </w:r>
      <w:r>
        <w:rPr>
          <w:rFonts w:hint="eastAsia" w:ascii="Times New Roman" w:hAnsi="Times New Roman" w:eastAsia="仿宋_GB2312" w:cs="仿宋_GB2312"/>
          <w:color w:val="auto"/>
          <w:spacing w:val="0"/>
          <w:sz w:val="32"/>
          <w:szCs w:val="32"/>
          <w:u w:val="none"/>
          <w:shd w:val="clear" w:color="auto" w:fill="auto"/>
          <w:lang w:eastAsia="zh-CN" w:bidi="ar"/>
        </w:rPr>
        <w:t>年，降低居民大病保险最高支付限额2000元，累计降低总额不超过全</w:t>
      </w:r>
      <w:r>
        <w:rPr>
          <w:rFonts w:hint="eastAsia" w:ascii="Times New Roman" w:hAnsi="Times New Roman" w:eastAsia="仿宋_GB2312" w:cs="仿宋_GB2312"/>
          <w:color w:val="auto"/>
          <w:sz w:val="32"/>
          <w:szCs w:val="32"/>
          <w:u w:val="none"/>
          <w:shd w:val="clear" w:color="auto" w:fill="auto"/>
          <w:lang w:eastAsia="zh-CN" w:bidi="ar"/>
        </w:rPr>
        <w:t>区居民大病保险</w:t>
      </w:r>
      <w:r>
        <w:rPr>
          <w:rFonts w:hint="eastAsia" w:ascii="Times New Roman" w:hAnsi="Times New Roman" w:eastAsia="仿宋_GB2312" w:cs="仿宋_GB2312"/>
          <w:color w:val="auto"/>
          <w:sz w:val="32"/>
          <w:szCs w:val="32"/>
          <w:u w:val="none"/>
          <w:shd w:val="clear" w:color="auto" w:fill="auto"/>
          <w:lang w:val="en-US" w:eastAsia="zh-CN" w:bidi="ar"/>
        </w:rPr>
        <w:t>当年</w:t>
      </w:r>
      <w:r>
        <w:rPr>
          <w:rFonts w:hint="eastAsia" w:ascii="Times New Roman" w:hAnsi="Times New Roman" w:eastAsia="仿宋_GB2312" w:cs="仿宋_GB2312"/>
          <w:color w:val="auto"/>
          <w:sz w:val="32"/>
          <w:szCs w:val="32"/>
          <w:u w:val="none"/>
          <w:shd w:val="clear" w:color="auto" w:fill="auto"/>
          <w:lang w:eastAsia="zh-CN" w:bidi="ar"/>
        </w:rPr>
        <w:t>封顶线的20%。</w:t>
      </w:r>
    </w:p>
    <w:p w14:paraId="3CB9FDA4">
      <w:pPr>
        <w:keepNext w:val="0"/>
        <w:keepLines w:val="0"/>
        <w:pageBreakBefore w:val="0"/>
        <w:widowControl/>
        <w:kinsoku/>
        <w:wordWrap/>
        <w:overflowPunct/>
        <w:topLinePunct w:val="0"/>
        <w:autoSpaceDE/>
        <w:autoSpaceDN/>
        <w:bidi w:val="0"/>
        <w:adjustRightInd w:val="0"/>
        <w:snapToGrid w:val="0"/>
        <w:spacing w:beforeLines="0" w:afterLines="0" w:line="560" w:lineRule="exact"/>
        <w:ind w:left="680"/>
        <w:jc w:val="both"/>
        <w:textAlignment w:val="baseline"/>
        <w:rPr>
          <w:rFonts w:ascii="Times New Roman" w:hAnsi="Times New Roman" w:eastAsia="黑体" w:cs="黑体"/>
          <w:color w:val="auto"/>
          <w:sz w:val="31"/>
          <w:szCs w:val="31"/>
          <w:shd w:val="clear" w:color="auto" w:fill="auto"/>
        </w:rPr>
      </w:pPr>
      <w:r>
        <w:rPr>
          <w:rFonts w:hint="eastAsia" w:ascii="Times New Roman" w:hAnsi="Times New Roman" w:eastAsia="黑体" w:cs="黑体"/>
          <w:color w:val="auto"/>
          <w:spacing w:val="0"/>
          <w:sz w:val="31"/>
          <w:szCs w:val="31"/>
          <w:shd w:val="clear" w:color="auto" w:fill="auto"/>
          <w:lang w:val="en-US" w:eastAsia="zh-CN"/>
        </w:rPr>
        <w:t>七</w:t>
      </w:r>
      <w:r>
        <w:rPr>
          <w:rFonts w:ascii="Times New Roman" w:hAnsi="Times New Roman" w:eastAsia="黑体" w:cs="黑体"/>
          <w:color w:val="auto"/>
          <w:spacing w:val="0"/>
          <w:sz w:val="31"/>
          <w:szCs w:val="31"/>
          <w:shd w:val="clear" w:color="auto" w:fill="auto"/>
        </w:rPr>
        <w:t>、工作要求</w:t>
      </w:r>
    </w:p>
    <w:p w14:paraId="39C01D47">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both"/>
        <w:textAlignment w:val="baseline"/>
        <w:rPr>
          <w:rFonts w:hint="eastAsia" w:ascii="Times New Roman" w:hAnsi="Times New Roman" w:eastAsia="仿宋_GB2312" w:cs="仿宋_GB2312"/>
          <w:color w:val="auto"/>
          <w:spacing w:val="0"/>
          <w:sz w:val="32"/>
          <w:szCs w:val="32"/>
          <w:shd w:val="clear" w:color="auto" w:fill="auto"/>
          <w:lang w:eastAsia="zh-CN"/>
        </w:rPr>
      </w:pPr>
      <w:r>
        <w:rPr>
          <w:rFonts w:hint="eastAsia" w:ascii="Times New Roman" w:hAnsi="Times New Roman" w:eastAsia="楷体_GB2312" w:cs="楷体_GB2312"/>
          <w:color w:val="auto"/>
          <w:spacing w:val="0"/>
          <w:sz w:val="32"/>
          <w:szCs w:val="32"/>
          <w:shd w:val="clear" w:color="auto" w:fill="auto"/>
          <w:lang w:eastAsia="zh-CN"/>
        </w:rPr>
        <w:t>（一）</w:t>
      </w:r>
      <w:r>
        <w:rPr>
          <w:rFonts w:hint="eastAsia" w:ascii="Times New Roman" w:hAnsi="Times New Roman" w:eastAsia="楷体_GB2312" w:cs="楷体_GB2312"/>
          <w:color w:val="auto"/>
          <w:spacing w:val="0"/>
          <w:sz w:val="32"/>
          <w:szCs w:val="32"/>
          <w:shd w:val="clear" w:color="auto" w:fill="auto"/>
          <w:lang w:val="en-US" w:eastAsia="zh-CN"/>
        </w:rPr>
        <w:t>加强</w:t>
      </w:r>
      <w:r>
        <w:rPr>
          <w:rFonts w:hint="eastAsia" w:ascii="Times New Roman" w:hAnsi="Times New Roman" w:eastAsia="楷体_GB2312" w:cs="楷体_GB2312"/>
          <w:color w:val="auto"/>
          <w:spacing w:val="0"/>
          <w:sz w:val="32"/>
          <w:szCs w:val="32"/>
          <w:shd w:val="clear" w:color="auto" w:fill="auto"/>
          <w:lang w:eastAsia="zh-CN"/>
        </w:rPr>
        <w:t>组织协同。</w:t>
      </w:r>
      <w:r>
        <w:rPr>
          <w:rFonts w:hint="eastAsia" w:ascii="Times New Roman" w:hAnsi="Times New Roman" w:eastAsia="仿宋_GB2312" w:cs="仿宋_GB2312"/>
          <w:color w:val="auto"/>
          <w:spacing w:val="0"/>
          <w:sz w:val="32"/>
          <w:szCs w:val="32"/>
          <w:shd w:val="clear" w:color="auto" w:fill="auto"/>
          <w:lang w:eastAsia="zh-CN"/>
        </w:rPr>
        <w:t>各地要切实提高思想</w:t>
      </w:r>
      <w:r>
        <w:rPr>
          <w:rFonts w:hint="eastAsia" w:ascii="Times New Roman" w:hAnsi="Times New Roman" w:eastAsia="仿宋_GB2312" w:cs="仿宋_GB2312"/>
          <w:color w:val="auto"/>
          <w:spacing w:val="0"/>
          <w:sz w:val="32"/>
          <w:szCs w:val="32"/>
          <w:shd w:val="clear" w:color="auto" w:fill="auto"/>
          <w:lang w:val="en-US" w:eastAsia="zh-CN"/>
        </w:rPr>
        <w:t>认识</w:t>
      </w:r>
      <w:r>
        <w:rPr>
          <w:rFonts w:hint="eastAsia" w:ascii="Times New Roman" w:hAnsi="Times New Roman" w:eastAsia="仿宋_GB2312" w:cs="仿宋_GB2312"/>
          <w:color w:val="auto"/>
          <w:spacing w:val="0"/>
          <w:sz w:val="32"/>
          <w:szCs w:val="32"/>
          <w:shd w:val="clear" w:color="auto" w:fill="auto"/>
          <w:lang w:eastAsia="zh-CN"/>
        </w:rPr>
        <w:t>、压实主体责任，细化工作举措、周密统筹部署，确保大病保险制度规范有序运行。各地医保部门要健全跨部门常态化联动机制，主动对接财政、金融监管部门及商业保险承办机构，</w:t>
      </w:r>
      <w:r>
        <w:rPr>
          <w:rFonts w:hint="eastAsia" w:ascii="Times New Roman" w:hAnsi="Times New Roman" w:eastAsia="仿宋_GB2312" w:cs="仿宋_GB2312"/>
          <w:color w:val="auto"/>
          <w:spacing w:val="0"/>
          <w:sz w:val="32"/>
          <w:szCs w:val="32"/>
          <w:shd w:val="clear" w:color="auto" w:fill="auto"/>
          <w:lang w:val="en-US" w:eastAsia="zh-CN"/>
        </w:rPr>
        <w:t>形成</w:t>
      </w:r>
      <w:r>
        <w:rPr>
          <w:rFonts w:hint="eastAsia" w:ascii="Times New Roman" w:hAnsi="Times New Roman" w:eastAsia="仿宋_GB2312" w:cs="仿宋_GB2312"/>
          <w:color w:val="auto"/>
          <w:spacing w:val="0"/>
          <w:sz w:val="32"/>
          <w:szCs w:val="32"/>
          <w:shd w:val="clear" w:color="auto" w:fill="auto"/>
          <w:lang w:eastAsia="zh-CN"/>
        </w:rPr>
        <w:t>工作合力，统筹抓好政策落实、经办管理、风险防控等重点工作，全面提升大病保险运行管理质效。</w:t>
      </w:r>
    </w:p>
    <w:p w14:paraId="011E00ED">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both"/>
        <w:textAlignment w:val="baseline"/>
        <w:rPr>
          <w:rFonts w:hint="eastAsia" w:ascii="Times New Roman" w:hAnsi="Times New Roman" w:eastAsia="楷体" w:cs="楷体"/>
          <w:color w:val="auto"/>
          <w:spacing w:val="0"/>
          <w:sz w:val="32"/>
          <w:szCs w:val="32"/>
          <w:shd w:val="clear" w:color="auto" w:fill="auto"/>
          <w:lang w:eastAsia="zh-CN"/>
        </w:rPr>
      </w:pPr>
      <w:r>
        <w:rPr>
          <w:rFonts w:hint="eastAsia" w:ascii="Times New Roman" w:hAnsi="Times New Roman" w:eastAsia="楷体_GB2312" w:cs="楷体_GB2312"/>
          <w:color w:val="auto"/>
          <w:spacing w:val="0"/>
          <w:sz w:val="32"/>
          <w:szCs w:val="32"/>
          <w:shd w:val="clear" w:color="auto" w:fill="auto"/>
          <w:lang w:eastAsia="zh-CN"/>
        </w:rPr>
        <w:t>（二）</w:t>
      </w:r>
      <w:r>
        <w:rPr>
          <w:rFonts w:hint="eastAsia" w:ascii="Times New Roman" w:hAnsi="Times New Roman" w:eastAsia="楷体_GB2312" w:cs="楷体_GB2312"/>
          <w:color w:val="auto"/>
          <w:spacing w:val="0"/>
          <w:sz w:val="32"/>
          <w:szCs w:val="32"/>
          <w:shd w:val="clear" w:color="auto" w:fill="auto"/>
          <w:lang w:val="en-US" w:eastAsia="zh-CN"/>
        </w:rPr>
        <w:t>加强</w:t>
      </w:r>
      <w:r>
        <w:rPr>
          <w:rFonts w:hint="eastAsia" w:ascii="Times New Roman" w:hAnsi="Times New Roman" w:eastAsia="楷体_GB2312" w:cs="楷体_GB2312"/>
          <w:color w:val="auto"/>
          <w:spacing w:val="0"/>
          <w:sz w:val="32"/>
          <w:szCs w:val="32"/>
          <w:shd w:val="clear" w:color="auto" w:fill="auto"/>
          <w:lang w:eastAsia="zh-CN"/>
        </w:rPr>
        <w:t>监测评估。</w:t>
      </w:r>
      <w:r>
        <w:rPr>
          <w:rFonts w:hint="eastAsia" w:ascii="Times New Roman" w:hAnsi="Times New Roman" w:eastAsia="仿宋_GB2312" w:cs="仿宋_GB2312"/>
          <w:color w:val="auto"/>
          <w:spacing w:val="0"/>
          <w:sz w:val="32"/>
          <w:szCs w:val="32"/>
          <w:shd w:val="clear" w:color="auto" w:fill="auto"/>
          <w:lang w:eastAsia="zh-CN"/>
        </w:rPr>
        <w:t>常态化开展运行监测和成效评估，定期</w:t>
      </w:r>
      <w:r>
        <w:rPr>
          <w:rFonts w:hint="eastAsia" w:ascii="Times New Roman" w:hAnsi="Times New Roman" w:eastAsia="仿宋_GB2312" w:cs="仿宋_GB2312"/>
          <w:color w:val="auto"/>
          <w:spacing w:val="0"/>
          <w:sz w:val="32"/>
          <w:szCs w:val="32"/>
          <w:shd w:val="clear" w:color="auto" w:fill="auto"/>
          <w:lang w:val="en-US" w:eastAsia="zh-CN"/>
        </w:rPr>
        <w:t>梳理总结大病保险工作进展、运行情况及存在问题，确保大病保险各项政策落地见效，制度运行平稳规范</w:t>
      </w:r>
      <w:r>
        <w:rPr>
          <w:rFonts w:hint="eastAsia" w:ascii="Times New Roman" w:hAnsi="Times New Roman" w:eastAsia="仿宋_GB2312" w:cs="仿宋_GB2312"/>
          <w:color w:val="auto"/>
          <w:spacing w:val="0"/>
          <w:sz w:val="32"/>
          <w:szCs w:val="32"/>
          <w:shd w:val="clear" w:color="auto" w:fill="auto"/>
          <w:lang w:eastAsia="zh-CN"/>
        </w:rPr>
        <w:t>。</w:t>
      </w:r>
      <w:r>
        <w:rPr>
          <w:rFonts w:hint="eastAsia" w:ascii="Times New Roman" w:hAnsi="Times New Roman" w:eastAsia="仿宋_GB2312" w:cs="仿宋_GB2312"/>
          <w:color w:val="auto"/>
          <w:spacing w:val="0"/>
          <w:sz w:val="32"/>
          <w:szCs w:val="32"/>
          <w:shd w:val="clear" w:color="auto" w:fill="auto"/>
          <w:lang w:val="en-US" w:eastAsia="zh-CN"/>
        </w:rPr>
        <w:t>各地</w:t>
      </w:r>
      <w:r>
        <w:rPr>
          <w:rFonts w:hint="eastAsia" w:ascii="Times New Roman" w:hAnsi="Times New Roman" w:eastAsia="仿宋_GB2312" w:cs="仿宋_GB2312"/>
          <w:color w:val="auto"/>
          <w:spacing w:val="0"/>
          <w:sz w:val="32"/>
          <w:szCs w:val="32"/>
          <w:shd w:val="clear" w:color="auto" w:fill="auto"/>
          <w:lang w:eastAsia="zh-CN"/>
        </w:rPr>
        <w:t>按季度开展数据统计分析，向自治区医保局、财政厅、广西金融监管局报送运行情况。</w:t>
      </w:r>
    </w:p>
    <w:p w14:paraId="7FBE0DE7">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both"/>
        <w:textAlignment w:val="baseline"/>
        <w:rPr>
          <w:rFonts w:hint="eastAsia" w:ascii="Times New Roman" w:hAnsi="Times New Roman" w:eastAsia="仿宋_GB2312" w:cs="仿宋_GB2312"/>
          <w:color w:val="auto"/>
          <w:spacing w:val="0"/>
          <w:sz w:val="32"/>
          <w:szCs w:val="32"/>
          <w:shd w:val="clear" w:color="auto" w:fill="auto"/>
          <w:lang w:eastAsia="zh-CN"/>
        </w:rPr>
      </w:pPr>
      <w:r>
        <w:rPr>
          <w:rFonts w:hint="eastAsia" w:ascii="Times New Roman" w:hAnsi="Times New Roman" w:eastAsia="楷体_GB2312" w:cs="楷体_GB2312"/>
          <w:color w:val="auto"/>
          <w:spacing w:val="0"/>
          <w:sz w:val="32"/>
          <w:szCs w:val="32"/>
          <w:shd w:val="clear" w:color="auto" w:fill="auto"/>
          <w:lang w:eastAsia="zh-CN"/>
        </w:rPr>
        <w:t>（三）</w:t>
      </w:r>
      <w:r>
        <w:rPr>
          <w:rFonts w:hint="eastAsia" w:ascii="Times New Roman" w:hAnsi="Times New Roman" w:eastAsia="楷体_GB2312" w:cs="楷体_GB2312"/>
          <w:color w:val="auto"/>
          <w:spacing w:val="0"/>
          <w:sz w:val="32"/>
          <w:szCs w:val="32"/>
          <w:shd w:val="clear" w:color="auto" w:fill="auto"/>
          <w:lang w:val="en-US" w:eastAsia="zh-CN"/>
        </w:rPr>
        <w:t>加强</w:t>
      </w:r>
      <w:r>
        <w:rPr>
          <w:rFonts w:hint="eastAsia" w:ascii="Times New Roman" w:hAnsi="Times New Roman" w:eastAsia="楷体_GB2312" w:cs="楷体_GB2312"/>
          <w:color w:val="auto"/>
          <w:spacing w:val="0"/>
          <w:sz w:val="32"/>
          <w:szCs w:val="32"/>
          <w:shd w:val="clear" w:color="auto" w:fill="auto"/>
          <w:lang w:eastAsia="zh-CN"/>
        </w:rPr>
        <w:t>政策宣传。</w:t>
      </w:r>
      <w:r>
        <w:rPr>
          <w:rFonts w:hint="eastAsia" w:ascii="Times New Roman" w:hAnsi="Times New Roman" w:eastAsia="仿宋_GB2312" w:cs="仿宋_GB2312"/>
          <w:color w:val="auto"/>
          <w:spacing w:val="0"/>
          <w:sz w:val="32"/>
          <w:szCs w:val="32"/>
          <w:shd w:val="clear" w:color="auto" w:fill="auto"/>
          <w:lang w:eastAsia="zh-CN"/>
        </w:rPr>
        <w:t>各地常态化开展大病保险政策宣传解读，拓宽宣传渠道、创新宣传方式，精准普及政策要点，有效提升群众政策知晓率，营造良好的社会氛围。</w:t>
      </w:r>
    </w:p>
    <w:p w14:paraId="15E83D45">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both"/>
        <w:textAlignment w:val="baseline"/>
        <w:rPr>
          <w:rFonts w:hint="eastAsia" w:ascii="Times New Roman" w:hAnsi="Times New Roman" w:eastAsia="仿宋_GB2312" w:cs="仿宋_GB2312"/>
          <w:color w:val="auto"/>
          <w:spacing w:val="0"/>
          <w:sz w:val="32"/>
          <w:szCs w:val="32"/>
          <w:shd w:val="clear" w:color="auto" w:fill="auto"/>
          <w:lang w:val="en-US" w:eastAsia="zh-CN"/>
        </w:rPr>
      </w:pPr>
      <w:r>
        <w:rPr>
          <w:rFonts w:hint="eastAsia" w:ascii="Times New Roman" w:hAnsi="Times New Roman" w:eastAsia="楷体_GB2312" w:cs="楷体_GB2312"/>
          <w:color w:val="auto"/>
          <w:spacing w:val="0"/>
          <w:sz w:val="32"/>
          <w:szCs w:val="32"/>
          <w:shd w:val="clear" w:color="auto" w:fill="auto"/>
          <w:lang w:val="en" w:eastAsia="zh-CN"/>
        </w:rPr>
        <w:t>（四）</w:t>
      </w:r>
      <w:r>
        <w:rPr>
          <w:rFonts w:hint="eastAsia" w:ascii="Times New Roman" w:hAnsi="Times New Roman" w:eastAsia="楷体_GB2312" w:cs="楷体_GB2312"/>
          <w:color w:val="auto"/>
          <w:spacing w:val="0"/>
          <w:sz w:val="32"/>
          <w:szCs w:val="32"/>
          <w:shd w:val="clear" w:color="auto" w:fill="auto"/>
          <w:lang w:val="en-US" w:eastAsia="zh-CN"/>
        </w:rPr>
        <w:t>稳妥推进制度融合。</w:t>
      </w:r>
      <w:r>
        <w:rPr>
          <w:rFonts w:hint="eastAsia" w:ascii="Times New Roman" w:hAnsi="Times New Roman" w:eastAsia="仿宋_GB2312" w:cs="仿宋_GB2312"/>
          <w:color w:val="auto"/>
          <w:spacing w:val="0"/>
          <w:sz w:val="32"/>
          <w:szCs w:val="32"/>
          <w:shd w:val="clear" w:color="auto" w:fill="auto"/>
          <w:lang w:val="en-US" w:eastAsia="zh-CN"/>
        </w:rPr>
        <w:t>鼓励有条件的地方开展职工与居民大病保险制度融合试点。</w:t>
      </w:r>
    </w:p>
    <w:p w14:paraId="65EA0CEF">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both"/>
        <w:textAlignment w:val="baseline"/>
        <w:rPr>
          <w:rFonts w:hint="eastAsia" w:ascii="Times New Roman" w:hAnsi="Times New Roman" w:eastAsia="仿宋_GB2312" w:cs="仿宋_GB2312"/>
          <w:color w:val="auto"/>
          <w:spacing w:val="0"/>
          <w:sz w:val="32"/>
          <w:szCs w:val="32"/>
          <w:shd w:val="clear" w:color="auto" w:fill="auto"/>
          <w:lang w:eastAsia="zh-CN"/>
        </w:rPr>
      </w:pPr>
      <w:r>
        <w:rPr>
          <w:rFonts w:hint="eastAsia" w:ascii="Times New Roman" w:hAnsi="Times New Roman" w:eastAsia="仿宋_GB2312" w:cs="仿宋_GB2312"/>
          <w:color w:val="auto"/>
          <w:spacing w:val="0"/>
          <w:sz w:val="32"/>
          <w:szCs w:val="32"/>
          <w:shd w:val="clear" w:color="auto" w:fill="auto"/>
          <w:lang w:eastAsia="zh-CN"/>
        </w:rPr>
        <w:t>加强预算执行监督管理，自治区医保局定期通报各市大病保险运行情况，对于资金出现赤字的地区，将重点核查。国家医保局定期对各省资金运行情况进行通报，对于出现赤字的市，纳入飞行检查重点对象。</w:t>
      </w:r>
    </w:p>
    <w:p w14:paraId="4FF255FF">
      <w:pPr>
        <w:widowControl/>
        <w:adjustRightInd w:val="0"/>
        <w:snapToGrid w:val="0"/>
        <w:spacing w:beforeLines="0" w:afterLines="0" w:line="560" w:lineRule="exact"/>
        <w:ind w:firstLine="640" w:firstLineChars="200"/>
        <w:textAlignment w:val="baseline"/>
        <w:rPr>
          <w:rFonts w:hint="eastAsia" w:ascii="仿宋_GB2312" w:hAnsi="仿宋_GB2312" w:eastAsia="仿宋_GB2312" w:cs="仿宋_GB2312"/>
          <w:b w:val="0"/>
          <w:bCs w:val="0"/>
          <w:color w:val="auto"/>
          <w:spacing w:val="0"/>
          <w:sz w:val="32"/>
          <w:szCs w:val="32"/>
          <w:highlight w:val="none"/>
          <w:shd w:val="clear" w:color="auto" w:fill="auto"/>
          <w:lang w:val="en-US" w:eastAsia="zh-CN"/>
        </w:rPr>
      </w:pPr>
      <w:r>
        <w:rPr>
          <w:rFonts w:hint="eastAsia" w:ascii="仿宋_GB2312" w:hAnsi="仿宋_GB2312" w:eastAsia="仿宋_GB2312" w:cs="仿宋_GB2312"/>
          <w:color w:val="auto"/>
          <w:spacing w:val="0"/>
          <w:sz w:val="32"/>
          <w:szCs w:val="32"/>
          <w:u w:val="none"/>
          <w:shd w:val="clear" w:color="auto" w:fill="auto"/>
        </w:rPr>
        <w:t>自本通知印发之日起</w:t>
      </w:r>
      <w:r>
        <w:rPr>
          <w:rFonts w:hint="eastAsia" w:ascii="仿宋_GB2312" w:hAnsi="仿宋_GB2312" w:eastAsia="仿宋_GB2312" w:cs="仿宋_GB2312"/>
          <w:color w:val="auto"/>
          <w:spacing w:val="0"/>
          <w:sz w:val="32"/>
          <w:szCs w:val="32"/>
          <w:u w:val="none"/>
          <w:shd w:val="clear" w:color="auto" w:fill="auto"/>
          <w:lang w:eastAsia="zh-CN"/>
        </w:rPr>
        <w:t>，大病保险的承办招标相关工作，按本通知相关规定执行。</w:t>
      </w:r>
      <w:r>
        <w:rPr>
          <w:rFonts w:hint="eastAsia" w:ascii="仿宋_GB2312" w:hAnsi="仿宋_GB2312" w:eastAsia="仿宋_GB2312" w:cs="仿宋_GB2312"/>
          <w:color w:val="auto"/>
          <w:spacing w:val="0"/>
          <w:sz w:val="32"/>
          <w:szCs w:val="32"/>
          <w:u w:val="none"/>
          <w:shd w:val="clear" w:color="auto" w:fill="auto"/>
        </w:rPr>
        <w:t>大病保险相关待遇政策自2027年1月1日起执行。</w:t>
      </w:r>
      <w:r>
        <w:rPr>
          <w:rStyle w:val="7"/>
          <w:rFonts w:hint="eastAsia" w:ascii="仿宋_GB2312" w:hAnsi="仿宋_GB2312" w:eastAsia="仿宋_GB2312" w:cs="仿宋_GB2312"/>
          <w:b w:val="0"/>
          <w:bCs w:val="0"/>
          <w:color w:val="auto"/>
          <w:kern w:val="2"/>
          <w:sz w:val="32"/>
          <w:szCs w:val="32"/>
          <w:highlight w:val="none"/>
          <w:shd w:val="clear" w:color="auto" w:fill="auto"/>
          <w:lang w:val="en-US" w:eastAsia="zh-CN" w:bidi="ar-SA"/>
        </w:rPr>
        <w:t>《关于完善广西城乡居民大病保险制度的通知》（桂医保规〔2020〕4 号）同时废止。</w:t>
      </w:r>
      <w:r>
        <w:rPr>
          <w:rFonts w:hint="eastAsia" w:ascii="仿宋_GB2312" w:hAnsi="仿宋_GB2312" w:eastAsia="仿宋_GB2312" w:cs="仿宋_GB2312"/>
          <w:color w:val="auto"/>
          <w:spacing w:val="0"/>
          <w:sz w:val="32"/>
          <w:szCs w:val="32"/>
          <w:shd w:val="clear" w:color="auto" w:fill="auto"/>
        </w:rPr>
        <w:t>今后国家、自治区有新规定的，从其规定</w:t>
      </w:r>
      <w:r>
        <w:rPr>
          <w:rFonts w:hint="eastAsia" w:ascii="仿宋_GB2312" w:hAnsi="仿宋_GB2312" w:eastAsia="仿宋_GB2312" w:cs="仿宋_GB2312"/>
          <w:color w:val="auto"/>
          <w:spacing w:val="0"/>
          <w:sz w:val="32"/>
          <w:szCs w:val="32"/>
          <w:shd w:val="clear" w:color="auto" w:fill="auto"/>
          <w:lang w:eastAsia="zh-CN"/>
        </w:rPr>
        <w:t>。</w:t>
      </w:r>
    </w:p>
    <w:p w14:paraId="4546C376">
      <w:pPr>
        <w:pStyle w:val="4"/>
        <w:keepNext w:val="0"/>
        <w:keepLines w:val="0"/>
        <w:pageBreakBefore w:val="0"/>
        <w:kinsoku/>
        <w:wordWrap/>
        <w:overflowPunct/>
        <w:topLinePunct w:val="0"/>
        <w:autoSpaceDE/>
        <w:autoSpaceDN/>
        <w:bidi w:val="0"/>
        <w:adjustRightInd/>
        <w:snapToGrid/>
        <w:spacing w:beforeLines="0" w:afterLines="0" w:line="560" w:lineRule="exact"/>
        <w:ind w:firstLine="0" w:firstLineChars="0"/>
        <w:jc w:val="both"/>
        <w:textAlignment w:val="auto"/>
        <w:rPr>
          <w:rFonts w:hint="eastAsia" w:ascii="Times New Roman" w:hAnsi="Times New Roman" w:eastAsia="仿宋_GB2312" w:cs="Times New Roman"/>
          <w:b w:val="0"/>
          <w:bCs w:val="0"/>
          <w:color w:val="auto"/>
          <w:spacing w:val="-6"/>
          <w:szCs w:val="32"/>
          <w:highlight w:val="none"/>
          <w:lang w:val="en-US" w:eastAsia="zh-CN"/>
        </w:rPr>
      </w:pPr>
    </w:p>
    <w:p w14:paraId="3D083185">
      <w:pPr>
        <w:rPr>
          <w:rFonts w:hint="eastAsia" w:ascii="Times New Roman" w:hAnsi="Times New Roman" w:eastAsia="仿宋_GB2312" w:cs="Times New Roman"/>
          <w:b w:val="0"/>
          <w:bCs w:val="0"/>
          <w:color w:val="auto"/>
          <w:spacing w:val="-6"/>
          <w:szCs w:val="32"/>
          <w:highlight w:val="none"/>
          <w:lang w:val="en-US" w:eastAsia="zh-CN"/>
        </w:rPr>
      </w:pPr>
    </w:p>
    <w:p w14:paraId="5395A676">
      <w:pPr>
        <w:rPr>
          <w:rFonts w:hint="eastAsia" w:ascii="Times New Roman" w:hAnsi="Times New Roman" w:eastAsia="仿宋_GB2312" w:cs="Times New Roman"/>
          <w:b w:val="0"/>
          <w:bCs w:val="0"/>
          <w:color w:val="auto"/>
          <w:spacing w:val="-6"/>
          <w:szCs w:val="32"/>
          <w:highlight w:val="none"/>
          <w:lang w:val="en-US" w:eastAsia="zh-CN"/>
        </w:rPr>
      </w:pPr>
    </w:p>
    <w:p w14:paraId="661E00C5">
      <w:pPr>
        <w:pStyle w:val="4"/>
        <w:keepNext w:val="0"/>
        <w:keepLines w:val="0"/>
        <w:pageBreakBefore w:val="0"/>
        <w:kinsoku/>
        <w:wordWrap/>
        <w:overflowPunct/>
        <w:topLinePunct w:val="0"/>
        <w:autoSpaceDE/>
        <w:autoSpaceDN/>
        <w:bidi w:val="0"/>
        <w:adjustRightInd/>
        <w:snapToGrid/>
        <w:spacing w:beforeLines="0" w:afterLines="0" w:line="560" w:lineRule="exact"/>
        <w:ind w:firstLine="308" w:firstLineChars="100"/>
        <w:jc w:val="both"/>
        <w:textAlignment w:val="auto"/>
        <w:rPr>
          <w:rFonts w:hint="eastAsia" w:ascii="Times New Roman" w:hAnsi="Times New Roman" w:eastAsia="仿宋_GB2312" w:cs="Times New Roman"/>
          <w:b w:val="0"/>
          <w:bCs w:val="0"/>
          <w:color w:val="auto"/>
          <w:spacing w:val="-6"/>
          <w:szCs w:val="32"/>
          <w:highlight w:val="none"/>
          <w:lang w:val="en-US" w:eastAsia="zh-CN"/>
        </w:rPr>
      </w:pPr>
      <w:r>
        <w:rPr>
          <w:rFonts w:hint="eastAsia" w:ascii="Times New Roman" w:hAnsi="Times New Roman" w:eastAsia="仿宋_GB2312" w:cs="Times New Roman"/>
          <w:b w:val="0"/>
          <w:bCs w:val="0"/>
          <w:color w:val="auto"/>
          <w:spacing w:val="-6"/>
          <w:szCs w:val="32"/>
          <w:highlight w:val="none"/>
          <w:lang w:val="en-US" w:eastAsia="zh-CN"/>
        </w:rPr>
        <w:t>广西壮族自治区   广西壮族自治区   国家金融监督管理总局</w:t>
      </w:r>
    </w:p>
    <w:p w14:paraId="06A9A5B9">
      <w:pPr>
        <w:pStyle w:val="4"/>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Times New Roman"/>
          <w:b w:val="0"/>
          <w:bCs w:val="0"/>
          <w:color w:val="auto"/>
          <w:szCs w:val="32"/>
          <w:highlight w:val="none"/>
          <w:lang w:val="en-US" w:eastAsia="zh-CN"/>
        </w:rPr>
      </w:pPr>
      <w:r>
        <w:rPr>
          <w:rFonts w:hint="eastAsia" w:ascii="Times New Roman" w:hAnsi="Times New Roman" w:eastAsia="仿宋_GB2312" w:cs="Times New Roman"/>
          <w:b w:val="0"/>
          <w:bCs w:val="0"/>
          <w:color w:val="auto"/>
          <w:szCs w:val="32"/>
          <w:highlight w:val="none"/>
          <w:lang w:val="en-US" w:eastAsia="zh-CN"/>
        </w:rPr>
        <w:t>医疗保障局        财政厅           广西监管局</w:t>
      </w:r>
    </w:p>
    <w:p w14:paraId="066CEB63">
      <w:pPr>
        <w:widowControl/>
        <w:spacing w:beforeLines="0" w:afterLines="0" w:line="560" w:lineRule="exact"/>
        <w:ind w:firstLine="5920" w:firstLineChars="1850"/>
        <w:jc w:val="both"/>
        <w:rPr>
          <w:rFonts w:hint="eastAsia" w:ascii="Times New Roman" w:hAnsi="Times New Roman" w:eastAsia="方正黑体_GBK" w:cs="方正黑体_GBK"/>
          <w:sz w:val="32"/>
          <w:szCs w:val="32"/>
          <w:lang w:val="en-US" w:eastAsia="zh-CN"/>
        </w:rPr>
      </w:pPr>
      <w:r>
        <w:rPr>
          <w:rFonts w:hint="eastAsia" w:ascii="Times New Roman" w:hAnsi="Times New Roman" w:eastAsia="仿宋_GB2312" w:cs="Times New Roman"/>
          <w:b w:val="0"/>
          <w:bCs w:val="0"/>
          <w:color w:val="auto"/>
          <w:sz w:val="32"/>
          <w:szCs w:val="32"/>
          <w:highlight w:val="none"/>
          <w:lang w:val="en-US" w:eastAsia="zh-CN"/>
        </w:rPr>
        <w:t>2026年  月  日</w:t>
      </w:r>
    </w:p>
    <w:p w14:paraId="3B72BCCF">
      <w:pPr>
        <w:pStyle w:val="2"/>
        <w:keepNext w:val="0"/>
        <w:keepLines w:val="0"/>
        <w:pageBreakBefore w:val="0"/>
        <w:kinsoku/>
        <w:overflowPunct/>
        <w:topLinePunct w:val="0"/>
        <w:autoSpaceDE/>
        <w:autoSpaceDN/>
        <w:bidi w:val="0"/>
        <w:adjustRightInd/>
        <w:snapToGrid/>
        <w:spacing w:line="560" w:lineRule="exact"/>
        <w:textAlignment w:val="auto"/>
        <w:rPr>
          <w:rFonts w:hint="eastAsia"/>
          <w:lang w:eastAsia="zh-CN"/>
        </w:rPr>
      </w:pPr>
    </w:p>
    <w:sectPr>
      <w:pgSz w:w="11906" w:h="16838"/>
      <w:pgMar w:top="1417" w:right="130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D3BCFD-4652-48E2-BB72-F04A8596BE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88977A5-DF43-478B-90C9-F83A6A88F1DF}"/>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embedRegular r:id="rId3" w:fontKey="{8A911017-4099-49E0-BC20-BEDC351DEFFC}"/>
  </w:font>
  <w:font w:name="仿宋_GB2312">
    <w:panose1 w:val="02010609030101010101"/>
    <w:charset w:val="86"/>
    <w:family w:val="auto"/>
    <w:pitch w:val="default"/>
    <w:sig w:usb0="00000001" w:usb1="080E0000" w:usb2="00000000" w:usb3="00000000" w:csb0="00040000" w:csb1="00000000"/>
    <w:embedRegular r:id="rId4" w:fontKey="{005A3EAE-FAB3-4249-9212-8D55BF82BB83}"/>
  </w:font>
  <w:font w:name="楷体_GB2312">
    <w:panose1 w:val="02010609030101010101"/>
    <w:charset w:val="86"/>
    <w:family w:val="auto"/>
    <w:pitch w:val="default"/>
    <w:sig w:usb0="00000001" w:usb1="080E0000" w:usb2="00000000" w:usb3="00000000" w:csb0="00040000" w:csb1="00000000"/>
    <w:embedRegular r:id="rId5" w:fontKey="{4AEA2A08-BC47-4564-8C54-88EA5CCCB661}"/>
  </w:font>
  <w:font w:name="楷体">
    <w:panose1 w:val="02010609060101010101"/>
    <w:charset w:val="86"/>
    <w:family w:val="auto"/>
    <w:pitch w:val="default"/>
    <w:sig w:usb0="800002BF" w:usb1="38CF7CFA" w:usb2="00000016" w:usb3="00000000" w:csb0="00040001" w:csb1="00000000"/>
    <w:embedRegular r:id="rId6" w:fontKey="{75FA7CEE-E3A1-4C93-9AFB-72A4987A88BA}"/>
  </w:font>
  <w:font w:name="方正黑体_GBK">
    <w:panose1 w:val="02010600010101010101"/>
    <w:charset w:val="86"/>
    <w:family w:val="auto"/>
    <w:pitch w:val="default"/>
    <w:sig w:usb0="00000001" w:usb1="080E0000" w:usb2="00000000" w:usb3="00000000" w:csb0="00040000" w:csb1="00000000"/>
    <w:embedRegular r:id="rId7" w:fontKey="{31439FD9-018E-475A-8272-59B283621ED2}"/>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5YTk2NWU3OTRhNTU0YjZlNWE0ODExMjY4YzM0MTgifQ=="/>
  </w:docVars>
  <w:rsids>
    <w:rsidRoot w:val="20492ADE"/>
    <w:rsid w:val="000F1222"/>
    <w:rsid w:val="00893998"/>
    <w:rsid w:val="00951EC8"/>
    <w:rsid w:val="00952DB5"/>
    <w:rsid w:val="01975F31"/>
    <w:rsid w:val="02B17268"/>
    <w:rsid w:val="02B41DA5"/>
    <w:rsid w:val="02F77D2C"/>
    <w:rsid w:val="031C381D"/>
    <w:rsid w:val="035B45A6"/>
    <w:rsid w:val="03CB4F6C"/>
    <w:rsid w:val="03FC20BF"/>
    <w:rsid w:val="05083AA8"/>
    <w:rsid w:val="051136D8"/>
    <w:rsid w:val="05D6142D"/>
    <w:rsid w:val="06571A42"/>
    <w:rsid w:val="066D5EFC"/>
    <w:rsid w:val="06B23258"/>
    <w:rsid w:val="07807554"/>
    <w:rsid w:val="07F506B8"/>
    <w:rsid w:val="0880298C"/>
    <w:rsid w:val="08D05E43"/>
    <w:rsid w:val="0957525F"/>
    <w:rsid w:val="0A1839BB"/>
    <w:rsid w:val="0A8B6F87"/>
    <w:rsid w:val="0AF6056A"/>
    <w:rsid w:val="0CFE3F46"/>
    <w:rsid w:val="0D91062C"/>
    <w:rsid w:val="0E1F4E61"/>
    <w:rsid w:val="0E7F1BB7"/>
    <w:rsid w:val="0ECF133E"/>
    <w:rsid w:val="0F12467F"/>
    <w:rsid w:val="0F1418F9"/>
    <w:rsid w:val="0F4E3E8C"/>
    <w:rsid w:val="0FEA2737"/>
    <w:rsid w:val="107B51E0"/>
    <w:rsid w:val="108C76B7"/>
    <w:rsid w:val="108F3B96"/>
    <w:rsid w:val="10FD194D"/>
    <w:rsid w:val="11001706"/>
    <w:rsid w:val="12326E23"/>
    <w:rsid w:val="134A3C38"/>
    <w:rsid w:val="13550492"/>
    <w:rsid w:val="137C6532"/>
    <w:rsid w:val="141D14AB"/>
    <w:rsid w:val="141D6D81"/>
    <w:rsid w:val="170B4961"/>
    <w:rsid w:val="174C22D0"/>
    <w:rsid w:val="178865EF"/>
    <w:rsid w:val="17A138DF"/>
    <w:rsid w:val="17A71746"/>
    <w:rsid w:val="17B82ED6"/>
    <w:rsid w:val="182244E2"/>
    <w:rsid w:val="1844202E"/>
    <w:rsid w:val="18B96A31"/>
    <w:rsid w:val="196C5B8A"/>
    <w:rsid w:val="196F7B7E"/>
    <w:rsid w:val="19CA6D19"/>
    <w:rsid w:val="19F94000"/>
    <w:rsid w:val="1A901BDD"/>
    <w:rsid w:val="1AB34549"/>
    <w:rsid w:val="1B1F07A7"/>
    <w:rsid w:val="1B4B5816"/>
    <w:rsid w:val="1BEA6CF6"/>
    <w:rsid w:val="1C675D4D"/>
    <w:rsid w:val="1CCD6D59"/>
    <w:rsid w:val="1D231C99"/>
    <w:rsid w:val="1D376EA1"/>
    <w:rsid w:val="1D642CBF"/>
    <w:rsid w:val="1D680D80"/>
    <w:rsid w:val="1DCB6CBB"/>
    <w:rsid w:val="1DF756CD"/>
    <w:rsid w:val="1E0F23C7"/>
    <w:rsid w:val="1E66732C"/>
    <w:rsid w:val="1E80255B"/>
    <w:rsid w:val="1E81103D"/>
    <w:rsid w:val="1F1E0CED"/>
    <w:rsid w:val="1FF133CA"/>
    <w:rsid w:val="20144EC0"/>
    <w:rsid w:val="20492ADE"/>
    <w:rsid w:val="208903E6"/>
    <w:rsid w:val="216C1234"/>
    <w:rsid w:val="21CE389C"/>
    <w:rsid w:val="21E131B8"/>
    <w:rsid w:val="21E7731E"/>
    <w:rsid w:val="235113B1"/>
    <w:rsid w:val="23D21FE8"/>
    <w:rsid w:val="243B5938"/>
    <w:rsid w:val="244F2FF2"/>
    <w:rsid w:val="24602F65"/>
    <w:rsid w:val="24C80C24"/>
    <w:rsid w:val="25116705"/>
    <w:rsid w:val="256D6C06"/>
    <w:rsid w:val="26272FA3"/>
    <w:rsid w:val="263B7699"/>
    <w:rsid w:val="267468F3"/>
    <w:rsid w:val="28186B88"/>
    <w:rsid w:val="28DE1041"/>
    <w:rsid w:val="29273BFB"/>
    <w:rsid w:val="2A1C074A"/>
    <w:rsid w:val="2A54119D"/>
    <w:rsid w:val="2A5734B2"/>
    <w:rsid w:val="2AAA30A2"/>
    <w:rsid w:val="2ACA2711"/>
    <w:rsid w:val="2B192F46"/>
    <w:rsid w:val="2B731E6F"/>
    <w:rsid w:val="2B9373A4"/>
    <w:rsid w:val="2BB924A9"/>
    <w:rsid w:val="2C7A1264"/>
    <w:rsid w:val="2CCC6856"/>
    <w:rsid w:val="2D573E33"/>
    <w:rsid w:val="2DB42F6C"/>
    <w:rsid w:val="2EA076B6"/>
    <w:rsid w:val="2F427651"/>
    <w:rsid w:val="30584212"/>
    <w:rsid w:val="305A4FC3"/>
    <w:rsid w:val="31622CB5"/>
    <w:rsid w:val="327171C3"/>
    <w:rsid w:val="32D43FFF"/>
    <w:rsid w:val="32D84A7A"/>
    <w:rsid w:val="32E4190B"/>
    <w:rsid w:val="33A24CC2"/>
    <w:rsid w:val="34BD5094"/>
    <w:rsid w:val="358B369B"/>
    <w:rsid w:val="35B20CA2"/>
    <w:rsid w:val="35C005BD"/>
    <w:rsid w:val="36363350"/>
    <w:rsid w:val="36372A1E"/>
    <w:rsid w:val="36861196"/>
    <w:rsid w:val="36B6775C"/>
    <w:rsid w:val="37012AE2"/>
    <w:rsid w:val="3842422E"/>
    <w:rsid w:val="387C4DDB"/>
    <w:rsid w:val="38953EC5"/>
    <w:rsid w:val="38C25E67"/>
    <w:rsid w:val="38C65508"/>
    <w:rsid w:val="391F6B2F"/>
    <w:rsid w:val="39745863"/>
    <w:rsid w:val="3AED4488"/>
    <w:rsid w:val="3B466C7D"/>
    <w:rsid w:val="3E4203B8"/>
    <w:rsid w:val="3E8636AB"/>
    <w:rsid w:val="3FC36644"/>
    <w:rsid w:val="3FEFF4F5"/>
    <w:rsid w:val="402E2EA1"/>
    <w:rsid w:val="40711DFB"/>
    <w:rsid w:val="40815DC2"/>
    <w:rsid w:val="40FE33D2"/>
    <w:rsid w:val="41A90C4E"/>
    <w:rsid w:val="41C1453D"/>
    <w:rsid w:val="42122346"/>
    <w:rsid w:val="42A258CA"/>
    <w:rsid w:val="42D15CC7"/>
    <w:rsid w:val="43041CEE"/>
    <w:rsid w:val="431762AC"/>
    <w:rsid w:val="43FA3C0F"/>
    <w:rsid w:val="44477C67"/>
    <w:rsid w:val="45163822"/>
    <w:rsid w:val="45F70327"/>
    <w:rsid w:val="464F073B"/>
    <w:rsid w:val="469B0D34"/>
    <w:rsid w:val="46C15554"/>
    <w:rsid w:val="47532B5C"/>
    <w:rsid w:val="47AB4CCE"/>
    <w:rsid w:val="48E80578"/>
    <w:rsid w:val="49023010"/>
    <w:rsid w:val="4A3D1A60"/>
    <w:rsid w:val="4AE01959"/>
    <w:rsid w:val="4AE63D5D"/>
    <w:rsid w:val="4B3D795C"/>
    <w:rsid w:val="4B903407"/>
    <w:rsid w:val="4CB43D4E"/>
    <w:rsid w:val="4D4A3FBD"/>
    <w:rsid w:val="4D843458"/>
    <w:rsid w:val="4DD45540"/>
    <w:rsid w:val="4E362775"/>
    <w:rsid w:val="4E673FB9"/>
    <w:rsid w:val="4E841AB7"/>
    <w:rsid w:val="4F140EB4"/>
    <w:rsid w:val="4F2F6BAA"/>
    <w:rsid w:val="4F392E23"/>
    <w:rsid w:val="4F6E3C6E"/>
    <w:rsid w:val="4FFB70CE"/>
    <w:rsid w:val="500164AE"/>
    <w:rsid w:val="50402E7C"/>
    <w:rsid w:val="50773C41"/>
    <w:rsid w:val="516C3C72"/>
    <w:rsid w:val="51CC7FF3"/>
    <w:rsid w:val="52927CA3"/>
    <w:rsid w:val="53317F82"/>
    <w:rsid w:val="541F599B"/>
    <w:rsid w:val="5434427F"/>
    <w:rsid w:val="5498620A"/>
    <w:rsid w:val="55297C00"/>
    <w:rsid w:val="56107B30"/>
    <w:rsid w:val="56332048"/>
    <w:rsid w:val="5717265F"/>
    <w:rsid w:val="571A619C"/>
    <w:rsid w:val="5799456B"/>
    <w:rsid w:val="582D761A"/>
    <w:rsid w:val="582F100E"/>
    <w:rsid w:val="58306AD3"/>
    <w:rsid w:val="585A142B"/>
    <w:rsid w:val="58796E5D"/>
    <w:rsid w:val="58B37C3A"/>
    <w:rsid w:val="58F76517"/>
    <w:rsid w:val="59905953"/>
    <w:rsid w:val="5A6B011C"/>
    <w:rsid w:val="5A822A86"/>
    <w:rsid w:val="5B2931D1"/>
    <w:rsid w:val="5B9B4659"/>
    <w:rsid w:val="5C1C1697"/>
    <w:rsid w:val="5D273DA0"/>
    <w:rsid w:val="5DBE36E5"/>
    <w:rsid w:val="5DC257F5"/>
    <w:rsid w:val="609B59DA"/>
    <w:rsid w:val="61DE16CF"/>
    <w:rsid w:val="625B3AEF"/>
    <w:rsid w:val="629A1EA0"/>
    <w:rsid w:val="62EE6640"/>
    <w:rsid w:val="63425BF8"/>
    <w:rsid w:val="661F3FF8"/>
    <w:rsid w:val="663750B8"/>
    <w:rsid w:val="66823DFC"/>
    <w:rsid w:val="669D55ED"/>
    <w:rsid w:val="6733275C"/>
    <w:rsid w:val="688824DF"/>
    <w:rsid w:val="68DD3604"/>
    <w:rsid w:val="69544653"/>
    <w:rsid w:val="695FC2AF"/>
    <w:rsid w:val="69D6005F"/>
    <w:rsid w:val="69F03D2B"/>
    <w:rsid w:val="6A270431"/>
    <w:rsid w:val="6B4A7003"/>
    <w:rsid w:val="6B815CCF"/>
    <w:rsid w:val="6BA25FE5"/>
    <w:rsid w:val="6D772432"/>
    <w:rsid w:val="6E137496"/>
    <w:rsid w:val="6E511DCE"/>
    <w:rsid w:val="6E974C68"/>
    <w:rsid w:val="6F9F222B"/>
    <w:rsid w:val="6FF1617F"/>
    <w:rsid w:val="701B4A21"/>
    <w:rsid w:val="712A5284"/>
    <w:rsid w:val="71DB48D0"/>
    <w:rsid w:val="71FE1713"/>
    <w:rsid w:val="728C0931"/>
    <w:rsid w:val="72CE18F8"/>
    <w:rsid w:val="734716E7"/>
    <w:rsid w:val="73AB4215"/>
    <w:rsid w:val="73B043B8"/>
    <w:rsid w:val="742063EB"/>
    <w:rsid w:val="749F597C"/>
    <w:rsid w:val="74A70BD1"/>
    <w:rsid w:val="751C0816"/>
    <w:rsid w:val="751E3EDE"/>
    <w:rsid w:val="75F1605B"/>
    <w:rsid w:val="763A2AA5"/>
    <w:rsid w:val="77187868"/>
    <w:rsid w:val="782E7A37"/>
    <w:rsid w:val="7A0807F4"/>
    <w:rsid w:val="7A562A3E"/>
    <w:rsid w:val="7B272478"/>
    <w:rsid w:val="7B2C0B40"/>
    <w:rsid w:val="7B952652"/>
    <w:rsid w:val="7C6D36CA"/>
    <w:rsid w:val="7CFF8ADA"/>
    <w:rsid w:val="7D0E379E"/>
    <w:rsid w:val="7DFEA604"/>
    <w:rsid w:val="7E376ED2"/>
    <w:rsid w:val="7E5D3FBF"/>
    <w:rsid w:val="7E8B5ECB"/>
    <w:rsid w:val="7F986552"/>
    <w:rsid w:val="7FFB05E5"/>
    <w:rsid w:val="7FFDB5B6"/>
    <w:rsid w:val="BF3EEC32"/>
    <w:rsid w:val="D5FB9504"/>
    <w:rsid w:val="D7BA2534"/>
    <w:rsid w:val="E5EF3B6C"/>
    <w:rsid w:val="FC7A691F"/>
    <w:rsid w:val="FDFF88BC"/>
    <w:rsid w:val="FEDAB0B9"/>
    <w:rsid w:val="FEEF94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99"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7"/>
    <w:basedOn w:val="1"/>
    <w:next w:val="1"/>
    <w:qFormat/>
    <w:uiPriority w:val="99"/>
    <w:pPr>
      <w:ind w:left="2520" w:leftChars="1200"/>
    </w:pPr>
  </w:style>
  <w:style w:type="paragraph" w:styleId="3">
    <w:name w:val="Body Text"/>
    <w:basedOn w:val="1"/>
    <w:unhideWhenUsed/>
    <w:qFormat/>
    <w:uiPriority w:val="99"/>
    <w:pPr>
      <w:spacing w:after="120"/>
    </w:pPr>
  </w:style>
  <w:style w:type="paragraph" w:styleId="4">
    <w:name w:val="Title"/>
    <w:basedOn w:val="1"/>
    <w:next w:val="1"/>
    <w:qFormat/>
    <w:uiPriority w:val="0"/>
    <w:pPr>
      <w:spacing w:before="240" w:after="60"/>
      <w:jc w:val="center"/>
      <w:outlineLvl w:val="0"/>
    </w:pPr>
    <w:rPr>
      <w:rFonts w:ascii="Cambria" w:hAnsi="Cambria" w:cs="Times New Roman"/>
      <w:b/>
      <w:bCs/>
      <w:sz w:val="32"/>
      <w:szCs w:val="32"/>
    </w:rPr>
  </w:style>
  <w:style w:type="character" w:styleId="7">
    <w:name w:val="Strong"/>
    <w:basedOn w:val="6"/>
    <w:qFormat/>
    <w:uiPriority w:val="0"/>
    <w:rPr>
      <w:b/>
    </w:rPr>
  </w:style>
  <w:style w:type="character" w:styleId="8">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3055</Words>
  <Characters>3110</Characters>
  <Lines>0</Lines>
  <Paragraphs>0</Paragraphs>
  <TotalTime>3</TotalTime>
  <ScaleCrop>false</ScaleCrop>
  <LinksUpToDate>false</LinksUpToDate>
  <CharactersWithSpaces>3143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2026-03-20T08:00:00Z</dcterms:created>
  <dc:creator>至遥不可及的星空</dc:creator>
  <cp:lastModifiedBy>Jeuin</cp:lastModifiedBy>
  <dcterms:modified xsi:type="dcterms:W3CDTF">2026-09-17T02:19:06Z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D4C0A0772FDA41AA8AC6E0A80C33164C_13</vt:lpwstr>
  </property>
  <property fmtid="{D5CDD505-2E9C-101B-9397-08002B2CF9AE}" pid="4" name="KSOTemplateDocerSaveRecord">
    <vt:lpwstr>eyJoZGlkIjoiNjBlOTY2MTk4ZGExNTQxNWY1NWZhYjRhYTk1NWJhYjIiLCJ1c2VySWQiOiI2NDIyMTMyNjUifQ==</vt:lpwstr>
  </property>
</Properties>
</file>