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napToGrid w:val="0"/>
        <w:spacing w:after="312" w:afterLines="100" w:line="360" w:lineRule="auto"/>
        <w:textAlignment w:val="auto"/>
        <w:outlineLvl w:val="0"/>
        <w:rPr>
          <w:rFonts w:hint="eastAsia" w:ascii="Times New Roman" w:hAnsi="Times New Roman" w:eastAsia="黑体" w:cs="Times New Roman"/>
          <w:bCs/>
          <w:color w:val="000000" w:themeColor="text1"/>
          <w:sz w:val="32"/>
          <w:szCs w:val="32"/>
          <w:highlight w:val="none"/>
          <w:lang w:eastAsia="zh-CN"/>
          <w14:textFill>
            <w14:solidFill>
              <w14:schemeClr w14:val="tx1"/>
            </w14:solidFill>
          </w14:textFill>
        </w:rPr>
      </w:pPr>
      <w:bookmarkStart w:id="0" w:name="_Toc26776"/>
      <w:bookmarkStart w:id="1" w:name="_Toc8042"/>
      <w:r>
        <w:rPr>
          <w:rFonts w:hint="default" w:ascii="Times New Roman" w:hAnsi="Times New Roman" w:eastAsia="黑体" w:cs="Times New Roman"/>
          <w:bCs/>
          <w:color w:val="000000" w:themeColor="text1"/>
          <w:sz w:val="32"/>
          <w:szCs w:val="32"/>
          <w:highlight w:val="none"/>
          <w14:textFill>
            <w14:solidFill>
              <w14:schemeClr w14:val="tx1"/>
            </w14:solidFill>
          </w14:textFill>
        </w:rPr>
        <w:t>附件</w:t>
      </w:r>
      <w:bookmarkEnd w:id="0"/>
      <w:bookmarkEnd w:id="1"/>
      <w:r>
        <w:rPr>
          <w:rFonts w:hint="eastAsia" w:eastAsia="黑体" w:cs="Times New Roman"/>
          <w:bCs/>
          <w:color w:val="000000" w:themeColor="text1"/>
          <w:sz w:val="32"/>
          <w:szCs w:val="32"/>
          <w:highlight w:val="none"/>
          <w:lang w:val="en-US" w:eastAsia="zh-CN"/>
          <w14:textFill>
            <w14:solidFill>
              <w14:schemeClr w14:val="tx1"/>
            </w14:solidFill>
          </w14:textFill>
        </w:rPr>
        <w:t>3</w:t>
      </w:r>
    </w:p>
    <w:p>
      <w:pPr>
        <w:snapToGrid w:val="0"/>
        <w:spacing w:line="288" w:lineRule="auto"/>
        <w:jc w:val="center"/>
        <w:rPr>
          <w:rFonts w:hint="eastAsia" w:ascii="黑体" w:hAnsi="黑体" w:eastAsia="黑体" w:cs="黑体"/>
          <w:sz w:val="84"/>
          <w:szCs w:val="84"/>
          <w:highlight w:val="none"/>
        </w:rPr>
      </w:pPr>
      <w:bookmarkStart w:id="27" w:name="_GoBack"/>
      <w:bookmarkEnd w:id="27"/>
    </w:p>
    <w:p>
      <w:pPr>
        <w:adjustRightInd w:val="0"/>
        <w:snapToGrid w:val="0"/>
        <w:spacing w:line="288" w:lineRule="auto"/>
        <w:jc w:val="center"/>
        <w:rPr>
          <w:rFonts w:ascii="黑体" w:hAnsi="黑体" w:eastAsia="黑体" w:cs="黑体"/>
          <w:sz w:val="30"/>
          <w:szCs w:val="30"/>
          <w:highlight w:val="none"/>
        </w:rPr>
      </w:pPr>
    </w:p>
    <w:p>
      <w:pPr>
        <w:snapToGrid w:val="0"/>
        <w:spacing w:line="288" w:lineRule="auto"/>
        <w:jc w:val="center"/>
        <w:outlineLvl w:val="0"/>
        <w:rPr>
          <w:rFonts w:hint="eastAsia" w:ascii="黑体" w:hAnsi="黑体" w:eastAsia="黑体" w:cs="黑体"/>
          <w:b/>
          <w:bCs/>
          <w:sz w:val="56"/>
          <w:szCs w:val="56"/>
          <w:highlight w:val="none"/>
        </w:rPr>
      </w:pPr>
      <w:bookmarkStart w:id="2" w:name="_Toc4341"/>
      <w:bookmarkStart w:id="3" w:name="_Toc23894"/>
      <w:r>
        <w:rPr>
          <w:rFonts w:hint="eastAsia" w:ascii="黑体" w:hAnsi="黑体" w:eastAsia="黑体" w:cs="黑体"/>
          <w:b/>
          <w:bCs/>
          <w:sz w:val="56"/>
          <w:szCs w:val="56"/>
          <w:highlight w:val="none"/>
        </w:rPr>
        <w:t>急性眼刺激性/腐蚀性试验</w:t>
      </w:r>
      <w:r>
        <w:rPr>
          <w:rFonts w:hint="eastAsia" w:ascii="黑体" w:hAnsi="黑体" w:eastAsia="黑体" w:cs="黑体"/>
          <w:b/>
          <w:bCs/>
          <w:sz w:val="56"/>
          <w:szCs w:val="56"/>
          <w:highlight w:val="none"/>
          <w:lang w:val="en-US" w:eastAsia="zh-CN"/>
        </w:rPr>
        <w:t xml:space="preserve">     </w:t>
      </w:r>
      <w:r>
        <w:rPr>
          <w:rFonts w:hint="eastAsia" w:ascii="黑体" w:hAnsi="黑体" w:eastAsia="黑体" w:cs="黑体"/>
          <w:b/>
          <w:bCs/>
          <w:sz w:val="56"/>
          <w:szCs w:val="56"/>
          <w:highlight w:val="none"/>
        </w:rPr>
        <w:t>技术指导原则</w:t>
      </w:r>
      <w:bookmarkEnd w:id="2"/>
      <w:bookmarkEnd w:id="3"/>
    </w:p>
    <w:p>
      <w:pPr>
        <w:snapToGrid w:val="0"/>
        <w:spacing w:line="288" w:lineRule="auto"/>
        <w:jc w:val="center"/>
        <w:rPr>
          <w:rFonts w:hint="eastAsia" w:ascii="黑体" w:hAnsi="黑体" w:eastAsia="黑体" w:cs="黑体"/>
          <w:b/>
          <w:bCs/>
          <w:sz w:val="52"/>
          <w:szCs w:val="52"/>
          <w:highlight w:val="none"/>
        </w:rPr>
      </w:pPr>
    </w:p>
    <w:p>
      <w:pPr>
        <w:snapToGrid w:val="0"/>
        <w:spacing w:line="288" w:lineRule="auto"/>
        <w:jc w:val="center"/>
        <w:outlineLvl w:val="0"/>
        <w:rPr>
          <w:rFonts w:hint="eastAsia" w:ascii="黑体" w:hAnsi="黑体" w:eastAsia="黑体" w:cs="黑体"/>
          <w:b/>
          <w:bCs/>
          <w:sz w:val="48"/>
          <w:szCs w:val="48"/>
        </w:rPr>
      </w:pPr>
      <w:bookmarkStart w:id="4" w:name="_Toc12453"/>
      <w:bookmarkStart w:id="5" w:name="_Toc22736"/>
      <w:r>
        <w:rPr>
          <w:rFonts w:hint="eastAsia" w:ascii="黑体" w:hAnsi="黑体" w:eastAsia="黑体" w:cs="黑体"/>
          <w:b/>
          <w:bCs/>
          <w:sz w:val="48"/>
          <w:szCs w:val="48"/>
        </w:rPr>
        <w:t>（</w:t>
      </w:r>
      <w:r>
        <w:rPr>
          <w:rFonts w:hint="eastAsia" w:ascii="黑体" w:hAnsi="黑体" w:eastAsia="黑体" w:cs="黑体"/>
          <w:b/>
          <w:bCs/>
          <w:sz w:val="48"/>
          <w:szCs w:val="48"/>
          <w:lang w:val="en-US" w:eastAsia="zh-CN"/>
        </w:rPr>
        <w:t>征求意见稿</w:t>
      </w:r>
      <w:r>
        <w:rPr>
          <w:rFonts w:hint="eastAsia" w:ascii="黑体" w:hAnsi="黑体" w:eastAsia="黑体" w:cs="黑体"/>
          <w:b/>
          <w:bCs/>
          <w:sz w:val="48"/>
          <w:szCs w:val="48"/>
        </w:rPr>
        <w:t>）</w:t>
      </w:r>
      <w:bookmarkEnd w:id="4"/>
      <w:bookmarkEnd w:id="5"/>
    </w:p>
    <w:p>
      <w:pPr>
        <w:snapToGrid w:val="0"/>
        <w:spacing w:line="360" w:lineRule="auto"/>
        <w:jc w:val="center"/>
        <w:rPr>
          <w:rFonts w:ascii="仿宋" w:hAnsi="仿宋" w:eastAsia="仿宋" w:cs="仿宋"/>
          <w:sz w:val="44"/>
          <w:szCs w:val="44"/>
          <w:highlight w:val="none"/>
        </w:rPr>
      </w:pPr>
    </w:p>
    <w:p>
      <w:pPr>
        <w:snapToGrid w:val="0"/>
        <w:spacing w:line="360" w:lineRule="auto"/>
        <w:jc w:val="both"/>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both"/>
        <w:rPr>
          <w:rFonts w:ascii="仿宋" w:hAnsi="仿宋" w:eastAsia="仿宋" w:cs="仿宋"/>
          <w:sz w:val="44"/>
          <w:szCs w:val="44"/>
          <w:highlight w:val="none"/>
        </w:rPr>
      </w:pPr>
    </w:p>
    <w:p>
      <w:pPr>
        <w:snapToGrid w:val="0"/>
        <w:spacing w:line="360" w:lineRule="auto"/>
        <w:jc w:val="center"/>
        <w:outlineLvl w:val="0"/>
        <w:rPr>
          <w:rFonts w:hint="eastAsia" w:ascii="楷体" w:hAnsi="楷体" w:eastAsia="楷体" w:cs="楷体"/>
          <w:sz w:val="44"/>
          <w:szCs w:val="44"/>
          <w:highlight w:val="none"/>
        </w:rPr>
      </w:pPr>
      <w:bookmarkStart w:id="6" w:name="_Toc21210"/>
      <w:bookmarkStart w:id="7" w:name="_Toc7868"/>
      <w:r>
        <w:rPr>
          <w:rFonts w:hint="eastAsia" w:ascii="楷体" w:hAnsi="楷体" w:eastAsia="楷体" w:cs="楷体"/>
          <w:sz w:val="44"/>
          <w:szCs w:val="44"/>
          <w:highlight w:val="none"/>
        </w:rPr>
        <w:t>中国食品药品检定研究院</w:t>
      </w:r>
      <w:bookmarkEnd w:id="6"/>
      <w:bookmarkEnd w:id="7"/>
    </w:p>
    <w:p>
      <w:pPr>
        <w:snapToGrid w:val="0"/>
        <w:spacing w:line="360" w:lineRule="auto"/>
        <w:jc w:val="center"/>
        <w:rPr>
          <w:rFonts w:ascii="楷体" w:hAnsi="楷体" w:eastAsia="楷体" w:cs="楷体"/>
          <w:sz w:val="40"/>
          <w:szCs w:val="40"/>
        </w:rPr>
      </w:pPr>
      <w:r>
        <w:rPr>
          <w:rFonts w:ascii="楷体" w:hAnsi="楷体" w:eastAsia="楷体" w:cs="楷体"/>
          <w:sz w:val="40"/>
          <w:szCs w:val="40"/>
        </w:rPr>
        <w:t>202</w:t>
      </w:r>
      <w:r>
        <w:rPr>
          <w:rFonts w:hint="eastAsia" w:ascii="楷体" w:hAnsi="楷体" w:eastAsia="楷体" w:cs="楷体"/>
          <w:sz w:val="40"/>
          <w:szCs w:val="40"/>
        </w:rPr>
        <w:t>3</w:t>
      </w:r>
      <w:r>
        <w:rPr>
          <w:rFonts w:ascii="楷体" w:hAnsi="楷体" w:eastAsia="楷体" w:cs="楷体"/>
          <w:sz w:val="40"/>
          <w:szCs w:val="40"/>
        </w:rPr>
        <w:t>年</w:t>
      </w:r>
      <w:r>
        <w:rPr>
          <w:rFonts w:hint="eastAsia" w:ascii="楷体" w:hAnsi="楷体" w:eastAsia="楷体" w:cs="楷体"/>
          <w:sz w:val="40"/>
          <w:szCs w:val="40"/>
          <w:lang w:val="en-US" w:eastAsia="zh-CN"/>
        </w:rPr>
        <w:t>4</w:t>
      </w:r>
      <w:r>
        <w:rPr>
          <w:rFonts w:ascii="楷体" w:hAnsi="楷体" w:eastAsia="楷体" w:cs="楷体"/>
          <w:sz w:val="40"/>
          <w:szCs w:val="40"/>
        </w:rPr>
        <w:t>月</w:t>
      </w:r>
    </w:p>
    <w:p>
      <w:pPr>
        <w:snapToGrid w:val="0"/>
        <w:spacing w:line="360" w:lineRule="auto"/>
        <w:jc w:val="center"/>
        <w:rPr>
          <w:rFonts w:ascii="楷体" w:hAnsi="楷体" w:eastAsia="楷体" w:cs="楷体"/>
          <w:sz w:val="40"/>
          <w:szCs w:val="40"/>
        </w:rPr>
      </w:pPr>
    </w:p>
    <w:p>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目录</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sz w:val="28"/>
          <w:szCs w:val="28"/>
        </w:rPr>
      </w:pPr>
      <w:r>
        <w:fldChar w:fldCharType="begin"/>
      </w:r>
      <w:r>
        <w:instrText xml:space="preserve">TOC \o "1-3" \h \u </w:instrText>
      </w:r>
      <w:r>
        <w:fldChar w:fldCharType="separate"/>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_Toc7066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highlight w:val="none"/>
          <w:lang w:val="en-US" w:eastAsia="zh-CN"/>
        </w:rPr>
        <w:t>一、概述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_Toc7066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_Toc4620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highlight w:val="none"/>
          <w:lang w:val="en-US" w:eastAsia="zh-CN"/>
        </w:rPr>
        <w:t>二、基本原则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_Toc4620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_Toc7363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highlight w:val="none"/>
          <w:lang w:val="en-US" w:eastAsia="zh-CN"/>
        </w:rPr>
        <w:t>（一）试验设计原则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_Toc7363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_Toc21222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highlight w:val="none"/>
          <w:lang w:val="en-US" w:eastAsia="zh-CN"/>
        </w:rPr>
        <w:t>（二）检验管理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_Toc21222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_Toc3159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highlight w:val="none"/>
          <w:lang w:val="en-US" w:eastAsia="zh-CN"/>
        </w:rPr>
        <w:t>三、基本内容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_Toc28778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highlight w:val="none"/>
          <w:lang w:val="en-US" w:eastAsia="zh-CN"/>
        </w:rPr>
        <w:t>（一）受试物</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_Toc28778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eastAsia" w:ascii="Times New Roman" w:hAnsi="Times New Roman" w:cs="Times New Roman" w:eastAsiaTheme="minorEastAsia"/>
          <w:sz w:val="28"/>
          <w:szCs w:val="28"/>
          <w:lang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_Toc26411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highlight w:val="none"/>
          <w:lang w:val="en-US" w:eastAsia="zh-CN"/>
        </w:rPr>
        <w:t>（二）试验动物</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4</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_Toc23913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highlight w:val="none"/>
          <w:lang w:val="en-US" w:eastAsia="zh-CN"/>
        </w:rPr>
        <w:t>（三）试验方法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_Toc23913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_Toc24796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highlight w:val="none"/>
          <w:lang w:val="en-US" w:eastAsia="zh-CN"/>
        </w:rPr>
        <w:t>四、结果分析与评价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_Toc24796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_Toc753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highlight w:val="none"/>
          <w:lang w:val="en-US" w:eastAsia="zh-CN"/>
        </w:rPr>
        <w:t>（一）试验观察与记录分析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_Toc753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_Toc14997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highlight w:val="none"/>
          <w:lang w:val="en-US" w:eastAsia="zh-CN"/>
        </w:rPr>
        <w:t>（二）结果分析评价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_Toc14997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_Toc4209 </w:instrText>
      </w:r>
      <w:r>
        <w:rPr>
          <w:rFonts w:hint="default" w:ascii="Times New Roman" w:hAnsi="Times New Roman" w:cs="Times New Roman"/>
          <w:sz w:val="28"/>
          <w:szCs w:val="28"/>
        </w:rPr>
        <w:fldChar w:fldCharType="separate"/>
      </w:r>
      <w:r>
        <w:rPr>
          <w:rFonts w:hint="default" w:ascii="Times New Roman" w:hAnsi="Times New Roman" w:eastAsia="仿宋" w:cs="Times New Roman"/>
          <w:bCs/>
          <w:sz w:val="28"/>
          <w:szCs w:val="28"/>
          <w:highlight w:val="none"/>
          <w:lang w:val="en-US" w:eastAsia="zh-CN"/>
        </w:rPr>
        <w:t>（三）结果解释</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_Toc4209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rPr>
          <w:rFonts w:hint="eastAsia" w:ascii="Times New Roman" w:hAnsi="Times New Roman" w:cs="Times New Roman" w:eastAsiaTheme="minorEastAsia"/>
          <w:sz w:val="28"/>
          <w:szCs w:val="28"/>
          <w:lang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_Toc15816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highlight w:val="none"/>
          <w:lang w:val="en-US" w:eastAsia="zh-CN"/>
        </w:rPr>
        <w:t>五、参考文献</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8</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60" w:lineRule="exact"/>
        <w:jc w:val="both"/>
        <w:textAlignment w:val="auto"/>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_Toc412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sz w:val="28"/>
          <w:szCs w:val="28"/>
          <w:highlight w:val="none"/>
          <w:lang w:val="en-US" w:eastAsia="zh-CN"/>
        </w:rPr>
        <w:t>六、附录</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rPr>
        <w:fldChar w:fldCharType="end"/>
      </w:r>
    </w:p>
    <w:p>
      <w:r>
        <w:fldChar w:fldCharType="end"/>
      </w:r>
    </w:p>
    <w:p>
      <w:pPr>
        <w:snapToGrid w:val="0"/>
        <w:spacing w:line="360" w:lineRule="auto"/>
        <w:outlineLvl w:val="0"/>
        <w:rPr>
          <w:rFonts w:hint="eastAsia" w:ascii="黑体" w:hAnsi="黑体" w:eastAsia="黑体" w:cs="黑体"/>
          <w:b/>
          <w:bCs/>
          <w:sz w:val="32"/>
          <w:szCs w:val="32"/>
          <w:highlight w:val="none"/>
          <w:lang w:val="en-US" w:eastAsia="zh-CN"/>
        </w:rPr>
      </w:pPr>
      <w:bookmarkStart w:id="8" w:name="_Toc7066"/>
    </w:p>
    <w:p>
      <w:pPr>
        <w:snapToGrid w:val="0"/>
        <w:spacing w:line="360" w:lineRule="auto"/>
        <w:outlineLvl w:val="0"/>
        <w:rPr>
          <w:rFonts w:hint="eastAsia" w:ascii="黑体" w:hAnsi="黑体" w:eastAsia="黑体" w:cs="黑体"/>
          <w:b/>
          <w:bCs/>
          <w:sz w:val="32"/>
          <w:szCs w:val="32"/>
          <w:highlight w:val="none"/>
          <w:lang w:val="en-US" w:eastAsia="zh-CN"/>
        </w:rPr>
      </w:pPr>
    </w:p>
    <w:p>
      <w:pPr>
        <w:snapToGrid w:val="0"/>
        <w:spacing w:line="360" w:lineRule="auto"/>
        <w:outlineLvl w:val="0"/>
        <w:rPr>
          <w:rFonts w:hint="eastAsia" w:ascii="黑体" w:hAnsi="黑体" w:eastAsia="黑体" w:cs="黑体"/>
          <w:b/>
          <w:bCs/>
          <w:sz w:val="32"/>
          <w:szCs w:val="32"/>
          <w:highlight w:val="none"/>
          <w:lang w:val="en-US" w:eastAsia="zh-CN"/>
        </w:rPr>
      </w:pPr>
    </w:p>
    <w:p>
      <w:pPr>
        <w:snapToGrid w:val="0"/>
        <w:spacing w:line="360" w:lineRule="auto"/>
        <w:outlineLvl w:val="0"/>
        <w:rPr>
          <w:rFonts w:hint="eastAsia" w:ascii="黑体" w:hAnsi="黑体" w:eastAsia="黑体" w:cs="黑体"/>
          <w:b/>
          <w:bCs/>
          <w:sz w:val="32"/>
          <w:szCs w:val="32"/>
          <w:highlight w:val="none"/>
          <w:lang w:val="en-US" w:eastAsia="zh-CN"/>
        </w:rPr>
      </w:pPr>
    </w:p>
    <w:p>
      <w:pPr>
        <w:snapToGrid w:val="0"/>
        <w:spacing w:line="360" w:lineRule="auto"/>
        <w:outlineLvl w:val="0"/>
        <w:rPr>
          <w:rFonts w:hint="eastAsia" w:ascii="黑体" w:hAnsi="黑体" w:eastAsia="黑体" w:cs="黑体"/>
          <w:b/>
          <w:bCs/>
          <w:sz w:val="32"/>
          <w:szCs w:val="32"/>
          <w:highlight w:val="none"/>
          <w:lang w:val="en-US" w:eastAsia="zh-CN"/>
        </w:rPr>
      </w:pPr>
    </w:p>
    <w:p>
      <w:pPr>
        <w:snapToGrid w:val="0"/>
        <w:spacing w:line="360" w:lineRule="auto"/>
        <w:outlineLvl w:val="0"/>
        <w:rPr>
          <w:rFonts w:hint="eastAsia" w:ascii="黑体" w:hAnsi="黑体" w:eastAsia="黑体" w:cs="黑体"/>
          <w:b/>
          <w:bCs/>
          <w:sz w:val="32"/>
          <w:szCs w:val="32"/>
          <w:highlight w:val="none"/>
          <w:lang w:val="en-US" w:eastAsia="zh-CN"/>
        </w:rPr>
      </w:pPr>
    </w:p>
    <w:p>
      <w:pPr>
        <w:snapToGrid w:val="0"/>
        <w:spacing w:line="360" w:lineRule="auto"/>
        <w:outlineLvl w:val="0"/>
        <w:rPr>
          <w:rFonts w:hint="eastAsia" w:ascii="黑体" w:hAnsi="黑体" w:eastAsia="黑体" w:cs="黑体"/>
          <w:b/>
          <w:bCs/>
          <w:sz w:val="32"/>
          <w:szCs w:val="32"/>
          <w:highlight w:val="none"/>
          <w:lang w:val="en-US" w:eastAsia="zh-CN"/>
        </w:rPr>
      </w:pPr>
    </w:p>
    <w:p>
      <w:pPr>
        <w:snapToGrid w:val="0"/>
        <w:spacing w:line="360" w:lineRule="auto"/>
        <w:ind w:firstLine="643" w:firstLineChars="200"/>
        <w:outlineLvl w:val="0"/>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一、概述</w:t>
      </w:r>
      <w:bookmarkEnd w:id="8"/>
    </w:p>
    <w:p>
      <w:pPr>
        <w:snapToGrid w:val="0"/>
        <w:spacing w:line="360" w:lineRule="auto"/>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急性眼刺激性/腐蚀性试验是检测物质对试验动物眼和粘膜的原发性刺激和腐蚀作用的急性试验，确定和评价化妆品原料及其产品对哺乳动物的眼睛是否有刺激作用或腐蚀作用及其程度，为人类眼和粘膜接触该受试物的潜在危害提供资料。</w:t>
      </w:r>
    </w:p>
    <w:p>
      <w:pPr>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本指导原则依据《化妆品安全技术规范》《化妆品注册和备案检验工作规范》《化妆品注册备案资料管理规定》《化妆品新原料注册备案资料管理规定》等法规技术资料相关要求，并参考国内外相关指南制定。</w:t>
      </w:r>
    </w:p>
    <w:p>
      <w:pPr>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本指导原则</w:t>
      </w:r>
      <w:r>
        <w:rPr>
          <w:rFonts w:hint="default" w:ascii="Times New Roman" w:hAnsi="Times New Roman" w:eastAsia="仿宋" w:cs="Times New Roman"/>
          <w:bCs/>
          <w:color w:val="000000" w:themeColor="text1"/>
          <w:kern w:val="0"/>
          <w:sz w:val="32"/>
          <w:szCs w:val="32"/>
          <w:highlight w:val="none"/>
          <w14:textFill>
            <w14:solidFill>
              <w14:schemeClr w14:val="tx1"/>
            </w14:solidFill>
          </w14:textFill>
        </w:rPr>
        <w:t>适用于化妆品和新原料的</w:t>
      </w:r>
      <w:r>
        <w:rPr>
          <w:rFonts w:hint="eastAsia" w:ascii="Times New Roman" w:hAnsi="Times New Roman" w:eastAsia="仿宋" w:cs="Times New Roman"/>
          <w:bCs/>
          <w:color w:val="000000" w:themeColor="text1"/>
          <w:kern w:val="0"/>
          <w:sz w:val="32"/>
          <w:szCs w:val="32"/>
          <w:highlight w:val="none"/>
          <w:lang w:val="en-US" w:eastAsia="zh-CN"/>
          <w14:textFill>
            <w14:solidFill>
              <w14:schemeClr w14:val="tx1"/>
            </w14:solidFill>
          </w14:textFill>
        </w:rPr>
        <w:t>急性眼刺激性/腐蚀性</w:t>
      </w:r>
      <w:r>
        <w:rPr>
          <w:rFonts w:hint="eastAsia" w:eastAsia="仿宋" w:cs="Times New Roman"/>
          <w:bCs/>
          <w:color w:val="000000" w:themeColor="text1"/>
          <w:kern w:val="0"/>
          <w:sz w:val="32"/>
          <w:szCs w:val="32"/>
          <w:highlight w:val="none"/>
          <w:lang w:val="en-US" w:eastAsia="zh-CN"/>
          <w14:textFill>
            <w14:solidFill>
              <w14:schemeClr w14:val="tx1"/>
            </w14:solidFill>
          </w14:textFill>
        </w:rPr>
        <w:t>检测、</w:t>
      </w:r>
      <w:r>
        <w:rPr>
          <w:rFonts w:hint="eastAsia" w:ascii="Times New Roman" w:hAnsi="Times New Roman" w:eastAsia="仿宋" w:cs="Times New Roman"/>
          <w:bCs/>
          <w:color w:val="000000" w:themeColor="text1"/>
          <w:kern w:val="0"/>
          <w:sz w:val="32"/>
          <w:szCs w:val="32"/>
          <w:highlight w:val="none"/>
          <w:lang w:val="en-US" w:eastAsia="zh-CN"/>
          <w14:textFill>
            <w14:solidFill>
              <w14:schemeClr w14:val="tx1"/>
            </w14:solidFill>
          </w14:textFill>
        </w:rPr>
        <w:t>评价</w:t>
      </w:r>
      <w:r>
        <w:rPr>
          <w:rFonts w:hint="eastAsia" w:ascii="仿宋" w:hAnsi="仿宋" w:eastAsia="仿宋" w:cs="仿宋"/>
          <w:color w:val="auto"/>
          <w:sz w:val="32"/>
          <w:szCs w:val="32"/>
          <w:highlight w:val="none"/>
          <w:lang w:val="en-US" w:eastAsia="zh-CN"/>
        </w:rPr>
        <w:t>研究及其安全性评估，重点阐述化妆品和新原料在急性眼刺激性/腐蚀性试验中的试验方法、对所获得数据的分析和评价要求，以及需要重点关注的问题，试验时需具体情况具体分析。</w:t>
      </w:r>
    </w:p>
    <w:p>
      <w:pPr>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本指导原则是在现行法规和标准以及当前科学认知水平下制定的，随着法规和标准的更新完善，以及科学技术的发展，将适时进行调整。</w:t>
      </w:r>
    </w:p>
    <w:p>
      <w:pPr>
        <w:snapToGrid w:val="0"/>
        <w:spacing w:line="360" w:lineRule="auto"/>
        <w:ind w:firstLine="643" w:firstLineChars="200"/>
        <w:outlineLvl w:val="0"/>
        <w:rPr>
          <w:rFonts w:hint="default" w:ascii="黑体" w:hAnsi="黑体" w:eastAsia="黑体" w:cs="黑体"/>
          <w:b/>
          <w:bCs/>
          <w:sz w:val="32"/>
          <w:szCs w:val="32"/>
          <w:highlight w:val="none"/>
          <w:lang w:val="en-US" w:eastAsia="zh-CN"/>
        </w:rPr>
      </w:pPr>
      <w:bookmarkStart w:id="9" w:name="_Toc4620"/>
      <w:bookmarkStart w:id="10" w:name="_Toc17997"/>
      <w:r>
        <w:rPr>
          <w:rFonts w:hint="eastAsia" w:ascii="黑体" w:hAnsi="黑体" w:eastAsia="黑体" w:cs="黑体"/>
          <w:b/>
          <w:bCs/>
          <w:sz w:val="32"/>
          <w:szCs w:val="32"/>
          <w:highlight w:val="none"/>
          <w:lang w:val="en-US" w:eastAsia="zh-CN"/>
        </w:rPr>
        <w:t>二、基本原则</w:t>
      </w:r>
      <w:bookmarkEnd w:id="9"/>
      <w:bookmarkEnd w:id="10"/>
    </w:p>
    <w:p>
      <w:pPr>
        <w:snapToGrid w:val="0"/>
        <w:spacing w:line="360" w:lineRule="auto"/>
        <w:ind w:firstLine="643" w:firstLineChars="200"/>
        <w:outlineLvl w:val="1"/>
        <w:rPr>
          <w:rFonts w:hint="default" w:ascii="仿宋" w:hAnsi="仿宋" w:eastAsia="仿宋" w:cs="仿宋"/>
          <w:b/>
          <w:bCs/>
          <w:sz w:val="32"/>
          <w:szCs w:val="32"/>
          <w:highlight w:val="none"/>
          <w:lang w:val="en-US" w:eastAsia="zh-CN"/>
        </w:rPr>
      </w:pPr>
      <w:bookmarkStart w:id="11" w:name="_Toc7363"/>
      <w:r>
        <w:rPr>
          <w:rFonts w:hint="eastAsia" w:ascii="仿宋" w:hAnsi="仿宋" w:eastAsia="仿宋" w:cs="仿宋"/>
          <w:b/>
          <w:bCs/>
          <w:sz w:val="32"/>
          <w:szCs w:val="32"/>
          <w:highlight w:val="none"/>
          <w:lang w:val="en-US" w:eastAsia="zh-CN"/>
        </w:rPr>
        <w:t>（一）试验设计原则</w:t>
      </w:r>
      <w:bookmarkEnd w:id="11"/>
    </w:p>
    <w:p>
      <w:pPr>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急性眼刺激性/腐蚀性试验的设计应符合毒理学试验随机、对照、重复的基本原则，试验数据应真实、完整、准确、可追溯，试验结果应科学合理。</w:t>
      </w:r>
    </w:p>
    <w:p>
      <w:pPr>
        <w:snapToGrid w:val="0"/>
        <w:spacing w:line="360" w:lineRule="auto"/>
        <w:ind w:firstLine="643" w:firstLineChars="200"/>
        <w:outlineLvl w:val="1"/>
        <w:rPr>
          <w:rFonts w:hint="eastAsia" w:ascii="仿宋" w:hAnsi="仿宋" w:eastAsia="仿宋" w:cs="仿宋"/>
          <w:b/>
          <w:bCs/>
          <w:sz w:val="32"/>
          <w:szCs w:val="32"/>
          <w:highlight w:val="none"/>
          <w:lang w:val="en-US" w:eastAsia="zh-CN"/>
        </w:rPr>
      </w:pPr>
      <w:bookmarkStart w:id="12" w:name="_Toc21222"/>
      <w:r>
        <w:rPr>
          <w:rFonts w:hint="eastAsia" w:ascii="仿宋" w:hAnsi="仿宋" w:eastAsia="仿宋" w:cs="仿宋"/>
          <w:b/>
          <w:bCs/>
          <w:sz w:val="32"/>
          <w:szCs w:val="32"/>
          <w:highlight w:val="none"/>
          <w:lang w:val="en-US" w:eastAsia="zh-CN"/>
        </w:rPr>
        <w:t>（二）检验管理</w:t>
      </w:r>
      <w:bookmarkEnd w:id="12"/>
    </w:p>
    <w:p>
      <w:pPr>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检验机构出具的检验报告应符合《化妆品注册和备案检验工作规范》、《化妆品安全技术规范》及相关法规要求，包括检验机构资质、检验机构选择、检验方法、检验程序、结果分析、报告体例等。</w:t>
      </w:r>
      <w:bookmarkStart w:id="13" w:name="_Toc13381"/>
    </w:p>
    <w:p>
      <w:pPr>
        <w:snapToGrid w:val="0"/>
        <w:spacing w:line="360" w:lineRule="auto"/>
        <w:ind w:firstLine="643" w:firstLineChars="200"/>
        <w:outlineLvl w:val="0"/>
        <w:rPr>
          <w:rFonts w:hint="eastAsia" w:ascii="黑体" w:hAnsi="黑体" w:eastAsia="黑体" w:cs="黑体"/>
          <w:b/>
          <w:bCs/>
          <w:sz w:val="32"/>
          <w:szCs w:val="32"/>
          <w:highlight w:val="none"/>
          <w:lang w:val="en-US" w:eastAsia="zh-CN"/>
        </w:rPr>
      </w:pPr>
      <w:bookmarkStart w:id="14" w:name="_Toc3159"/>
      <w:r>
        <w:rPr>
          <w:rFonts w:hint="eastAsia" w:ascii="黑体" w:hAnsi="黑体" w:eastAsia="黑体" w:cs="黑体"/>
          <w:b/>
          <w:bCs/>
          <w:sz w:val="32"/>
          <w:szCs w:val="32"/>
          <w:highlight w:val="none"/>
          <w:lang w:val="en-US" w:eastAsia="zh-CN"/>
        </w:rPr>
        <w:t>三、基本内容</w:t>
      </w:r>
      <w:bookmarkEnd w:id="13"/>
      <w:bookmarkEnd w:id="14"/>
    </w:p>
    <w:p>
      <w:pPr>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在开展化妆品和新原料的检测时，需重点关注以下内容。</w:t>
      </w:r>
    </w:p>
    <w:p>
      <w:pPr>
        <w:snapToGrid w:val="0"/>
        <w:spacing w:line="360" w:lineRule="auto"/>
        <w:ind w:firstLine="643" w:firstLineChars="200"/>
        <w:outlineLvl w:val="1"/>
        <w:rPr>
          <w:rFonts w:hint="eastAsia" w:ascii="仿宋" w:hAnsi="仿宋" w:eastAsia="仿宋" w:cs="仿宋"/>
          <w:b/>
          <w:bCs/>
          <w:sz w:val="32"/>
          <w:szCs w:val="32"/>
          <w:highlight w:val="none"/>
          <w:lang w:val="en-US" w:eastAsia="zh-CN"/>
        </w:rPr>
      </w:pPr>
      <w:bookmarkStart w:id="15" w:name="_Toc28778"/>
      <w:r>
        <w:rPr>
          <w:rFonts w:hint="eastAsia" w:ascii="仿宋" w:hAnsi="仿宋" w:eastAsia="仿宋" w:cs="仿宋"/>
          <w:b/>
          <w:bCs/>
          <w:sz w:val="32"/>
          <w:szCs w:val="32"/>
          <w:highlight w:val="none"/>
          <w:lang w:val="en-US" w:eastAsia="zh-CN"/>
        </w:rPr>
        <w:t>（一）受试物</w:t>
      </w:r>
      <w:bookmarkEnd w:id="15"/>
    </w:p>
    <w:p>
      <w:pPr>
        <w:pStyle w:val="9"/>
        <w:keepNext w:val="0"/>
        <w:keepLines w:val="0"/>
        <w:pageBreakBefore w:val="0"/>
        <w:widowControl w:val="0"/>
        <w:kinsoku/>
        <w:wordWrap/>
        <w:topLinePunct w:val="0"/>
        <w:bidi w:val="0"/>
        <w:spacing w:line="360" w:lineRule="auto"/>
        <w:ind w:firstLine="640" w:firstLineChars="200"/>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val="en-US" w:eastAsia="zh-CN"/>
        </w:rPr>
        <w:t>受试物一般可先选择预试验进行判断，</w:t>
      </w:r>
      <w:r>
        <w:rPr>
          <w:rFonts w:hint="eastAsia" w:ascii="仿宋" w:hAnsi="仿宋" w:eastAsia="仿宋" w:cs="仿宋"/>
          <w:color w:val="000000"/>
          <w:kern w:val="0"/>
          <w:sz w:val="32"/>
          <w:szCs w:val="32"/>
          <w:highlight w:val="none"/>
        </w:rPr>
        <w:t>若预</w:t>
      </w:r>
      <w:r>
        <w:rPr>
          <w:rFonts w:hint="eastAsia" w:ascii="仿宋" w:hAnsi="仿宋" w:eastAsia="仿宋" w:cs="仿宋"/>
          <w:color w:val="000000"/>
          <w:kern w:val="0"/>
          <w:sz w:val="32"/>
          <w:szCs w:val="32"/>
          <w:highlight w:val="none"/>
          <w:lang w:val="en-US" w:eastAsia="zh-CN"/>
        </w:rPr>
        <w:t>试</w:t>
      </w:r>
      <w:r>
        <w:rPr>
          <w:rFonts w:hint="eastAsia" w:ascii="仿宋" w:hAnsi="仿宋" w:eastAsia="仿宋" w:cs="仿宋"/>
          <w:color w:val="000000"/>
          <w:kern w:val="0"/>
          <w:sz w:val="32"/>
          <w:szCs w:val="32"/>
          <w:highlight w:val="none"/>
        </w:rPr>
        <w:t>验结果显示，受试物可能引起严重刺激或腐蚀作用，</w:t>
      </w:r>
      <w:r>
        <w:rPr>
          <w:rFonts w:hint="eastAsia" w:ascii="仿宋" w:hAnsi="仿宋" w:eastAsia="仿宋" w:cs="仿宋"/>
          <w:color w:val="000000"/>
          <w:kern w:val="0"/>
          <w:sz w:val="32"/>
          <w:szCs w:val="32"/>
          <w:highlight w:val="none"/>
          <w:lang w:val="en-US" w:eastAsia="zh-CN"/>
        </w:rPr>
        <w:t>出现</w:t>
      </w:r>
      <w:r>
        <w:rPr>
          <w:rFonts w:hint="eastAsia" w:ascii="仿宋" w:hAnsi="仿宋" w:eastAsia="仿宋" w:cs="仿宋"/>
          <w:color w:val="000000"/>
          <w:kern w:val="0"/>
          <w:sz w:val="32"/>
          <w:szCs w:val="32"/>
          <w:highlight w:val="none"/>
        </w:rPr>
        <w:t>以下情况</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rPr>
        <w:t>可不</w:t>
      </w:r>
      <w:r>
        <w:rPr>
          <w:rFonts w:hint="eastAsia" w:ascii="仿宋" w:hAnsi="仿宋" w:eastAsia="仿宋" w:cs="仿宋"/>
          <w:color w:val="000000"/>
          <w:kern w:val="0"/>
          <w:sz w:val="32"/>
          <w:szCs w:val="32"/>
          <w:highlight w:val="none"/>
          <w:lang w:val="en-US" w:eastAsia="zh-CN"/>
        </w:rPr>
        <w:t>再</w:t>
      </w:r>
      <w:r>
        <w:rPr>
          <w:rFonts w:hint="eastAsia" w:ascii="仿宋" w:hAnsi="仿宋" w:eastAsia="仿宋" w:cs="仿宋"/>
          <w:color w:val="000000"/>
          <w:kern w:val="0"/>
          <w:sz w:val="32"/>
          <w:szCs w:val="32"/>
          <w:highlight w:val="none"/>
        </w:rPr>
        <w:t>进行</w:t>
      </w:r>
      <w:r>
        <w:rPr>
          <w:rFonts w:hint="eastAsia" w:ascii="仿宋" w:hAnsi="仿宋" w:eastAsia="仿宋" w:cs="仿宋"/>
          <w:color w:val="000000"/>
          <w:kern w:val="0"/>
          <w:sz w:val="32"/>
          <w:szCs w:val="32"/>
          <w:highlight w:val="none"/>
          <w:lang w:val="en-US" w:eastAsia="zh-CN"/>
        </w:rPr>
        <w:t>眼刺激性</w:t>
      </w:r>
      <w:r>
        <w:rPr>
          <w:rFonts w:hint="eastAsia" w:ascii="仿宋" w:hAnsi="仿宋" w:eastAsia="仿宋" w:cs="仿宋"/>
          <w:color w:val="000000"/>
          <w:kern w:val="0"/>
          <w:sz w:val="32"/>
          <w:szCs w:val="32"/>
          <w:highlight w:val="none"/>
        </w:rPr>
        <w:t>试验：</w:t>
      </w:r>
    </w:p>
    <w:p>
      <w:pPr>
        <w:keepNext w:val="0"/>
        <w:keepLines w:val="0"/>
        <w:pageBreakBefore w:val="0"/>
        <w:widowControl w:val="0"/>
        <w:kinsoku/>
        <w:wordWrap/>
        <w:topLinePunct w:val="0"/>
        <w:bidi w:val="0"/>
        <w:spacing w:line="360" w:lineRule="auto"/>
        <w:ind w:firstLine="640" w:firstLineChars="200"/>
        <w:textAlignment w:val="auto"/>
        <w:rPr>
          <w:rFonts w:hint="default" w:ascii="仿宋" w:hAnsi="仿宋" w:eastAsia="仿宋" w:cs="仿宋"/>
          <w:color w:val="000000"/>
          <w:kern w:val="0"/>
          <w:sz w:val="32"/>
          <w:szCs w:val="32"/>
          <w:highlight w:val="none"/>
        </w:rPr>
      </w:pPr>
      <w:r>
        <w:rPr>
          <w:rFonts w:hint="default" w:ascii="仿宋" w:hAnsi="仿宋" w:eastAsia="仿宋" w:cs="仿宋"/>
          <w:color w:val="000000"/>
          <w:kern w:val="0"/>
          <w:sz w:val="32"/>
          <w:szCs w:val="32"/>
          <w:highlight w:val="none"/>
        </w:rPr>
        <w:t>1</w:t>
      </w:r>
      <w:r>
        <w:rPr>
          <w:rFonts w:hint="default" w:ascii="仿宋" w:hAnsi="仿宋" w:eastAsia="仿宋" w:cs="仿宋"/>
          <w:color w:val="000000"/>
          <w:kern w:val="0"/>
          <w:sz w:val="32"/>
          <w:szCs w:val="32"/>
          <w:highlight w:val="none"/>
          <w:lang w:eastAsia="zh-CN"/>
        </w:rPr>
        <w:t>、</w:t>
      </w:r>
      <w:r>
        <w:rPr>
          <w:rFonts w:hint="default" w:ascii="仿宋" w:hAnsi="仿宋" w:eastAsia="仿宋" w:cs="仿宋"/>
          <w:color w:val="000000"/>
          <w:kern w:val="0"/>
          <w:sz w:val="32"/>
          <w:szCs w:val="32"/>
          <w:highlight w:val="none"/>
        </w:rPr>
        <w:t>受试物为强酸或强碱（pH值≤2或≥11.5）；</w:t>
      </w:r>
    </w:p>
    <w:p>
      <w:pPr>
        <w:snapToGrid w:val="0"/>
        <w:spacing w:line="360" w:lineRule="auto"/>
        <w:ind w:firstLine="640" w:firstLineChars="200"/>
        <w:rPr>
          <w:rFonts w:hint="default" w:ascii="仿宋" w:hAnsi="仿宋" w:eastAsia="仿宋" w:cs="仿宋"/>
          <w:color w:val="000000"/>
          <w:kern w:val="0"/>
          <w:sz w:val="32"/>
          <w:szCs w:val="32"/>
          <w:highlight w:val="none"/>
          <w:lang w:val="en-US" w:eastAsia="zh-CN"/>
        </w:rPr>
      </w:pPr>
      <w:r>
        <w:rPr>
          <w:rFonts w:hint="default" w:ascii="仿宋" w:hAnsi="仿宋" w:eastAsia="仿宋" w:cs="仿宋"/>
          <w:color w:val="000000"/>
          <w:kern w:val="0"/>
          <w:sz w:val="32"/>
          <w:szCs w:val="32"/>
          <w:highlight w:val="none"/>
        </w:rPr>
        <w:t>2</w:t>
      </w:r>
      <w:r>
        <w:rPr>
          <w:rFonts w:hint="default" w:ascii="仿宋" w:hAnsi="仿宋" w:eastAsia="仿宋" w:cs="仿宋"/>
          <w:color w:val="000000"/>
          <w:kern w:val="0"/>
          <w:sz w:val="32"/>
          <w:szCs w:val="32"/>
          <w:highlight w:val="none"/>
          <w:lang w:eastAsia="zh-CN"/>
        </w:rPr>
        <w:t>、</w:t>
      </w:r>
      <w:r>
        <w:rPr>
          <w:rFonts w:hint="default" w:ascii="仿宋" w:hAnsi="仿宋" w:eastAsia="仿宋" w:cs="仿宋"/>
          <w:color w:val="000000"/>
          <w:kern w:val="0"/>
          <w:sz w:val="32"/>
          <w:szCs w:val="32"/>
          <w:highlight w:val="none"/>
        </w:rPr>
        <w:t>受试物</w:t>
      </w:r>
      <w:r>
        <w:rPr>
          <w:rFonts w:hint="default" w:ascii="仿宋" w:hAnsi="仿宋" w:eastAsia="仿宋" w:cs="仿宋"/>
          <w:color w:val="000000"/>
          <w:kern w:val="0"/>
          <w:sz w:val="32"/>
          <w:szCs w:val="32"/>
          <w:highlight w:val="none"/>
          <w:lang w:val="en-US" w:eastAsia="zh-CN"/>
        </w:rPr>
        <w:t>已被证实对皮肤有腐蚀性或强刺激性</w:t>
      </w:r>
      <w:r>
        <w:rPr>
          <w:rFonts w:hint="eastAsia" w:ascii="仿宋" w:hAnsi="仿宋" w:eastAsia="仿宋" w:cs="仿宋"/>
          <w:color w:val="000000"/>
          <w:kern w:val="0"/>
          <w:sz w:val="32"/>
          <w:szCs w:val="32"/>
          <w:highlight w:val="none"/>
          <w:lang w:val="en-US" w:eastAsia="zh-CN"/>
        </w:rPr>
        <w:t>；</w:t>
      </w:r>
    </w:p>
    <w:p>
      <w:pPr>
        <w:snapToGrid w:val="0"/>
        <w:spacing w:line="360" w:lineRule="auto"/>
        <w:ind w:firstLine="640" w:firstLineChars="200"/>
        <w:rPr>
          <w:rFonts w:hint="default" w:ascii="仿宋" w:hAnsi="仿宋" w:eastAsia="仿宋" w:cs="仿宋"/>
          <w:color w:val="000000"/>
          <w:kern w:val="0"/>
          <w:sz w:val="32"/>
          <w:szCs w:val="32"/>
          <w:highlight w:val="none"/>
          <w:lang w:val="en-US" w:eastAsia="zh-CN"/>
        </w:rPr>
      </w:pP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若受试物为固体或颗粒状，在染毒前应将其粉碎、研磨成细粉状。</w:t>
      </w:r>
      <w:r>
        <w:rPr>
          <w:rFonts w:hint="eastAsia" w:eastAsia="仿宋" w:cs="Times New Roman"/>
          <w:color w:val="000000" w:themeColor="text1"/>
          <w:kern w:val="2"/>
          <w:sz w:val="32"/>
          <w:szCs w:val="32"/>
          <w:highlight w:val="none"/>
          <w:lang w:val="en-US" w:eastAsia="zh-CN"/>
          <w14:textFill>
            <w14:solidFill>
              <w14:schemeClr w14:val="tx1"/>
            </w14:solidFill>
          </w14:textFill>
        </w:rPr>
        <w:t>若</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受试物为液体</w:t>
      </w:r>
      <w:r>
        <w:rPr>
          <w:rFonts w:hint="eastAsia" w:eastAsia="仿宋" w:cs="Times New Roman"/>
          <w:color w:val="000000" w:themeColor="text1"/>
          <w:kern w:val="2"/>
          <w:sz w:val="32"/>
          <w:szCs w:val="32"/>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对于化妆品新原料</w:t>
      </w:r>
      <w:r>
        <w:rPr>
          <w:rFonts w:hint="eastAsia" w:eastAsia="仿宋" w:cs="Times New Roman"/>
          <w:color w:val="000000" w:themeColor="text1"/>
          <w:kern w:val="2"/>
          <w:sz w:val="32"/>
          <w:szCs w:val="32"/>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kern w:val="2"/>
          <w:sz w:val="32"/>
          <w:szCs w:val="32"/>
          <w:highlight w:val="none"/>
          <w:lang w:val="en-US" w:eastAsia="zh-CN"/>
          <w14:textFill>
            <w14:solidFill>
              <w14:schemeClr w14:val="tx1"/>
            </w14:solidFill>
          </w14:textFill>
        </w:rPr>
        <w:t>一般可采用预试验选择受试物的浓度；</w:t>
      </w:r>
      <w:r>
        <w:rPr>
          <w:rFonts w:hint="eastAsia"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对于化妆品产品</w:t>
      </w:r>
      <w:r>
        <w:rPr>
          <w:rFonts w:hint="eastAsia" w:eastAsia="仿宋" w:cs="Times New Roman"/>
          <w:color w:val="000000" w:themeColor="text1"/>
          <w:kern w:val="2"/>
          <w:sz w:val="32"/>
          <w:szCs w:val="32"/>
          <w:highlight w:val="none"/>
          <w:lang w:val="en-US" w:eastAsia="zh-CN" w:bidi="ar-SA"/>
          <w14:textFill>
            <w14:solidFill>
              <w14:schemeClr w14:val="tx1"/>
            </w14:solidFill>
          </w14:textFill>
        </w:rPr>
        <w:t>，一般不需稀释，可直接使用原液染毒。</w:t>
      </w:r>
    </w:p>
    <w:p>
      <w:pPr>
        <w:snapToGrid w:val="0"/>
        <w:spacing w:line="360" w:lineRule="auto"/>
        <w:ind w:firstLine="640" w:firstLineChars="200"/>
        <w:rPr>
          <w:rFonts w:hint="eastAsia"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eastAsia="仿宋" w:cs="Times New Roman"/>
          <w:color w:val="000000" w:themeColor="text1"/>
          <w:kern w:val="2"/>
          <w:sz w:val="32"/>
          <w:szCs w:val="32"/>
          <w:highlight w:val="none"/>
          <w:lang w:val="en-US" w:eastAsia="zh-CN" w:bidi="ar-SA"/>
          <w14:textFill>
            <w14:solidFill>
              <w14:schemeClr w14:val="tx1"/>
            </w14:solidFill>
          </w14:textFill>
        </w:rPr>
        <w:t>对于喷雾或气雾产品，需将受试物喷至容器中，收集液体再进行试验。</w:t>
      </w:r>
    </w:p>
    <w:p>
      <w:pPr>
        <w:snapToGrid w:val="0"/>
        <w:spacing w:line="360" w:lineRule="auto"/>
        <w:ind w:firstLine="643" w:firstLineChars="200"/>
        <w:outlineLvl w:val="1"/>
        <w:rPr>
          <w:rFonts w:hint="eastAsia" w:ascii="仿宋" w:hAnsi="仿宋" w:eastAsia="仿宋" w:cs="仿宋"/>
          <w:b/>
          <w:bCs/>
          <w:sz w:val="32"/>
          <w:szCs w:val="32"/>
          <w:highlight w:val="none"/>
          <w:lang w:val="en-US" w:eastAsia="zh-CN"/>
        </w:rPr>
      </w:pPr>
      <w:bookmarkStart w:id="16" w:name="_Toc26411"/>
      <w:r>
        <w:rPr>
          <w:rFonts w:hint="eastAsia" w:ascii="仿宋" w:hAnsi="仿宋" w:eastAsia="仿宋" w:cs="仿宋"/>
          <w:b/>
          <w:bCs/>
          <w:sz w:val="32"/>
          <w:szCs w:val="32"/>
          <w:highlight w:val="none"/>
          <w:lang w:val="en-US" w:eastAsia="zh-CN"/>
        </w:rPr>
        <w:t>（二）试验动物</w:t>
      </w:r>
      <w:bookmarkEnd w:id="16"/>
    </w:p>
    <w:p>
      <w:pPr>
        <w:snapToGrid w:val="0"/>
        <w:spacing w:line="360" w:lineRule="auto"/>
        <w:ind w:firstLine="640" w:firstLineChars="200"/>
        <w:rPr>
          <w:rFonts w:hint="default"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eastAsia="仿宋" w:cs="Times New Roman"/>
          <w:color w:val="000000" w:themeColor="text1"/>
          <w:kern w:val="2"/>
          <w:sz w:val="32"/>
          <w:szCs w:val="32"/>
          <w:highlight w:val="none"/>
          <w:lang w:val="en-US" w:eastAsia="zh-CN" w:bidi="ar-SA"/>
          <w14:textFill>
            <w14:solidFill>
              <w14:schemeClr w14:val="tx1"/>
            </w14:solidFill>
          </w14:textFill>
        </w:rPr>
        <w:t>试验动物一般首选健康成年、眼睛无损伤的白色家兔，至少使用3只，试验动物和试验动物房应符合国家相关规定。</w:t>
      </w:r>
    </w:p>
    <w:p>
      <w:pPr>
        <w:snapToGrid w:val="0"/>
        <w:spacing w:line="360" w:lineRule="auto"/>
        <w:ind w:firstLine="640" w:firstLineChars="200"/>
        <w:rPr>
          <w:rFonts w:hint="eastAsia"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eastAsia="仿宋" w:cs="Times New Roman"/>
          <w:color w:val="000000" w:themeColor="text1"/>
          <w:kern w:val="2"/>
          <w:sz w:val="32"/>
          <w:szCs w:val="32"/>
          <w:highlight w:val="none"/>
          <w:lang w:val="en-US" w:eastAsia="zh-CN" w:bidi="ar-SA"/>
          <w14:textFill>
            <w14:solidFill>
              <w14:schemeClr w14:val="tx1"/>
            </w14:solidFill>
          </w14:textFill>
        </w:rPr>
        <w:t>试验前，动物要在试验动物房环境中至少适应3天时间。试验开始前24h内，要借助于辅助光源对每只试验动物的两只眼睛进行检查，还包括使用荧光素钠检查。如果试验动物有眼睛刺激症状、角膜缺陷和结膜损伤，则不能用于试验。</w:t>
      </w:r>
    </w:p>
    <w:p>
      <w:pPr>
        <w:snapToGrid w:val="0"/>
        <w:spacing w:line="360" w:lineRule="auto"/>
        <w:ind w:firstLine="643" w:firstLineChars="200"/>
        <w:outlineLvl w:val="1"/>
        <w:rPr>
          <w:rFonts w:hint="eastAsia" w:ascii="仿宋" w:hAnsi="仿宋" w:eastAsia="仿宋" w:cs="仿宋"/>
          <w:b/>
          <w:bCs/>
          <w:sz w:val="32"/>
          <w:szCs w:val="32"/>
          <w:highlight w:val="none"/>
          <w:lang w:val="en-US" w:eastAsia="zh-CN"/>
        </w:rPr>
      </w:pPr>
      <w:bookmarkStart w:id="17" w:name="_Toc23913"/>
      <w:r>
        <w:rPr>
          <w:rFonts w:hint="eastAsia" w:ascii="仿宋" w:hAnsi="仿宋" w:eastAsia="仿宋" w:cs="仿宋"/>
          <w:b/>
          <w:bCs/>
          <w:sz w:val="32"/>
          <w:szCs w:val="32"/>
          <w:highlight w:val="none"/>
          <w:lang w:val="en-US" w:eastAsia="zh-CN"/>
        </w:rPr>
        <w:t>（三）试验方法</w:t>
      </w:r>
      <w:bookmarkEnd w:id="17"/>
    </w:p>
    <w:p>
      <w:pPr>
        <w:snapToGrid w:val="0"/>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一般受试物样品染毒量为0.1ml或100mg，需滴入（或涂入）结膜囊中，使上、下眼睑被动闭合1s，防止受试物丢失，染毒量应作详细记录。不做处理的另一侧眼睛作为自身对照。</w:t>
      </w:r>
      <w:r>
        <w:rPr>
          <w:rFonts w:hint="eastAsia" w:ascii="仿宋" w:hAnsi="仿宋" w:eastAsia="仿宋" w:cs="仿宋"/>
          <w:sz w:val="32"/>
          <w:szCs w:val="32"/>
          <w:highlight w:val="none"/>
        </w:rPr>
        <w:t>滴入受试物后24h内不冲洗眼睛。若认为必要，在24</w:t>
      </w:r>
      <w:r>
        <w:rPr>
          <w:rFonts w:hint="eastAsia" w:ascii="仿宋" w:hAnsi="仿宋" w:eastAsia="仿宋" w:cs="仿宋"/>
          <w:sz w:val="32"/>
          <w:szCs w:val="32"/>
          <w:highlight w:val="none"/>
          <w:lang w:val="en-US" w:eastAsia="zh-CN"/>
        </w:rPr>
        <w:t>h</w:t>
      </w:r>
      <w:r>
        <w:rPr>
          <w:rFonts w:hint="eastAsia" w:ascii="仿宋" w:hAnsi="仿宋" w:eastAsia="仿宋" w:cs="仿宋"/>
          <w:sz w:val="32"/>
          <w:szCs w:val="32"/>
          <w:highlight w:val="none"/>
        </w:rPr>
        <w:t>时可进行冲洗。</w:t>
      </w:r>
      <w:r>
        <w:rPr>
          <w:rFonts w:hint="eastAsia" w:ascii="仿宋" w:hAnsi="仿宋" w:eastAsia="仿宋" w:cs="仿宋"/>
          <w:sz w:val="32"/>
          <w:szCs w:val="32"/>
          <w:highlight w:val="none"/>
          <w:lang w:val="en-US" w:eastAsia="zh-CN"/>
        </w:rPr>
        <w:t>当试验出现非预期结果或可疑结果时，则需追加动物进行重复试验。</w:t>
      </w:r>
    </w:p>
    <w:p>
      <w:pPr>
        <w:snapToGrid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如果实验结果显示受试物有刺激性，则需考虑另选3只动物进行冲洗眼睛的效果试验，即给家兔眼滴入受试物后 4s及30s用足量、流速较快但又不会引起动物眼损伤的水流冲洗至少 30s。另一侧作为对照的眼睛也需采用同样的处理方式。</w:t>
      </w:r>
    </w:p>
    <w:p>
      <w:pPr>
        <w:snapToGrid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如果预先知晓受试物对眼睛可能会产生刺激或腐蚀作用，可以考虑先用一只动物进行预试验，如果试验结果显示有明显的刺激或腐蚀作用，则无需再选用更多的动物进行试验。</w:t>
      </w:r>
    </w:p>
    <w:p>
      <w:pPr>
        <w:snapToGrid w:val="0"/>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试</w:t>
      </w:r>
      <w:r>
        <w:rPr>
          <w:rFonts w:hint="default" w:ascii="仿宋" w:hAnsi="仿宋" w:eastAsia="仿宋" w:cs="仿宋"/>
          <w:sz w:val="32"/>
          <w:szCs w:val="32"/>
          <w:highlight w:val="none"/>
          <w:lang w:val="en-US" w:eastAsia="zh-CN"/>
        </w:rPr>
        <w:t>验动物在试验的任何阶段出现严重抑郁、痛苦的表现，</w:t>
      </w:r>
      <w:r>
        <w:rPr>
          <w:rFonts w:hint="eastAsia" w:ascii="仿宋" w:hAnsi="仿宋" w:eastAsia="仿宋" w:cs="仿宋"/>
          <w:sz w:val="32"/>
          <w:szCs w:val="32"/>
          <w:highlight w:val="none"/>
          <w:lang w:val="en-US" w:eastAsia="zh-CN"/>
        </w:rPr>
        <w:t>需给予人道处死，</w:t>
      </w:r>
      <w:r>
        <w:rPr>
          <w:rFonts w:hint="default" w:ascii="仿宋" w:hAnsi="仿宋" w:eastAsia="仿宋" w:cs="仿宋"/>
          <w:sz w:val="32"/>
          <w:szCs w:val="32"/>
          <w:highlight w:val="none"/>
          <w:lang w:val="en-US" w:eastAsia="zh-CN"/>
        </w:rPr>
        <w:t>依据试验情况对受试物进行适当评价</w:t>
      </w:r>
      <w:r>
        <w:rPr>
          <w:rFonts w:hint="eastAsia" w:ascii="仿宋" w:hAnsi="仿宋" w:eastAsia="仿宋" w:cs="仿宋"/>
          <w:sz w:val="32"/>
          <w:szCs w:val="32"/>
          <w:highlight w:val="none"/>
          <w:lang w:val="en-US" w:eastAsia="zh-CN"/>
        </w:rPr>
        <w:t>；如果</w:t>
      </w:r>
      <w:r>
        <w:rPr>
          <w:rFonts w:hint="default" w:ascii="仿宋" w:hAnsi="仿宋" w:eastAsia="仿宋" w:cs="仿宋"/>
          <w:sz w:val="32"/>
          <w:szCs w:val="32"/>
          <w:highlight w:val="none"/>
          <w:lang w:val="en-US" w:eastAsia="zh-CN"/>
        </w:rPr>
        <w:t>出现角膜穿孔、角膜溃疡、角膜4分超过48h、缺乏光反射超过72h、结膜溃疡、坏疽、腐烂等情况，通常为不可逆损伤的症状，也应该给予人道地处死。</w:t>
      </w:r>
    </w:p>
    <w:p>
      <w:pPr>
        <w:snapToGrid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于一般产品，应根据产品具体使用方法选择冲洗或不冲洗试验；对于使用后需要冲洗的产品（如洗面奶、发用品、防脱发冲洗类），一般仅做30s冲洗试验；对于染发类产品，一般只做4s冲洗试验；对于使用后不冲洗的产品（如眼部彩妆品、眼霜），一般做不冲洗试验。</w:t>
      </w:r>
    </w:p>
    <w:p>
      <w:pPr>
        <w:snapToGrid w:val="0"/>
        <w:spacing w:line="360" w:lineRule="auto"/>
        <w:ind w:firstLine="643" w:firstLineChars="200"/>
        <w:outlineLvl w:val="0"/>
        <w:rPr>
          <w:rFonts w:hint="eastAsia" w:ascii="黑体" w:hAnsi="黑体" w:eastAsia="黑体" w:cs="黑体"/>
          <w:b/>
          <w:bCs/>
          <w:sz w:val="32"/>
          <w:szCs w:val="32"/>
          <w:highlight w:val="none"/>
          <w:lang w:val="en-US" w:eastAsia="zh-CN"/>
        </w:rPr>
      </w:pPr>
      <w:bookmarkStart w:id="18" w:name="_Toc24796"/>
      <w:bookmarkStart w:id="19" w:name="_Toc15840"/>
      <w:r>
        <w:rPr>
          <w:rFonts w:hint="default" w:ascii="黑体" w:hAnsi="黑体" w:eastAsia="黑体" w:cs="黑体"/>
          <w:b/>
          <w:bCs/>
          <w:sz w:val="32"/>
          <w:szCs w:val="32"/>
          <w:highlight w:val="none"/>
          <w:lang w:val="en-US" w:eastAsia="zh-CN"/>
        </w:rPr>
        <w:t>四、结果</w:t>
      </w:r>
      <w:r>
        <w:rPr>
          <w:rFonts w:hint="eastAsia" w:ascii="黑体" w:hAnsi="黑体" w:eastAsia="黑体" w:cs="黑体"/>
          <w:b/>
          <w:bCs/>
          <w:sz w:val="32"/>
          <w:szCs w:val="32"/>
          <w:highlight w:val="none"/>
          <w:lang w:val="en-US" w:eastAsia="zh-CN"/>
        </w:rPr>
        <w:t>分析与评价</w:t>
      </w:r>
      <w:bookmarkEnd w:id="18"/>
      <w:bookmarkEnd w:id="19"/>
    </w:p>
    <w:p>
      <w:pPr>
        <w:snapToGrid w:val="0"/>
        <w:spacing w:line="360" w:lineRule="auto"/>
        <w:ind w:firstLine="643" w:firstLineChars="200"/>
        <w:outlineLvl w:val="1"/>
        <w:rPr>
          <w:rFonts w:hint="eastAsia" w:ascii="仿宋" w:hAnsi="仿宋" w:eastAsia="仿宋" w:cs="仿宋"/>
          <w:b/>
          <w:bCs/>
          <w:sz w:val="32"/>
          <w:szCs w:val="32"/>
          <w:highlight w:val="none"/>
          <w:lang w:val="en-US" w:eastAsia="zh-CN"/>
        </w:rPr>
      </w:pPr>
      <w:bookmarkStart w:id="20" w:name="_Toc753"/>
      <w:r>
        <w:rPr>
          <w:rFonts w:hint="eastAsia" w:ascii="仿宋" w:hAnsi="仿宋" w:eastAsia="仿宋" w:cs="仿宋"/>
          <w:b/>
          <w:bCs/>
          <w:sz w:val="32"/>
          <w:szCs w:val="32"/>
          <w:highlight w:val="none"/>
          <w:lang w:val="en-US" w:eastAsia="zh-CN"/>
        </w:rPr>
        <w:t>（一）试验观察与记录分析</w:t>
      </w:r>
      <w:bookmarkEnd w:id="20"/>
    </w:p>
    <w:p>
      <w:pPr>
        <w:snapToGrid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滴入受试物后于第1h、24h、48h、72h以及第4d和第7d依据《化妆品安全技术规范》中的眼睛损害的评分标准对动物眼睛进行检查并记录。根据以给受试物后动物角膜、虹膜和结膜各自在24、48或72h观察时点的刺激反应的最高积分均值和恢复时间评价，按《化妆品安全技术规范》中的化妆品或原料眼刺激反应分级判定受试物对眼睛的刺激强度。</w:t>
      </w:r>
    </w:p>
    <w:p>
      <w:pPr>
        <w:snapToGrid w:val="0"/>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如果</w:t>
      </w:r>
      <w:r>
        <w:rPr>
          <w:rFonts w:hint="eastAsia" w:ascii="仿宋" w:hAnsi="仿宋" w:eastAsia="仿宋" w:cs="仿宋"/>
          <w:sz w:val="32"/>
          <w:szCs w:val="32"/>
          <w:highlight w:val="none"/>
          <w:lang w:val="en-US" w:eastAsia="zh-CN"/>
        </w:rPr>
        <w:t>染毒后72h仍未观察到染毒眼</w:t>
      </w:r>
      <w:r>
        <w:rPr>
          <w:rFonts w:hint="default" w:ascii="仿宋" w:hAnsi="仿宋" w:eastAsia="仿宋" w:cs="仿宋"/>
          <w:sz w:val="32"/>
          <w:szCs w:val="32"/>
          <w:highlight w:val="none"/>
          <w:lang w:val="en-US" w:eastAsia="zh-CN"/>
        </w:rPr>
        <w:t>出现刺激反应，</w:t>
      </w:r>
      <w:r>
        <w:rPr>
          <w:rFonts w:hint="eastAsia" w:ascii="仿宋" w:hAnsi="仿宋" w:eastAsia="仿宋" w:cs="仿宋"/>
          <w:sz w:val="32"/>
          <w:szCs w:val="32"/>
          <w:highlight w:val="none"/>
          <w:lang w:val="en-US" w:eastAsia="zh-CN"/>
        </w:rPr>
        <w:t>则</w:t>
      </w:r>
      <w:r>
        <w:rPr>
          <w:rFonts w:hint="default" w:ascii="仿宋" w:hAnsi="仿宋" w:eastAsia="仿宋" w:cs="仿宋"/>
          <w:sz w:val="32"/>
          <w:szCs w:val="32"/>
          <w:highlight w:val="none"/>
          <w:lang w:val="en-US" w:eastAsia="zh-CN"/>
        </w:rPr>
        <w:t>可</w:t>
      </w:r>
      <w:r>
        <w:rPr>
          <w:rFonts w:hint="eastAsia" w:ascii="仿宋" w:hAnsi="仿宋" w:eastAsia="仿宋" w:cs="仿宋"/>
          <w:sz w:val="32"/>
          <w:szCs w:val="32"/>
          <w:highlight w:val="none"/>
          <w:lang w:val="en-US" w:eastAsia="zh-CN"/>
        </w:rPr>
        <w:t>结束</w:t>
      </w:r>
      <w:r>
        <w:rPr>
          <w:rFonts w:hint="default" w:ascii="仿宋" w:hAnsi="仿宋" w:eastAsia="仿宋" w:cs="仿宋"/>
          <w:sz w:val="32"/>
          <w:szCs w:val="32"/>
          <w:highlight w:val="none"/>
          <w:lang w:val="en-US" w:eastAsia="zh-CN"/>
        </w:rPr>
        <w:t>试验。如果发现累及角膜或有其他眼刺激作用，</w:t>
      </w:r>
      <w:r>
        <w:rPr>
          <w:rFonts w:hint="eastAsia" w:ascii="仿宋" w:hAnsi="仿宋" w:eastAsia="仿宋" w:cs="仿宋"/>
          <w:sz w:val="32"/>
          <w:szCs w:val="32"/>
          <w:highlight w:val="none"/>
          <w:lang w:val="en-US" w:eastAsia="zh-CN"/>
        </w:rPr>
        <w:t>7d</w:t>
      </w:r>
      <w:r>
        <w:rPr>
          <w:rFonts w:hint="default" w:ascii="仿宋" w:hAnsi="仿宋" w:eastAsia="仿宋" w:cs="仿宋"/>
          <w:sz w:val="32"/>
          <w:szCs w:val="32"/>
          <w:highlight w:val="none"/>
          <w:lang w:val="en-US" w:eastAsia="zh-CN"/>
        </w:rPr>
        <w:t>内不恢复者，为确定该损害的可逆性或不可逆性需延长观察时间，一般不超过</w:t>
      </w:r>
      <w:r>
        <w:rPr>
          <w:rFonts w:hint="eastAsia" w:ascii="仿宋" w:hAnsi="仿宋" w:eastAsia="仿宋" w:cs="仿宋"/>
          <w:sz w:val="32"/>
          <w:szCs w:val="32"/>
          <w:highlight w:val="none"/>
          <w:lang w:val="en-US" w:eastAsia="zh-CN"/>
        </w:rPr>
        <w:t>21d</w:t>
      </w:r>
      <w:r>
        <w:rPr>
          <w:rFonts w:hint="default" w:ascii="仿宋" w:hAnsi="仿宋" w:eastAsia="仿宋" w:cs="仿宋"/>
          <w:sz w:val="32"/>
          <w:szCs w:val="32"/>
          <w:highlight w:val="none"/>
          <w:lang w:val="en-US" w:eastAsia="zh-CN"/>
        </w:rPr>
        <w:t>，并提供</w:t>
      </w:r>
      <w:r>
        <w:rPr>
          <w:rFonts w:hint="eastAsia" w:ascii="仿宋" w:hAnsi="仿宋" w:eastAsia="仿宋" w:cs="仿宋"/>
          <w:sz w:val="32"/>
          <w:szCs w:val="32"/>
          <w:highlight w:val="none"/>
          <w:lang w:val="en-US" w:eastAsia="zh-CN"/>
        </w:rPr>
        <w:t>7d</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14d</w:t>
      </w:r>
      <w:r>
        <w:rPr>
          <w:rFonts w:hint="default" w:ascii="仿宋" w:hAnsi="仿宋" w:eastAsia="仿宋" w:cs="仿宋"/>
          <w:sz w:val="32"/>
          <w:szCs w:val="32"/>
          <w:highlight w:val="none"/>
          <w:lang w:val="en-US" w:eastAsia="zh-CN"/>
        </w:rPr>
        <w:t xml:space="preserve"> 和</w:t>
      </w:r>
      <w:r>
        <w:rPr>
          <w:rFonts w:hint="eastAsia" w:ascii="仿宋" w:hAnsi="仿宋" w:eastAsia="仿宋" w:cs="仿宋"/>
          <w:sz w:val="32"/>
          <w:szCs w:val="32"/>
          <w:highlight w:val="none"/>
          <w:lang w:val="en-US" w:eastAsia="zh-CN"/>
        </w:rPr>
        <w:t>21d</w:t>
      </w:r>
      <w:r>
        <w:rPr>
          <w:rFonts w:hint="default" w:ascii="仿宋" w:hAnsi="仿宋" w:eastAsia="仿宋" w:cs="仿宋"/>
          <w:sz w:val="32"/>
          <w:szCs w:val="32"/>
          <w:highlight w:val="none"/>
          <w:lang w:val="en-US" w:eastAsia="zh-CN"/>
        </w:rPr>
        <w:t>的观察报告。除</w:t>
      </w:r>
      <w:r>
        <w:rPr>
          <w:rFonts w:hint="eastAsia" w:ascii="仿宋" w:hAnsi="仿宋" w:eastAsia="仿宋" w:cs="仿宋"/>
          <w:sz w:val="32"/>
          <w:szCs w:val="32"/>
          <w:highlight w:val="none"/>
          <w:lang w:val="en-US" w:eastAsia="zh-CN"/>
        </w:rPr>
        <w:t>此以</w:t>
      </w:r>
      <w:r>
        <w:rPr>
          <w:rFonts w:hint="default" w:ascii="仿宋" w:hAnsi="仿宋" w:eastAsia="仿宋" w:cs="仿宋"/>
          <w:sz w:val="32"/>
          <w:szCs w:val="32"/>
          <w:highlight w:val="none"/>
          <w:lang w:val="en-US" w:eastAsia="zh-CN"/>
        </w:rPr>
        <w:t>外，在试验</w:t>
      </w:r>
      <w:r>
        <w:rPr>
          <w:rFonts w:hint="eastAsia" w:ascii="仿宋" w:hAnsi="仿宋" w:eastAsia="仿宋" w:cs="仿宋"/>
          <w:sz w:val="32"/>
          <w:szCs w:val="32"/>
          <w:highlight w:val="none"/>
          <w:lang w:val="en-US" w:eastAsia="zh-CN"/>
        </w:rPr>
        <w:t>进行的各</w:t>
      </w:r>
      <w:r>
        <w:rPr>
          <w:rFonts w:hint="default" w:ascii="仿宋" w:hAnsi="仿宋" w:eastAsia="仿宋" w:cs="仿宋"/>
          <w:sz w:val="32"/>
          <w:szCs w:val="32"/>
          <w:highlight w:val="none"/>
          <w:lang w:val="en-US" w:eastAsia="zh-CN"/>
        </w:rPr>
        <w:t>阶段应对</w:t>
      </w:r>
      <w:r>
        <w:rPr>
          <w:rFonts w:hint="eastAsia" w:ascii="仿宋" w:hAnsi="仿宋" w:eastAsia="仿宋" w:cs="仿宋"/>
          <w:sz w:val="32"/>
          <w:szCs w:val="32"/>
          <w:highlight w:val="none"/>
          <w:lang w:val="en-US" w:eastAsia="zh-CN"/>
        </w:rPr>
        <w:t>试验</w:t>
      </w:r>
      <w:r>
        <w:rPr>
          <w:rFonts w:hint="default" w:ascii="仿宋" w:hAnsi="仿宋" w:eastAsia="仿宋" w:cs="仿宋"/>
          <w:sz w:val="32"/>
          <w:szCs w:val="32"/>
          <w:highlight w:val="none"/>
          <w:lang w:val="en-US" w:eastAsia="zh-CN"/>
        </w:rPr>
        <w:t>动物进行全面观察</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包括全身反应和局部反应，并作完整记录。</w:t>
      </w:r>
      <w:r>
        <w:rPr>
          <w:rFonts w:hint="eastAsia" w:ascii="仿宋" w:hAnsi="仿宋" w:eastAsia="仿宋" w:cs="仿宋"/>
          <w:sz w:val="32"/>
          <w:szCs w:val="32"/>
          <w:highlight w:val="none"/>
          <w:lang w:val="en-US" w:eastAsia="zh-CN"/>
        </w:rPr>
        <w:t>在进行眼睛检查时，</w:t>
      </w:r>
      <w:r>
        <w:rPr>
          <w:rFonts w:hint="default" w:ascii="仿宋" w:hAnsi="仿宋" w:eastAsia="仿宋" w:cs="仿宋"/>
          <w:sz w:val="32"/>
          <w:szCs w:val="32"/>
          <w:highlight w:val="none"/>
          <w:lang w:val="en-US" w:eastAsia="zh-CN"/>
        </w:rPr>
        <w:t>可</w:t>
      </w:r>
      <w:r>
        <w:rPr>
          <w:rFonts w:hint="eastAsia" w:ascii="仿宋" w:hAnsi="仿宋" w:eastAsia="仿宋" w:cs="仿宋"/>
          <w:sz w:val="32"/>
          <w:szCs w:val="32"/>
          <w:highlight w:val="none"/>
          <w:lang w:val="en-US" w:eastAsia="zh-CN"/>
        </w:rPr>
        <w:t>借助于</w:t>
      </w:r>
      <w:r>
        <w:rPr>
          <w:rFonts w:hint="default" w:ascii="仿宋" w:hAnsi="仿宋" w:eastAsia="仿宋" w:cs="仿宋"/>
          <w:sz w:val="32"/>
          <w:szCs w:val="32"/>
          <w:highlight w:val="none"/>
          <w:lang w:val="en-US" w:eastAsia="zh-CN"/>
        </w:rPr>
        <w:t>适用的仪器设备进行眼刺激反应检查</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在每次检查中均应按</w:t>
      </w:r>
      <w:r>
        <w:rPr>
          <w:rFonts w:hint="eastAsia" w:ascii="仿宋" w:hAnsi="仿宋" w:eastAsia="仿宋" w:cs="仿宋"/>
          <w:sz w:val="32"/>
          <w:szCs w:val="32"/>
          <w:highlight w:val="none"/>
          <w:lang w:val="en-US" w:eastAsia="zh-CN"/>
        </w:rPr>
        <w:t>眼睛</w:t>
      </w:r>
      <w:r>
        <w:rPr>
          <w:rFonts w:hint="default" w:ascii="仿宋" w:hAnsi="仿宋" w:eastAsia="仿宋" w:cs="仿宋"/>
          <w:sz w:val="32"/>
          <w:szCs w:val="32"/>
          <w:highlight w:val="none"/>
          <w:lang w:val="en-US" w:eastAsia="zh-CN"/>
        </w:rPr>
        <w:t>损害的评分标准记录眼刺激反应的积分。</w:t>
      </w:r>
    </w:p>
    <w:p>
      <w:pPr>
        <w:snapToGrid w:val="0"/>
        <w:spacing w:line="360" w:lineRule="auto"/>
        <w:ind w:firstLine="643" w:firstLineChars="200"/>
        <w:outlineLvl w:val="1"/>
        <w:rPr>
          <w:rFonts w:hint="default" w:ascii="仿宋" w:hAnsi="仿宋" w:eastAsia="仿宋" w:cs="仿宋"/>
          <w:b/>
          <w:bCs/>
          <w:sz w:val="32"/>
          <w:szCs w:val="32"/>
          <w:highlight w:val="none"/>
          <w:lang w:val="en-US" w:eastAsia="zh-CN"/>
        </w:rPr>
      </w:pPr>
      <w:bookmarkStart w:id="21" w:name="_Toc14997"/>
      <w:r>
        <w:rPr>
          <w:rFonts w:hint="eastAsia" w:ascii="仿宋" w:hAnsi="仿宋" w:eastAsia="仿宋" w:cs="仿宋"/>
          <w:b/>
          <w:bCs/>
          <w:sz w:val="32"/>
          <w:szCs w:val="32"/>
          <w:highlight w:val="none"/>
          <w:lang w:val="en-US" w:eastAsia="zh-CN"/>
        </w:rPr>
        <w:t>（二）结果分析评价</w:t>
      </w:r>
      <w:bookmarkEnd w:id="21"/>
    </w:p>
    <w:p>
      <w:pPr>
        <w:snapToGrid w:val="0"/>
        <w:spacing w:line="360" w:lineRule="auto"/>
        <w:ind w:firstLine="640" w:firstLineChars="200"/>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根据</w:t>
      </w:r>
      <w:r>
        <w:rPr>
          <w:rFonts w:hint="eastAsia" w:ascii="仿宋" w:hAnsi="仿宋" w:eastAsia="仿宋" w:cs="仿宋"/>
          <w:sz w:val="32"/>
          <w:szCs w:val="32"/>
          <w:highlight w:val="none"/>
          <w:lang w:val="en-US" w:eastAsia="zh-CN"/>
        </w:rPr>
        <w:t>染毒</w:t>
      </w:r>
      <w:r>
        <w:rPr>
          <w:rFonts w:hint="default" w:ascii="仿宋" w:hAnsi="仿宋" w:eastAsia="仿宋" w:cs="仿宋"/>
          <w:sz w:val="32"/>
          <w:szCs w:val="32"/>
          <w:highlight w:val="none"/>
          <w:lang w:val="en-US" w:eastAsia="zh-CN"/>
        </w:rPr>
        <w:t>后</w:t>
      </w:r>
      <w:r>
        <w:rPr>
          <w:rFonts w:hint="eastAsia" w:ascii="仿宋" w:hAnsi="仿宋" w:eastAsia="仿宋" w:cs="仿宋"/>
          <w:sz w:val="32"/>
          <w:szCs w:val="32"/>
          <w:highlight w:val="none"/>
          <w:lang w:val="en-US" w:eastAsia="zh-CN"/>
        </w:rPr>
        <w:t>受试</w:t>
      </w:r>
      <w:r>
        <w:rPr>
          <w:rFonts w:hint="default" w:ascii="仿宋" w:hAnsi="仿宋" w:eastAsia="仿宋" w:cs="仿宋"/>
          <w:sz w:val="32"/>
          <w:szCs w:val="32"/>
          <w:highlight w:val="none"/>
          <w:lang w:val="en-US" w:eastAsia="zh-CN"/>
        </w:rPr>
        <w:t>动物</w:t>
      </w:r>
      <w:r>
        <w:rPr>
          <w:rFonts w:hint="eastAsia" w:ascii="仿宋" w:hAnsi="仿宋" w:eastAsia="仿宋" w:cs="仿宋"/>
          <w:sz w:val="32"/>
          <w:szCs w:val="32"/>
          <w:highlight w:val="none"/>
          <w:lang w:val="en-US" w:eastAsia="zh-CN"/>
        </w:rPr>
        <w:t>眼睛在不同时间点</w:t>
      </w:r>
      <w:r>
        <w:rPr>
          <w:rFonts w:hint="default" w:ascii="仿宋" w:hAnsi="仿宋" w:eastAsia="仿宋" w:cs="仿宋"/>
          <w:sz w:val="32"/>
          <w:szCs w:val="32"/>
          <w:highlight w:val="none"/>
          <w:lang w:val="en-US" w:eastAsia="zh-CN"/>
        </w:rPr>
        <w:t>观察</w:t>
      </w:r>
      <w:r>
        <w:rPr>
          <w:rFonts w:hint="eastAsia" w:ascii="仿宋" w:hAnsi="仿宋" w:eastAsia="仿宋" w:cs="仿宋"/>
          <w:sz w:val="32"/>
          <w:szCs w:val="32"/>
          <w:highlight w:val="none"/>
          <w:lang w:val="en-US" w:eastAsia="zh-CN"/>
        </w:rPr>
        <w:t>到</w:t>
      </w:r>
      <w:r>
        <w:rPr>
          <w:rFonts w:hint="default" w:ascii="仿宋" w:hAnsi="仿宋" w:eastAsia="仿宋" w:cs="仿宋"/>
          <w:sz w:val="32"/>
          <w:szCs w:val="32"/>
          <w:highlight w:val="none"/>
          <w:lang w:val="en-US" w:eastAsia="zh-CN"/>
        </w:rPr>
        <w:t>的刺激反应的最高积分均值和恢复时间评价，按《化妆品安全技术规范》中的化妆品或原料眼刺激反应分级判定受试物对眼的刺激或腐蚀作用的有无及强度。除此</w:t>
      </w:r>
      <w:r>
        <w:rPr>
          <w:rFonts w:hint="eastAsia" w:ascii="仿宋" w:hAnsi="仿宋" w:eastAsia="仿宋" w:cs="仿宋"/>
          <w:sz w:val="32"/>
          <w:szCs w:val="32"/>
          <w:highlight w:val="none"/>
          <w:lang w:val="en-US" w:eastAsia="zh-CN"/>
        </w:rPr>
        <w:t>以</w:t>
      </w:r>
      <w:r>
        <w:rPr>
          <w:rFonts w:hint="default" w:ascii="仿宋" w:hAnsi="仿宋" w:eastAsia="仿宋" w:cs="仿宋"/>
          <w:sz w:val="32"/>
          <w:szCs w:val="32"/>
          <w:highlight w:val="none"/>
          <w:lang w:val="en-US" w:eastAsia="zh-CN"/>
        </w:rPr>
        <w:t>外，有时还应结合观察到的眼睛其他损伤</w:t>
      </w:r>
      <w:r>
        <w:rPr>
          <w:rFonts w:hint="eastAsia" w:ascii="仿宋" w:hAnsi="仿宋" w:eastAsia="仿宋" w:cs="仿宋"/>
          <w:sz w:val="32"/>
          <w:szCs w:val="32"/>
          <w:highlight w:val="none"/>
          <w:lang w:val="en-US" w:eastAsia="zh-CN"/>
        </w:rPr>
        <w:t>、病理</w:t>
      </w:r>
      <w:r>
        <w:rPr>
          <w:rFonts w:hint="default" w:ascii="仿宋" w:hAnsi="仿宋" w:eastAsia="仿宋" w:cs="仿宋"/>
          <w:sz w:val="32"/>
          <w:szCs w:val="32"/>
          <w:highlight w:val="none"/>
          <w:lang w:val="en-US" w:eastAsia="zh-CN"/>
        </w:rPr>
        <w:t>组织学改变</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可恢复性等对受试物的眼睛刺激性或腐蚀性进行综合评价</w:t>
      </w:r>
      <w:r>
        <w:rPr>
          <w:rFonts w:hint="eastAsia" w:ascii="仿宋" w:hAnsi="仿宋" w:eastAsia="仿宋" w:cs="仿宋"/>
          <w:sz w:val="32"/>
          <w:szCs w:val="32"/>
          <w:highlight w:val="none"/>
          <w:lang w:val="en-US" w:eastAsia="zh-CN"/>
        </w:rPr>
        <w:t>。</w:t>
      </w:r>
    </w:p>
    <w:p>
      <w:pPr>
        <w:snapToGrid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需要注意的是，一般观察时间点为1h的积分不计入评分结果；当角膜、虹膜、结膜积分为0时，可判定为无刺激性。</w:t>
      </w:r>
    </w:p>
    <w:p>
      <w:pPr>
        <w:snapToGrid w:val="0"/>
        <w:spacing w:line="360" w:lineRule="auto"/>
        <w:ind w:firstLine="643" w:firstLineChars="200"/>
        <w:outlineLvl w:val="1"/>
        <w:rPr>
          <w:rFonts w:hint="default" w:ascii="仿宋" w:hAnsi="仿宋" w:eastAsia="仿宋" w:cs="仿宋"/>
          <w:b/>
          <w:bCs/>
          <w:sz w:val="32"/>
          <w:szCs w:val="32"/>
          <w:highlight w:val="none"/>
          <w:lang w:val="en-US" w:eastAsia="zh-CN"/>
        </w:rPr>
      </w:pPr>
      <w:bookmarkStart w:id="22" w:name="_Toc4209"/>
      <w:r>
        <w:rPr>
          <w:rFonts w:hint="eastAsia" w:ascii="仿宋" w:hAnsi="仿宋" w:eastAsia="仿宋" w:cs="仿宋"/>
          <w:b/>
          <w:bCs/>
          <w:sz w:val="32"/>
          <w:szCs w:val="32"/>
          <w:highlight w:val="none"/>
          <w:lang w:val="en-US" w:eastAsia="zh-CN"/>
        </w:rPr>
        <w:t>（三）结果解释</w:t>
      </w:r>
      <w:bookmarkEnd w:id="22"/>
    </w:p>
    <w:p>
      <w:pPr>
        <w:snapToGrid w:val="0"/>
        <w:spacing w:line="360" w:lineRule="auto"/>
        <w:ind w:firstLine="640" w:firstLineChars="200"/>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急性眼刺激性试验结果从动物外推到人的可靠性很有限。受试动物的种属、品系、级别、数量、体重、来源</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受试前眼睛的状态,实验条件、实验动物的饲养环境等因素，都可影响结果的</w:t>
      </w:r>
      <w:r>
        <w:rPr>
          <w:rFonts w:hint="eastAsia" w:ascii="仿宋" w:hAnsi="仿宋" w:eastAsia="仿宋" w:cs="仿宋"/>
          <w:sz w:val="32"/>
          <w:szCs w:val="32"/>
          <w:highlight w:val="none"/>
          <w:lang w:val="en-US" w:eastAsia="zh-CN"/>
        </w:rPr>
        <w:t>准</w:t>
      </w:r>
      <w:r>
        <w:rPr>
          <w:rFonts w:hint="default" w:ascii="仿宋" w:hAnsi="仿宋" w:eastAsia="仿宋" w:cs="仿宋"/>
          <w:sz w:val="32"/>
          <w:szCs w:val="32"/>
          <w:highlight w:val="none"/>
          <w:lang w:val="en-US" w:eastAsia="zh-CN"/>
        </w:rPr>
        <w:t>确性和可信度。白色家兔在大多数情况下对有刺激性或腐蚀性的物质较人类敏感。若用其他品系动物进行试验时也得到类似结果，则会增加从动物外推到人的可靠性</w:t>
      </w:r>
      <w:r>
        <w:rPr>
          <w:rFonts w:hint="eastAsia" w:ascii="仿宋" w:hAnsi="仿宋" w:eastAsia="仿宋" w:cs="仿宋"/>
          <w:sz w:val="32"/>
          <w:szCs w:val="32"/>
          <w:highlight w:val="none"/>
          <w:lang w:val="en-US" w:eastAsia="zh-CN"/>
        </w:rPr>
        <w:t>。</w:t>
      </w:r>
    </w:p>
    <w:p>
      <w:pPr>
        <w:snapToGrid w:val="0"/>
        <w:spacing w:line="360" w:lineRule="auto"/>
        <w:ind w:firstLine="643" w:firstLineChars="200"/>
        <w:outlineLvl w:val="0"/>
        <w:rPr>
          <w:rFonts w:hint="eastAsia" w:ascii="黑体" w:hAnsi="黑体" w:eastAsia="黑体" w:cs="黑体"/>
          <w:b/>
          <w:bCs/>
          <w:sz w:val="32"/>
          <w:szCs w:val="32"/>
          <w:highlight w:val="none"/>
          <w:lang w:val="en-US" w:eastAsia="zh-CN"/>
        </w:rPr>
      </w:pPr>
      <w:bookmarkStart w:id="23" w:name="_Toc641"/>
      <w:bookmarkStart w:id="24" w:name="_Toc15816"/>
      <w:r>
        <w:rPr>
          <w:rFonts w:hint="eastAsia" w:ascii="黑体" w:hAnsi="黑体" w:eastAsia="黑体" w:cs="黑体"/>
          <w:b/>
          <w:bCs/>
          <w:sz w:val="32"/>
          <w:szCs w:val="32"/>
          <w:highlight w:val="none"/>
          <w:lang w:val="en-US" w:eastAsia="zh-CN"/>
        </w:rPr>
        <w:t>五、参考文献</w:t>
      </w:r>
      <w:bookmarkEnd w:id="23"/>
      <w:bookmarkEnd w:id="24"/>
    </w:p>
    <w:p>
      <w:pPr>
        <w:numPr>
          <w:ilvl w:val="0"/>
          <w:numId w:val="1"/>
        </w:numPr>
        <w:overflowPunct w:val="0"/>
        <w:spacing w:line="360" w:lineRule="auto"/>
        <w:ind w:left="0" w:leftChars="0" w:firstLine="0" w:firstLineChars="0"/>
        <w:rPr>
          <w:rFonts w:hint="default" w:eastAsia="仿宋_GB2312"/>
          <w:color w:val="auto"/>
          <w:sz w:val="28"/>
          <w:szCs w:val="28"/>
          <w:u w:val="none"/>
          <w:lang w:val="en-US" w:eastAsia="zh-CN"/>
        </w:rPr>
      </w:pPr>
      <w:r>
        <w:rPr>
          <w:rFonts w:hint="eastAsia" w:ascii="仿宋" w:hAnsi="仿宋" w:eastAsia="仿宋" w:cs="仿宋"/>
          <w:sz w:val="32"/>
          <w:szCs w:val="32"/>
        </w:rPr>
        <w:t>国家药品监督管理局.化妆品安全技术规范.2015.</w:t>
      </w:r>
    </w:p>
    <w:p>
      <w:pPr>
        <w:numPr>
          <w:ilvl w:val="0"/>
          <w:numId w:val="1"/>
        </w:numPr>
        <w:overflowPunct w:val="0"/>
        <w:spacing w:line="360" w:lineRule="auto"/>
        <w:ind w:left="0" w:leftChars="0" w:firstLine="0" w:firstLineChars="0"/>
        <w:rPr>
          <w:rFonts w:hint="default" w:eastAsia="仿宋_GB2312"/>
          <w:color w:val="auto"/>
          <w:sz w:val="32"/>
          <w:szCs w:val="32"/>
          <w:u w:val="none"/>
          <w:lang w:val="en-US" w:eastAsia="zh-CN"/>
        </w:rPr>
      </w:pPr>
      <w:r>
        <w:rPr>
          <w:rFonts w:hint="default" w:eastAsia="仿宋_GB2312"/>
          <w:color w:val="auto"/>
          <w:sz w:val="28"/>
          <w:szCs w:val="28"/>
          <w:u w:val="none"/>
          <w:lang w:val="en-US" w:eastAsia="zh-CN"/>
        </w:rPr>
        <w:t xml:space="preserve"> </w:t>
      </w:r>
      <w:r>
        <w:rPr>
          <w:rFonts w:hint="default" w:eastAsia="仿宋_GB2312"/>
          <w:color w:val="auto"/>
          <w:sz w:val="32"/>
          <w:szCs w:val="32"/>
          <w:u w:val="none"/>
          <w:lang w:val="en-US" w:eastAsia="zh-CN"/>
        </w:rPr>
        <w:t>OECD. OECD Guideline for the testing of chemicals: Acute Eye Irritation/Corrosion Test  (40</w:t>
      </w:r>
      <w:r>
        <w:rPr>
          <w:rFonts w:hint="eastAsia" w:eastAsia="仿宋_GB2312"/>
          <w:color w:val="auto"/>
          <w:sz w:val="32"/>
          <w:szCs w:val="32"/>
          <w:u w:val="none"/>
          <w:lang w:val="en-US" w:eastAsia="zh-CN"/>
        </w:rPr>
        <w:t>5</w:t>
      </w:r>
      <w:r>
        <w:rPr>
          <w:rFonts w:hint="default" w:eastAsia="仿宋_GB2312"/>
          <w:color w:val="auto"/>
          <w:sz w:val="32"/>
          <w:szCs w:val="32"/>
          <w:u w:val="none"/>
          <w:lang w:val="en-US" w:eastAsia="zh-CN"/>
        </w:rPr>
        <w:t>).</w:t>
      </w:r>
    </w:p>
    <w:p>
      <w:pPr>
        <w:numPr>
          <w:ilvl w:val="0"/>
          <w:numId w:val="1"/>
        </w:numPr>
        <w:overflowPunct w:val="0"/>
        <w:spacing w:line="360" w:lineRule="auto"/>
        <w:ind w:left="0" w:leftChars="0" w:firstLine="0" w:firstLineChars="0"/>
        <w:rPr>
          <w:rFonts w:hint="default" w:eastAsia="仿宋_GB2312"/>
          <w:color w:val="auto"/>
          <w:sz w:val="32"/>
          <w:szCs w:val="32"/>
          <w:u w:val="none"/>
          <w:lang w:val="en-US" w:eastAsia="zh-CN"/>
        </w:rPr>
      </w:pPr>
      <w:r>
        <w:rPr>
          <w:rFonts w:hint="default" w:eastAsia="仿宋_GB2312"/>
          <w:color w:val="auto"/>
          <w:sz w:val="32"/>
          <w:szCs w:val="32"/>
          <w:u w:val="none"/>
          <w:lang w:val="en-US" w:eastAsia="zh-CN"/>
        </w:rPr>
        <w:t>中华人民共和国国家标准：</w:t>
      </w:r>
      <w:r>
        <w:rPr>
          <w:rFonts w:hint="eastAsia" w:eastAsia="仿宋_GB2312"/>
          <w:color w:val="auto"/>
          <w:sz w:val="32"/>
          <w:szCs w:val="32"/>
          <w:u w:val="none"/>
          <w:lang w:val="en-US" w:eastAsia="zh-CN"/>
        </w:rPr>
        <w:t xml:space="preserve">化学品 </w:t>
      </w:r>
      <w:r>
        <w:rPr>
          <w:rFonts w:hint="default" w:eastAsia="仿宋_GB2312"/>
          <w:color w:val="auto"/>
          <w:sz w:val="32"/>
          <w:szCs w:val="32"/>
          <w:u w:val="none"/>
          <w:lang w:val="en-US" w:eastAsia="zh-CN"/>
        </w:rPr>
        <w:t xml:space="preserve">急性眼刺激性/腐蚀性试验: GB/T </w:t>
      </w:r>
      <w:r>
        <w:rPr>
          <w:rFonts w:hint="eastAsia" w:eastAsia="仿宋_GB2312"/>
          <w:color w:val="auto"/>
          <w:sz w:val="32"/>
          <w:szCs w:val="32"/>
          <w:u w:val="none"/>
          <w:lang w:val="en-US" w:eastAsia="zh-CN"/>
        </w:rPr>
        <w:t>21609</w:t>
      </w:r>
      <w:r>
        <w:rPr>
          <w:rFonts w:hint="default" w:eastAsia="仿宋_GB2312"/>
          <w:color w:val="auto"/>
          <w:sz w:val="32"/>
          <w:szCs w:val="32"/>
          <w:u w:val="none"/>
          <w:lang w:val="en-US" w:eastAsia="zh-CN"/>
        </w:rPr>
        <w:t>-20</w:t>
      </w:r>
      <w:r>
        <w:rPr>
          <w:rFonts w:hint="eastAsia" w:eastAsia="仿宋_GB2312"/>
          <w:color w:val="auto"/>
          <w:sz w:val="32"/>
          <w:szCs w:val="32"/>
          <w:u w:val="none"/>
          <w:lang w:val="en-US" w:eastAsia="zh-CN"/>
        </w:rPr>
        <w:t>08</w:t>
      </w:r>
      <w:r>
        <w:rPr>
          <w:rFonts w:hint="default" w:eastAsia="仿宋_GB2312"/>
          <w:color w:val="auto"/>
          <w:sz w:val="32"/>
          <w:szCs w:val="32"/>
          <w:u w:val="none"/>
          <w:lang w:val="en-US" w:eastAsia="zh-CN"/>
        </w:rPr>
        <w:t xml:space="preserve">. </w:t>
      </w:r>
    </w:p>
    <w:p>
      <w:pPr>
        <w:snapToGrid w:val="0"/>
        <w:spacing w:line="360" w:lineRule="auto"/>
        <w:ind w:firstLine="643" w:firstLineChars="200"/>
        <w:outlineLvl w:val="0"/>
        <w:rPr>
          <w:rFonts w:hint="eastAsia" w:ascii="黑体" w:hAnsi="黑体" w:eastAsia="黑体" w:cs="黑体"/>
          <w:b/>
          <w:bCs/>
          <w:sz w:val="32"/>
          <w:szCs w:val="32"/>
          <w:highlight w:val="none"/>
          <w:lang w:val="en-US" w:eastAsia="zh-CN"/>
        </w:rPr>
      </w:pPr>
      <w:bookmarkStart w:id="25" w:name="_Toc127013443"/>
      <w:bookmarkStart w:id="26" w:name="_Toc412"/>
      <w:r>
        <w:rPr>
          <w:rFonts w:hint="eastAsia" w:ascii="黑体" w:hAnsi="黑体" w:eastAsia="黑体" w:cs="黑体"/>
          <w:b/>
          <w:bCs/>
          <w:sz w:val="32"/>
          <w:szCs w:val="32"/>
          <w:highlight w:val="none"/>
          <w:lang w:val="en-US" w:eastAsia="zh-CN"/>
        </w:rPr>
        <w:t>六、附录</w:t>
      </w:r>
      <w:bookmarkEnd w:id="25"/>
      <w:bookmarkEnd w:id="26"/>
    </w:p>
    <w:p>
      <w:pPr>
        <w:ind w:firstLine="640" w:firstLineChars="200"/>
        <w:rPr>
          <w:rFonts w:ascii="仿宋" w:hAnsi="仿宋" w:eastAsia="仿宋" w:cs="仿宋"/>
          <w:sz w:val="32"/>
          <w:szCs w:val="32"/>
        </w:rPr>
      </w:pPr>
      <w:r>
        <w:rPr>
          <w:rFonts w:hint="eastAsia" w:ascii="仿宋" w:hAnsi="仿宋" w:eastAsia="仿宋" w:cs="仿宋"/>
          <w:sz w:val="32"/>
          <w:szCs w:val="32"/>
        </w:rPr>
        <w:t>试验方法可参照《化妆品安全技术规范》中收录的“急性眼刺激性/腐蚀性试验”。</w:t>
      </w:r>
    </w:p>
    <w:p>
      <w:pPr>
        <w:numPr>
          <w:ilvl w:val="0"/>
          <w:numId w:val="0"/>
        </w:numPr>
        <w:overflowPunct w:val="0"/>
        <w:spacing w:line="360" w:lineRule="auto"/>
        <w:ind w:leftChars="0"/>
        <w:rPr>
          <w:rFonts w:hint="default" w:eastAsia="仿宋_GB2312"/>
          <w:color w:val="auto"/>
          <w:sz w:val="28"/>
          <w:szCs w:val="28"/>
          <w:u w:val="none"/>
          <w:lang w:val="en-US" w:eastAsia="zh-CN"/>
        </w:rPr>
      </w:pPr>
    </w:p>
    <w:p/>
    <w:sectPr>
      <w:footerReference r:id="rId3" w:type="default"/>
      <w:pgSz w:w="11906" w:h="16838"/>
      <w:pgMar w:top="1440" w:right="1800" w:bottom="1440" w:left="1800" w:header="567"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88F47"/>
    <w:multiLevelType w:val="singleLevel"/>
    <w:tmpl w:val="A5B88F47"/>
    <w:lvl w:ilvl="0" w:tentative="0">
      <w:start w:val="1"/>
      <w:numFmt w:val="decimal"/>
      <w:lvlText w:val="[%1]"/>
      <w:lvlJc w:val="left"/>
      <w:pPr>
        <w:tabs>
          <w:tab w:val="left" w:pos="312"/>
        </w:tabs>
      </w:pPr>
      <w:rPr>
        <w:rFonts w:hint="default"/>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ZTE1MTQxYTIwMGIyNGFjZTQwOTY5NmQzMjliMzgifQ=="/>
  </w:docVars>
  <w:rsids>
    <w:rsidRoot w:val="00172A27"/>
    <w:rsid w:val="00FE5608"/>
    <w:rsid w:val="01852FBD"/>
    <w:rsid w:val="01D23F27"/>
    <w:rsid w:val="01FA63CF"/>
    <w:rsid w:val="02753E64"/>
    <w:rsid w:val="041F21E0"/>
    <w:rsid w:val="05362EAD"/>
    <w:rsid w:val="054A0841"/>
    <w:rsid w:val="05D97877"/>
    <w:rsid w:val="061862A8"/>
    <w:rsid w:val="06DF0E2F"/>
    <w:rsid w:val="07B25DEE"/>
    <w:rsid w:val="080E5A6A"/>
    <w:rsid w:val="0D0B7970"/>
    <w:rsid w:val="0D1F67C5"/>
    <w:rsid w:val="0D275EC0"/>
    <w:rsid w:val="0DBC3BC3"/>
    <w:rsid w:val="0DBD6C78"/>
    <w:rsid w:val="11CC0C48"/>
    <w:rsid w:val="12993627"/>
    <w:rsid w:val="13FB4074"/>
    <w:rsid w:val="145C0739"/>
    <w:rsid w:val="14AC13DE"/>
    <w:rsid w:val="15AF7257"/>
    <w:rsid w:val="15F95B0A"/>
    <w:rsid w:val="16020D09"/>
    <w:rsid w:val="16AB4E5A"/>
    <w:rsid w:val="176547AD"/>
    <w:rsid w:val="18396461"/>
    <w:rsid w:val="18C179CD"/>
    <w:rsid w:val="18EB4D32"/>
    <w:rsid w:val="190222F5"/>
    <w:rsid w:val="19D324F0"/>
    <w:rsid w:val="1A0A2937"/>
    <w:rsid w:val="1A6733DC"/>
    <w:rsid w:val="1CB270D5"/>
    <w:rsid w:val="1DC272CF"/>
    <w:rsid w:val="1E5B79CD"/>
    <w:rsid w:val="1F207612"/>
    <w:rsid w:val="21ED35E0"/>
    <w:rsid w:val="23802D64"/>
    <w:rsid w:val="23CE266E"/>
    <w:rsid w:val="23DB6402"/>
    <w:rsid w:val="248D33C0"/>
    <w:rsid w:val="24B76771"/>
    <w:rsid w:val="24DF398C"/>
    <w:rsid w:val="25F962D3"/>
    <w:rsid w:val="288C7A0C"/>
    <w:rsid w:val="2A1E22BF"/>
    <w:rsid w:val="2E634AD0"/>
    <w:rsid w:val="2F450ECE"/>
    <w:rsid w:val="2FAF0727"/>
    <w:rsid w:val="30B0618E"/>
    <w:rsid w:val="32445FD8"/>
    <w:rsid w:val="333309B5"/>
    <w:rsid w:val="34527AEA"/>
    <w:rsid w:val="34D6629E"/>
    <w:rsid w:val="35DA2A21"/>
    <w:rsid w:val="367F6A78"/>
    <w:rsid w:val="36824D0C"/>
    <w:rsid w:val="378D2A3A"/>
    <w:rsid w:val="37B95D77"/>
    <w:rsid w:val="38A435DC"/>
    <w:rsid w:val="3A1402B4"/>
    <w:rsid w:val="3E15534F"/>
    <w:rsid w:val="3FF50B72"/>
    <w:rsid w:val="3FF52DAE"/>
    <w:rsid w:val="4029185A"/>
    <w:rsid w:val="405368AD"/>
    <w:rsid w:val="41395AA3"/>
    <w:rsid w:val="41C72777"/>
    <w:rsid w:val="42B23532"/>
    <w:rsid w:val="42C27D1A"/>
    <w:rsid w:val="437068B1"/>
    <w:rsid w:val="43B006A1"/>
    <w:rsid w:val="43CB2FA9"/>
    <w:rsid w:val="44E733FD"/>
    <w:rsid w:val="46C91CB7"/>
    <w:rsid w:val="49B760FE"/>
    <w:rsid w:val="4A315EB1"/>
    <w:rsid w:val="4AB9796E"/>
    <w:rsid w:val="4BD630E6"/>
    <w:rsid w:val="4BEA553B"/>
    <w:rsid w:val="4C257C1B"/>
    <w:rsid w:val="4C8449BE"/>
    <w:rsid w:val="4CB24E96"/>
    <w:rsid w:val="4D9D5B6A"/>
    <w:rsid w:val="4F0A66E3"/>
    <w:rsid w:val="4F317E44"/>
    <w:rsid w:val="4F9115A4"/>
    <w:rsid w:val="5021603C"/>
    <w:rsid w:val="505C4F40"/>
    <w:rsid w:val="526D776F"/>
    <w:rsid w:val="52BD6977"/>
    <w:rsid w:val="5374721F"/>
    <w:rsid w:val="545C34D3"/>
    <w:rsid w:val="54943C61"/>
    <w:rsid w:val="549A2807"/>
    <w:rsid w:val="56F91B04"/>
    <w:rsid w:val="583F6198"/>
    <w:rsid w:val="58A51EF7"/>
    <w:rsid w:val="592C1244"/>
    <w:rsid w:val="59340CA2"/>
    <w:rsid w:val="5A72134D"/>
    <w:rsid w:val="5AA35D5A"/>
    <w:rsid w:val="5B3A17DF"/>
    <w:rsid w:val="5C1D08DC"/>
    <w:rsid w:val="5D140AE8"/>
    <w:rsid w:val="5D2D20AB"/>
    <w:rsid w:val="62281243"/>
    <w:rsid w:val="62504835"/>
    <w:rsid w:val="655370E8"/>
    <w:rsid w:val="65C27672"/>
    <w:rsid w:val="66877600"/>
    <w:rsid w:val="6B9D219C"/>
    <w:rsid w:val="6C00395A"/>
    <w:rsid w:val="6C2D227B"/>
    <w:rsid w:val="6C52487F"/>
    <w:rsid w:val="70C73957"/>
    <w:rsid w:val="71B03944"/>
    <w:rsid w:val="72127D51"/>
    <w:rsid w:val="737B6E35"/>
    <w:rsid w:val="752A05D0"/>
    <w:rsid w:val="76F75096"/>
    <w:rsid w:val="777D547B"/>
    <w:rsid w:val="782D30C7"/>
    <w:rsid w:val="7A57737A"/>
    <w:rsid w:val="7AC422C9"/>
    <w:rsid w:val="7B7F35BA"/>
    <w:rsid w:val="7C1A4932"/>
    <w:rsid w:val="7C694C9D"/>
    <w:rsid w:val="7CE94A18"/>
    <w:rsid w:val="7DC75C09"/>
    <w:rsid w:val="7F90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paragraph" w:customStyle="1" w:styleId="1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2535</Words>
  <Characters>2679</Characters>
  <Lines>0</Lines>
  <Paragraphs>0</Paragraphs>
  <TotalTime>56</TotalTime>
  <ScaleCrop>false</ScaleCrop>
  <LinksUpToDate>false</LinksUpToDate>
  <CharactersWithSpaces>2719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2022-03-31T14:34:00Z</dcterms:created>
  <dc:creator>apple</dc:creator>
  <cp:lastModifiedBy>叶枫</cp:lastModifiedBy>
  <cp:lastPrinted>2023-02-23T05:31:00Z</cp:lastPrinted>
  <dcterms:modified xsi:type="dcterms:W3CDTF">2023-04-27T03:32:20Z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6261D189E38144C4B32CF1A0B6F8A7E9_13</vt:lpwstr>
  </property>
</Properties>
</file>