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ascii="宋体" w:hAnsi="宋体" w:eastAsia="黑体" w:cs="仿宋_GB2312"/>
          <w:szCs w:val="32"/>
        </w:rPr>
      </w:pPr>
      <w:r>
        <w:rPr>
          <w:rFonts w:hint="eastAsia" w:ascii="宋体" w:hAnsi="宋体" w:eastAsia="黑体" w:cs="仿宋_GB2312"/>
          <w:szCs w:val="32"/>
        </w:rPr>
        <w:t>附件</w:t>
      </w:r>
    </w:p>
    <w:p>
      <w:pPr>
        <w:overflowPunct w:val="0"/>
        <w:spacing w:line="560" w:lineRule="exact"/>
        <w:jc w:val="center"/>
        <w:rPr>
          <w:rFonts w:ascii="宋体" w:hAnsi="宋体" w:eastAsia="方正小标宋简体"/>
          <w:spacing w:val="-23"/>
          <w:kern w:val="0"/>
          <w:sz w:val="44"/>
          <w:szCs w:val="44"/>
        </w:rPr>
      </w:pPr>
      <w:r>
        <w:rPr>
          <w:rFonts w:ascii="宋体" w:hAnsi="宋体" w:eastAsia="方正小标宋简体"/>
          <w:spacing w:val="-23"/>
          <w:kern w:val="0"/>
          <w:sz w:val="44"/>
          <w:szCs w:val="44"/>
        </w:rPr>
        <w:t>山东省</w:t>
      </w:r>
      <w:r>
        <w:rPr>
          <w:rFonts w:hint="eastAsia" w:ascii="宋体" w:hAnsi="宋体" w:eastAsia="方正小标宋简体"/>
          <w:spacing w:val="-23"/>
          <w:kern w:val="0"/>
          <w:sz w:val="44"/>
          <w:szCs w:val="44"/>
        </w:rPr>
        <w:t>国家中医药综合改革示范区建设</w:t>
      </w:r>
    </w:p>
    <w:p>
      <w:pPr>
        <w:overflowPunct w:val="0"/>
        <w:spacing w:line="560" w:lineRule="exact"/>
        <w:jc w:val="center"/>
        <w:rPr>
          <w:rFonts w:ascii="宋体" w:hAnsi="宋体" w:cs="方正小标宋简体"/>
          <w:spacing w:val="-23"/>
          <w:kern w:val="0"/>
          <w:sz w:val="24"/>
        </w:rPr>
      </w:pPr>
      <w:r>
        <w:rPr>
          <w:rFonts w:hint="eastAsia" w:ascii="宋体" w:hAnsi="宋体" w:eastAsia="方正小标宋简体"/>
          <w:spacing w:val="-23"/>
          <w:kern w:val="0"/>
          <w:sz w:val="44"/>
          <w:szCs w:val="44"/>
        </w:rPr>
        <w:t>基层中</w:t>
      </w:r>
      <w:r>
        <w:rPr>
          <w:rFonts w:ascii="宋体" w:hAnsi="宋体" w:eastAsia="方正小标宋简体"/>
          <w:spacing w:val="-23"/>
          <w:kern w:val="0"/>
          <w:sz w:val="44"/>
          <w:szCs w:val="44"/>
        </w:rPr>
        <w:t>医</w:t>
      </w:r>
      <w:r>
        <w:rPr>
          <w:rFonts w:hint="eastAsia" w:ascii="宋体" w:hAnsi="宋体" w:eastAsia="方正小标宋简体"/>
          <w:spacing w:val="-23"/>
          <w:kern w:val="0"/>
          <w:sz w:val="44"/>
          <w:szCs w:val="44"/>
        </w:rPr>
        <w:t>药服务能力提升专项行动方案</w:t>
      </w:r>
      <w:r>
        <w:rPr>
          <w:rFonts w:hint="eastAsia" w:ascii="宋体" w:hAnsi="宋体" w:eastAsia="方正小标宋简体" w:cs="方正小标宋简体"/>
          <w:spacing w:val="-23"/>
          <w:kern w:val="0"/>
          <w:sz w:val="44"/>
          <w:szCs w:val="44"/>
        </w:rPr>
        <w:t>评价指标</w:t>
      </w:r>
    </w:p>
    <w:tbl>
      <w:tblPr>
        <w:tblStyle w:val="2"/>
        <w:tblpPr w:leftFromText="180" w:rightFromText="180" w:vertAnchor="text" w:horzAnchor="margin" w:tblpXSpec="center" w:tblpY="247"/>
        <w:tblOverlap w:val="never"/>
        <w:tblW w:w="8926" w:type="dxa"/>
        <w:tblInd w:w="0" w:type="dxa"/>
        <w:tblLayout w:type="fixed"/>
        <w:tblCellMar>
          <w:top w:w="0" w:type="dxa"/>
          <w:left w:w="108" w:type="dxa"/>
          <w:bottom w:w="0" w:type="dxa"/>
          <w:right w:w="108" w:type="dxa"/>
        </w:tblCellMar>
      </w:tblPr>
      <w:tblGrid>
        <w:gridCol w:w="1030"/>
        <w:gridCol w:w="1230"/>
        <w:gridCol w:w="6666"/>
      </w:tblGrid>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黑体" w:cs="黑体"/>
                <w:color w:val="000000"/>
                <w:sz w:val="24"/>
                <w:szCs w:val="24"/>
              </w:rPr>
            </w:pPr>
            <w:r>
              <w:rPr>
                <w:rFonts w:hint="eastAsia" w:ascii="宋体" w:hAnsi="宋体" w:eastAsia="黑体" w:cs="黑体"/>
                <w:color w:val="000000"/>
                <w:kern w:val="0"/>
                <w:sz w:val="24"/>
                <w:szCs w:val="24"/>
                <w:lang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黑体" w:cs="黑体"/>
                <w:color w:val="000000"/>
                <w:sz w:val="24"/>
                <w:szCs w:val="24"/>
              </w:rPr>
            </w:pPr>
            <w:r>
              <w:rPr>
                <w:rFonts w:hint="eastAsia" w:ascii="宋体" w:hAnsi="宋体" w:eastAsia="黑体" w:cs="黑体"/>
                <w:color w:val="000000"/>
                <w:kern w:val="0"/>
                <w:sz w:val="24"/>
                <w:szCs w:val="24"/>
                <w:lang w:bidi="ar"/>
              </w:rPr>
              <w:t>分</w:t>
            </w:r>
            <w:r>
              <w:rPr>
                <w:rFonts w:hint="eastAsia" w:ascii="宋体" w:hAnsi="宋体" w:eastAsia="黑体" w:cs="Arial"/>
                <w:color w:val="000000"/>
                <w:sz w:val="24"/>
                <w:szCs w:val="24"/>
                <w:lang w:bidi="ar"/>
              </w:rPr>
              <w:t xml:space="preserve"> </w:t>
            </w:r>
            <w:r>
              <w:rPr>
                <w:rFonts w:ascii="宋体" w:hAnsi="宋体" w:eastAsia="黑体" w:cs="黑体"/>
                <w:color w:val="000000"/>
                <w:sz w:val="24"/>
                <w:szCs w:val="24"/>
                <w:lang w:bidi="ar"/>
              </w:rPr>
              <w:t xml:space="preserve"> 类</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黑体" w:cs="黑体"/>
                <w:color w:val="000000"/>
                <w:sz w:val="24"/>
                <w:szCs w:val="24"/>
              </w:rPr>
            </w:pPr>
            <w:r>
              <w:rPr>
                <w:rFonts w:hint="eastAsia" w:ascii="宋体" w:hAnsi="宋体" w:eastAsia="黑体" w:cs="黑体"/>
                <w:color w:val="000000"/>
                <w:kern w:val="0"/>
                <w:sz w:val="24"/>
                <w:szCs w:val="24"/>
                <w:lang w:bidi="ar"/>
              </w:rPr>
              <w:t>指标内容</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基层中医药服务覆盖面</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100%社区卫生服务中心、乡镇卫生院能够按照中医药技术操作规范开展6类10项以上中医药适宜技术。</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2</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100%社区卫生服务站、85%以上村卫生室能够按照中医药技术操作规范开展4类6项以上中医药适宜技术。</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3</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所有县级中医医院基础设施条件达到国家中医医院建设标准。</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4</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县级综合医院、专科医院、妇幼保健机构设置符合国家标准的中医临床科室。</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5</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基层中医药服务能力建设</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100%的县级中医医院达到“二级甲等中医医院”水平。</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6</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到2023年，所有县级中医医院达到国家县级中医医院医疗服务能力基本标准，60%的县级中医医院达到国家推荐标准。到2025年，80%的县级中医医院达到推荐标准。</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7</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所有的县级中医医院建成2个中医特色优势专科和1个县域中医药适宜技术推广中心。</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ascii="宋体" w:hAnsi="宋体" w:eastAsia="宋体" w:cs="宋体"/>
                <w:color w:val="000000"/>
                <w:kern w:val="0"/>
                <w:sz w:val="22"/>
                <w:szCs w:val="22"/>
                <w:lang w:bidi="ar"/>
              </w:rPr>
              <w:t>8</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100%的二级以上县级中医医院设置治未病科、康复科。</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ascii="宋体" w:hAnsi="宋体" w:eastAsia="宋体" w:cs="宋体"/>
                <w:color w:val="000000"/>
                <w:kern w:val="0"/>
                <w:sz w:val="22"/>
                <w:szCs w:val="22"/>
                <w:lang w:bidi="ar"/>
              </w:rPr>
              <w:t>9</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80%的二级以上县级中医医院设置老年病科。</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0</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100%的县级中医医院全面实施中医药“五个全科化”创新服务模式。</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1</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到2022年，社区卫生服务中心和乡镇卫生院全部设置中医馆（国医堂）、配备中医医师。</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2</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85%以上的社区卫生服务中心和乡镇卫生院设有标准化中医科和中药房（含智慧共享中药房）。</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30%的社区卫生服务中心和乡镇卫生院的中医馆完成服务内涵建设。</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4</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20%的社区卫生服务站和村卫生室设置“中医阁”。</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5</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所有县级区域依托县级中医医院设置中医健康宣教基地，基层中医馆（国医堂）普遍设立中医药文化知识角。</w:t>
            </w:r>
          </w:p>
        </w:tc>
      </w:tr>
      <w:tr>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6</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26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各县（市、区）老年人和儿童中医药健康管理率分别达到75%和85%。</w:t>
            </w:r>
          </w:p>
        </w:tc>
      </w:tr>
    </w:tbl>
    <w:p>
      <w:pPr>
        <w:rPr>
          <w:rFonts w:ascii="宋体" w:hAnsi="宋体"/>
        </w:rPr>
      </w:pPr>
    </w:p>
    <w:tbl>
      <w:tblPr>
        <w:tblStyle w:val="2"/>
        <w:tblpPr w:leftFromText="180" w:rightFromText="180" w:vertAnchor="text" w:horzAnchor="margin" w:tblpY="82"/>
        <w:tblOverlap w:val="never"/>
        <w:tblW w:w="8926" w:type="dxa"/>
        <w:tblInd w:w="0" w:type="dxa"/>
        <w:tblLayout w:type="fixed"/>
        <w:tblCellMar>
          <w:top w:w="0" w:type="dxa"/>
          <w:left w:w="108" w:type="dxa"/>
          <w:bottom w:w="0" w:type="dxa"/>
          <w:right w:w="108" w:type="dxa"/>
        </w:tblCellMar>
      </w:tblPr>
      <w:tblGrid>
        <w:gridCol w:w="1030"/>
        <w:gridCol w:w="1230"/>
        <w:gridCol w:w="6666"/>
      </w:tblGrid>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7</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基层中医药人才队伍建设</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基本实现城乡每万居民有不少于0.8名合格的中医类别全科医生。</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县级中医医院中医类别医师占比60%以上。</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sz w:val="24"/>
                <w:szCs w:val="24"/>
              </w:rPr>
            </w:pPr>
            <w:r>
              <w:rPr>
                <w:rFonts w:ascii="宋体" w:hAnsi="宋体" w:eastAsia="宋体" w:cs="宋体"/>
                <w:color w:val="000000"/>
                <w:kern w:val="0"/>
                <w:sz w:val="22"/>
                <w:szCs w:val="22"/>
                <w:lang w:bidi="ar"/>
              </w:rPr>
              <w:t>19</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社区卫生服务中心和乡镇卫生院中医类别医师占同类机构医师总数比例达到25%以上。</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0</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社区卫生服务站至少配备1名中医类别医师或能够提供中医药服务的临床类别医师。</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1</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85%以上的村卫生室至少配备1名能够提供中医药服务的医务人员。</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2</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每个乡镇卫生院和社区医院聘任至少1名副主任中医师。</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基层中医药管理能力建设</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所有中医馆（国医堂）全部接入中医馆健康信息平台。</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kern w:val="0"/>
                <w:sz w:val="24"/>
                <w:szCs w:val="24"/>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4</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仿宋_GB2312"/>
                <w:color w:val="000000"/>
                <w:sz w:val="24"/>
                <w:szCs w:val="24"/>
              </w:rPr>
            </w:pP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到2022年，所有县级中医医院电子病历应用水平分级评价达到3级及以上。</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sz w:val="24"/>
                <w:szCs w:val="24"/>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县域紧密型医共体建设</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sz w:val="24"/>
                <w:szCs w:val="24"/>
              </w:rPr>
            </w:pPr>
            <w:r>
              <w:rPr>
                <w:rFonts w:hint="eastAsia" w:ascii="宋体" w:hAnsi="宋体" w:eastAsia="宋体" w:cs="仿宋_GB2312"/>
                <w:color w:val="000000"/>
                <w:kern w:val="0"/>
                <w:sz w:val="24"/>
                <w:szCs w:val="24"/>
                <w:lang w:bidi="ar"/>
              </w:rPr>
              <w:t>二级及以上县级中医医院全部牵头或参与组建紧密型医共体，中医医院牵头的医共体覆盖人口原则上不低于县域人口的30%。</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仿宋_GB2312"/>
                <w:color w:val="000000"/>
                <w:kern w:val="0"/>
                <w:sz w:val="24"/>
                <w:szCs w:val="24"/>
                <w:lang w:bidi="ar"/>
              </w:rPr>
            </w:pPr>
            <w:r>
              <w:rPr>
                <w:rFonts w:ascii="宋体" w:hAnsi="宋体" w:eastAsia="宋体" w:cs="宋体"/>
                <w:color w:val="000000"/>
                <w:kern w:val="0"/>
                <w:sz w:val="22"/>
                <w:szCs w:val="22"/>
                <w:lang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全国基层中医药工作示范县</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每市至少创建1个全国基层中医药工作示范县（含先进单位）。</w:t>
            </w:r>
          </w:p>
        </w:tc>
      </w:tr>
      <w:tr>
        <w:tblPrEx>
          <w:tblCellMar>
            <w:top w:w="0" w:type="dxa"/>
            <w:left w:w="108" w:type="dxa"/>
            <w:bottom w:w="0" w:type="dxa"/>
            <w:right w:w="108" w:type="dxa"/>
          </w:tblCellMar>
        </w:tblPrEx>
        <w:trPr>
          <w:trHeight w:val="56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中国公民中医药健康文化素养</w:t>
            </w:r>
          </w:p>
        </w:tc>
        <w:tc>
          <w:tcPr>
            <w:tcW w:w="6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val="0"/>
              <w:spacing w:line="300" w:lineRule="exact"/>
              <w:textAlignment w:val="center"/>
              <w:rPr>
                <w:rFonts w:ascii="宋体" w:hAnsi="宋体" w:eastAsia="宋体" w:cs="仿宋_GB2312"/>
                <w:color w:val="000000"/>
                <w:kern w:val="0"/>
                <w:sz w:val="24"/>
                <w:szCs w:val="24"/>
                <w:lang w:bidi="ar"/>
              </w:rPr>
            </w:pPr>
            <w:r>
              <w:rPr>
                <w:rFonts w:hint="eastAsia" w:ascii="宋体" w:hAnsi="宋体" w:eastAsia="宋体" w:cs="仿宋_GB2312"/>
                <w:color w:val="000000"/>
                <w:kern w:val="0"/>
                <w:sz w:val="24"/>
                <w:szCs w:val="24"/>
                <w:lang w:bidi="ar"/>
              </w:rPr>
              <w:t>各市公民中医药健康文化素养达到25%以上。</w:t>
            </w:r>
          </w:p>
        </w:tc>
      </w:tr>
    </w:tbl>
    <w:p>
      <w:pPr>
        <w:tabs>
          <w:tab w:val="center" w:pos="4153"/>
          <w:tab w:val="right" w:pos="8306"/>
        </w:tabs>
        <w:overflowPunct w:val="0"/>
        <w:snapToGrid w:val="0"/>
        <w:rPr>
          <w:rFonts w:ascii="宋体" w:hAnsi="宋体" w:cs="宋体"/>
          <w:kern w:val="0"/>
          <w:sz w:val="18"/>
          <w:szCs w:val="32"/>
        </w:rPr>
      </w:pPr>
    </w:p>
    <w:p>
      <w:pPr>
        <w:spacing w:line="560" w:lineRule="exact"/>
        <w:rPr>
          <w:rFonts w:ascii="宋体" w:hAnsi="宋体" w:cs="仿宋_GB2312"/>
          <w:color w:val="000000"/>
          <w:kern w:val="0"/>
          <w:sz w:val="28"/>
          <w:szCs w:val="28"/>
          <w:lang w:bidi="ar"/>
        </w:rPr>
      </w:pPr>
      <w:r>
        <w:rPr>
          <w:rFonts w:hint="eastAsia" w:ascii="宋体" w:hAnsi="宋体" w:cs="仿宋_GB2312"/>
          <w:color w:val="000000"/>
          <w:kern w:val="0"/>
          <w:sz w:val="28"/>
          <w:szCs w:val="28"/>
          <w:lang w:bidi="ar"/>
        </w:rPr>
        <w:t>备注：除特别说明外，完成指标要求的截止时间均为2025年。</w:t>
      </w:r>
    </w:p>
    <w:p>
      <w:pPr>
        <w:spacing w:line="560" w:lineRule="exact"/>
        <w:rPr>
          <w:rFonts w:ascii="宋体" w:hAnsi="宋体" w:cs="仿宋_GB2312"/>
          <w:color w:val="000000"/>
          <w:kern w:val="0"/>
          <w:sz w:val="28"/>
          <w:szCs w:val="28"/>
          <w:lang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ZiNTA0OWY0ODUyOTkxZGE0NWYyMWJlZmYwMWQifQ=="/>
  </w:docVars>
  <w:rsids>
    <w:rsidRoot w:val="00000000"/>
    <w:rsid w:val="5F74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2022-07-01T03:23:47Z</dcterms:created>
  <dc:creator>admin</dc:creator>
  <cp:lastModifiedBy>木子李</cp:lastModifiedBy>
  <dcterms:modified xsi:type="dcterms:W3CDTF">2022-07-01T03:23:53Z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A4EB6C228A0E42B59279030BB33A9C38</vt:lpwstr>
  </property>
</Properties>
</file>