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4C0D70">
      <w:pPr>
        <w:spacing w:line="540" w:lineRule="exact"/>
        <w:rPr>
          <w:rFonts w:eastAsia="黑体" w:hint="eastAsia"/>
          <w:sz w:val="32"/>
          <w:szCs w:val="32"/>
        </w:rPr>
      </w:pPr>
      <w:r w:rsidRPr="00967972">
        <w:rPr>
          <w:rFonts w:eastAsia="黑体"/>
          <w:sz w:val="32"/>
          <w:szCs w:val="32"/>
        </w:rPr>
        <w:t>附</w:t>
      </w:r>
      <w:r w:rsidRPr="00967972">
        <w:rPr>
          <w:rFonts w:eastAsia="黑体"/>
          <w:sz w:val="32"/>
          <w:szCs w:val="32"/>
        </w:rPr>
        <w:t>件</w:t>
      </w:r>
    </w:p>
    <w:p w:rsidR="00000000" w:rsidRPr="00967972" w:rsidRDefault="004C0D70">
      <w:pPr>
        <w:spacing w:line="580" w:lineRule="exact"/>
        <w:jc w:val="center"/>
        <w:rPr>
          <w:rFonts w:eastAsia="方正小标宋简体"/>
          <w:sz w:val="44"/>
          <w:szCs w:val="44"/>
        </w:rPr>
      </w:pPr>
    </w:p>
    <w:p w:rsidR="00000000" w:rsidRPr="00967972" w:rsidRDefault="004C0D70">
      <w:pPr>
        <w:spacing w:line="580" w:lineRule="exact"/>
        <w:jc w:val="center"/>
        <w:rPr>
          <w:rFonts w:eastAsia="方正小标宋简体"/>
          <w:sz w:val="44"/>
          <w:szCs w:val="44"/>
        </w:rPr>
      </w:pPr>
      <w:r w:rsidRPr="00967972">
        <w:rPr>
          <w:rFonts w:eastAsia="方正小标宋简体"/>
          <w:sz w:val="44"/>
          <w:szCs w:val="44"/>
        </w:rPr>
        <w:t>丁桂儿脐贴非处方药</w:t>
      </w:r>
      <w:r w:rsidRPr="00967972">
        <w:rPr>
          <w:rFonts w:eastAsia="方正小标宋简体"/>
          <w:sz w:val="44"/>
          <w:szCs w:val="44"/>
        </w:rPr>
        <w:t>说明书修订</w:t>
      </w:r>
      <w:r w:rsidRPr="00967972">
        <w:rPr>
          <w:rFonts w:eastAsia="方正小标宋简体"/>
          <w:sz w:val="44"/>
          <w:szCs w:val="44"/>
        </w:rPr>
        <w:t>要求</w:t>
      </w:r>
    </w:p>
    <w:p w:rsidR="00000000" w:rsidRDefault="004C0D70">
      <w:pPr>
        <w:spacing w:line="600" w:lineRule="exact"/>
        <w:rPr>
          <w:rFonts w:eastAsia="仿宋_GB2312"/>
          <w:sz w:val="32"/>
          <w:szCs w:val="32"/>
          <w:lang w:val="en"/>
        </w:rPr>
      </w:pPr>
    </w:p>
    <w:p w:rsidR="00000000" w:rsidRPr="00967972" w:rsidRDefault="004C0D70">
      <w:pPr>
        <w:spacing w:line="560" w:lineRule="exact"/>
        <w:ind w:firstLineChars="200" w:firstLine="640"/>
        <w:rPr>
          <w:rFonts w:eastAsia="黑体"/>
          <w:sz w:val="32"/>
          <w:szCs w:val="32"/>
        </w:rPr>
      </w:pPr>
      <w:r w:rsidRPr="00967972">
        <w:rPr>
          <w:rFonts w:eastAsia="黑体"/>
          <w:sz w:val="32"/>
          <w:szCs w:val="32"/>
        </w:rPr>
        <w:t>一、【不良反应】项应当</w:t>
      </w:r>
      <w:r w:rsidRPr="00967972">
        <w:rPr>
          <w:rFonts w:eastAsia="黑体"/>
          <w:sz w:val="32"/>
          <w:szCs w:val="32"/>
        </w:rPr>
        <w:t>包括</w:t>
      </w:r>
      <w:r w:rsidRPr="00967972">
        <w:rPr>
          <w:rFonts w:eastAsia="黑体"/>
          <w:sz w:val="32"/>
          <w:szCs w:val="32"/>
        </w:rPr>
        <w:t>：</w:t>
      </w:r>
    </w:p>
    <w:p w:rsidR="00000000" w:rsidRDefault="004C0D70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监测数据显示，本品可见以下不良反应：皮疹、瘙痒、红斑、过敏反应、皮肤红肿、局部肿胀、皮炎、斑丘疹、水泡疹等，有皮肤溃疡个案报告</w:t>
      </w:r>
      <w:r>
        <w:rPr>
          <w:rFonts w:eastAsia="仿宋_GB2312"/>
          <w:sz w:val="32"/>
          <w:szCs w:val="32"/>
        </w:rPr>
        <w:t>。</w:t>
      </w:r>
    </w:p>
    <w:p w:rsidR="00000000" w:rsidRPr="00967972" w:rsidRDefault="004C0D70">
      <w:pPr>
        <w:spacing w:line="560" w:lineRule="exact"/>
        <w:ind w:firstLineChars="200" w:firstLine="640"/>
        <w:rPr>
          <w:rFonts w:eastAsia="黑体"/>
          <w:sz w:val="32"/>
          <w:szCs w:val="32"/>
        </w:rPr>
      </w:pPr>
      <w:r w:rsidRPr="00967972">
        <w:rPr>
          <w:rFonts w:eastAsia="黑体"/>
          <w:sz w:val="32"/>
          <w:szCs w:val="32"/>
        </w:rPr>
        <w:t>二、【禁忌】项应当</w:t>
      </w:r>
      <w:r w:rsidRPr="00967972">
        <w:rPr>
          <w:rFonts w:eastAsia="黑体"/>
          <w:sz w:val="32"/>
          <w:szCs w:val="32"/>
        </w:rPr>
        <w:t>包括</w:t>
      </w:r>
      <w:r w:rsidRPr="00967972">
        <w:rPr>
          <w:rFonts w:eastAsia="黑体"/>
          <w:sz w:val="32"/>
          <w:szCs w:val="32"/>
        </w:rPr>
        <w:t>：</w:t>
      </w:r>
      <w:r w:rsidRPr="00967972">
        <w:rPr>
          <w:rFonts w:eastAsia="黑体"/>
          <w:sz w:val="32"/>
          <w:szCs w:val="32"/>
        </w:rPr>
        <w:t xml:space="preserve"> </w:t>
      </w:r>
    </w:p>
    <w:p w:rsidR="00000000" w:rsidRDefault="004C0D70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1.</w:t>
      </w:r>
      <w:r>
        <w:rPr>
          <w:rFonts w:eastAsia="仿宋_GB2312" w:hint="eastAsia"/>
          <w:sz w:val="32"/>
          <w:szCs w:val="32"/>
        </w:rPr>
        <w:t>对本品及所含成份过敏者禁用</w:t>
      </w:r>
      <w:r>
        <w:rPr>
          <w:rFonts w:eastAsia="仿宋_GB2312"/>
          <w:sz w:val="32"/>
          <w:szCs w:val="32"/>
        </w:rPr>
        <w:t>。</w:t>
      </w:r>
    </w:p>
    <w:p w:rsidR="00000000" w:rsidRDefault="004C0D70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2.</w:t>
      </w:r>
      <w:r>
        <w:rPr>
          <w:rFonts w:eastAsia="仿宋_GB2312" w:hint="eastAsia"/>
          <w:sz w:val="32"/>
          <w:szCs w:val="32"/>
        </w:rPr>
        <w:t>脐部疾患者禁用。</w:t>
      </w:r>
    </w:p>
    <w:p w:rsidR="00000000" w:rsidRDefault="004C0D70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3.</w:t>
      </w:r>
      <w:r>
        <w:rPr>
          <w:rFonts w:eastAsia="仿宋_GB2312" w:hint="eastAsia"/>
          <w:sz w:val="32"/>
          <w:szCs w:val="32"/>
        </w:rPr>
        <w:t>皮肤破溃或感染处禁用。</w:t>
      </w:r>
    </w:p>
    <w:p w:rsidR="00000000" w:rsidRPr="00967972" w:rsidRDefault="004C0D70">
      <w:pPr>
        <w:spacing w:line="560" w:lineRule="exact"/>
        <w:ind w:firstLineChars="200" w:firstLine="640"/>
        <w:rPr>
          <w:rFonts w:eastAsia="黑体"/>
          <w:sz w:val="32"/>
          <w:szCs w:val="32"/>
        </w:rPr>
      </w:pPr>
      <w:r w:rsidRPr="00967972">
        <w:rPr>
          <w:rFonts w:eastAsia="黑体"/>
          <w:sz w:val="32"/>
          <w:szCs w:val="32"/>
        </w:rPr>
        <w:t>三、【注意事项】项应当</w:t>
      </w:r>
      <w:r w:rsidRPr="00967972">
        <w:rPr>
          <w:rFonts w:eastAsia="黑体"/>
          <w:sz w:val="32"/>
          <w:szCs w:val="32"/>
        </w:rPr>
        <w:t>包括</w:t>
      </w:r>
      <w:r w:rsidRPr="00967972">
        <w:rPr>
          <w:rFonts w:eastAsia="黑体"/>
          <w:sz w:val="32"/>
          <w:szCs w:val="32"/>
        </w:rPr>
        <w:t>：</w:t>
      </w:r>
    </w:p>
    <w:p w:rsidR="00000000" w:rsidRDefault="004C0D70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本品</w:t>
      </w:r>
      <w:r>
        <w:rPr>
          <w:rFonts w:eastAsia="仿宋_GB2312" w:hint="eastAsia"/>
          <w:sz w:val="32"/>
          <w:szCs w:val="32"/>
        </w:rPr>
        <w:t>为外用药，禁止内服</w:t>
      </w:r>
      <w:r>
        <w:rPr>
          <w:rFonts w:eastAsia="仿宋_GB2312"/>
          <w:sz w:val="32"/>
          <w:szCs w:val="32"/>
        </w:rPr>
        <w:t>。</w:t>
      </w:r>
    </w:p>
    <w:p w:rsidR="00000000" w:rsidRDefault="004C0D70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eastAsia="仿宋_GB2312" w:hint="eastAsia"/>
          <w:sz w:val="32"/>
          <w:szCs w:val="32"/>
        </w:rPr>
        <w:t>用药期间</w:t>
      </w:r>
      <w:r>
        <w:rPr>
          <w:rFonts w:eastAsia="仿宋_GB2312"/>
          <w:sz w:val="32"/>
          <w:szCs w:val="32"/>
        </w:rPr>
        <w:t>忌食生冷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油腻</w:t>
      </w:r>
      <w:r>
        <w:rPr>
          <w:rFonts w:eastAsia="仿宋_GB2312" w:hint="eastAsia"/>
          <w:sz w:val="32"/>
          <w:szCs w:val="32"/>
        </w:rPr>
        <w:t>及不易消化</w:t>
      </w:r>
      <w:r>
        <w:rPr>
          <w:rFonts w:eastAsia="仿宋_GB2312"/>
          <w:sz w:val="32"/>
          <w:szCs w:val="32"/>
        </w:rPr>
        <w:t>食物。</w:t>
      </w:r>
    </w:p>
    <w:p w:rsidR="00000000" w:rsidRDefault="004C0D70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</w:t>
      </w:r>
      <w:r>
        <w:rPr>
          <w:rFonts w:eastAsia="仿宋_GB2312" w:hint="eastAsia"/>
          <w:sz w:val="32"/>
          <w:szCs w:val="32"/>
        </w:rPr>
        <w:t>婴儿应在医师指导下使用</w:t>
      </w:r>
      <w:r>
        <w:rPr>
          <w:rFonts w:eastAsia="仿宋_GB2312"/>
          <w:sz w:val="32"/>
          <w:szCs w:val="32"/>
        </w:rPr>
        <w:t>。</w:t>
      </w:r>
    </w:p>
    <w:p w:rsidR="00000000" w:rsidRDefault="004C0D70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4.</w:t>
      </w:r>
      <w:r>
        <w:rPr>
          <w:rFonts w:eastAsia="仿宋_GB2312" w:hint="eastAsia"/>
          <w:sz w:val="32"/>
          <w:szCs w:val="32"/>
        </w:rPr>
        <w:t>感染性</w:t>
      </w:r>
      <w:r>
        <w:rPr>
          <w:rFonts w:eastAsia="仿宋_GB2312"/>
          <w:sz w:val="32"/>
          <w:szCs w:val="32"/>
        </w:rPr>
        <w:t>腹泻</w:t>
      </w:r>
      <w:r>
        <w:rPr>
          <w:rFonts w:eastAsia="仿宋_GB2312" w:hint="eastAsia"/>
          <w:sz w:val="32"/>
          <w:szCs w:val="32"/>
        </w:rPr>
        <w:t>，如肠炎、痢疾等，或出现发热、烦闹、泻下急迫、大便次数明显增多等症状，应去医院就诊</w:t>
      </w:r>
      <w:r>
        <w:rPr>
          <w:rFonts w:eastAsia="仿宋_GB2312"/>
          <w:sz w:val="32"/>
          <w:szCs w:val="32"/>
        </w:rPr>
        <w:t>。</w:t>
      </w:r>
    </w:p>
    <w:p w:rsidR="00000000" w:rsidRDefault="004C0D70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5.</w:t>
      </w:r>
      <w:r>
        <w:rPr>
          <w:rFonts w:eastAsia="仿宋_GB2312" w:hint="eastAsia"/>
          <w:sz w:val="32"/>
          <w:szCs w:val="32"/>
        </w:rPr>
        <w:t>器质性疾病所致腹泻，如甲状腺功能亢进症等，应去医院就诊。</w:t>
      </w:r>
    </w:p>
    <w:p w:rsidR="00000000" w:rsidRDefault="004C0D70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6.</w:t>
      </w:r>
      <w:r>
        <w:rPr>
          <w:rFonts w:eastAsia="仿宋_GB2312" w:hint="eastAsia"/>
          <w:sz w:val="32"/>
          <w:szCs w:val="32"/>
        </w:rPr>
        <w:t>高血压、心脏病、肝病、糖尿病、肾病等患儿应在医师指导下使用。</w:t>
      </w:r>
    </w:p>
    <w:p w:rsidR="00000000" w:rsidRDefault="004C0D70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7.</w:t>
      </w:r>
      <w:r>
        <w:rPr>
          <w:rFonts w:eastAsia="仿宋_GB2312" w:hint="eastAsia"/>
          <w:sz w:val="32"/>
          <w:szCs w:val="32"/>
        </w:rPr>
        <w:t>用药后如出现皮疹、瘙痒等情况，应停止使用，症状严重</w:t>
      </w:r>
      <w:r>
        <w:rPr>
          <w:rFonts w:eastAsia="仿宋_GB2312" w:hint="eastAsia"/>
          <w:sz w:val="32"/>
          <w:szCs w:val="32"/>
        </w:rPr>
        <w:lastRenderedPageBreak/>
        <w:t>者应去医院就诊。</w:t>
      </w:r>
    </w:p>
    <w:p w:rsidR="00000000" w:rsidRDefault="004C0D70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8.</w:t>
      </w:r>
      <w:r>
        <w:rPr>
          <w:rFonts w:eastAsia="仿宋_GB2312" w:hint="eastAsia"/>
          <w:sz w:val="32"/>
          <w:szCs w:val="32"/>
        </w:rPr>
        <w:t>用药</w:t>
      </w:r>
      <w:r>
        <w:rPr>
          <w:rFonts w:eastAsia="仿宋_GB2312" w:hint="eastAsia"/>
          <w:sz w:val="32"/>
          <w:szCs w:val="32"/>
        </w:rPr>
        <w:t>2~3</w:t>
      </w:r>
      <w:r>
        <w:rPr>
          <w:rFonts w:eastAsia="仿宋_GB2312" w:hint="eastAsia"/>
          <w:sz w:val="32"/>
          <w:szCs w:val="32"/>
        </w:rPr>
        <w:t>天症状无缓解，应去医院就诊。</w:t>
      </w:r>
    </w:p>
    <w:p w:rsidR="00000000" w:rsidRDefault="004C0D70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9.</w:t>
      </w:r>
      <w:r>
        <w:rPr>
          <w:rFonts w:eastAsia="仿宋_GB2312" w:hint="eastAsia"/>
          <w:sz w:val="32"/>
          <w:szCs w:val="32"/>
        </w:rPr>
        <w:t>过敏体质者慎用。</w:t>
      </w:r>
    </w:p>
    <w:p w:rsidR="00000000" w:rsidRDefault="004C0D70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10.</w:t>
      </w:r>
      <w:r>
        <w:rPr>
          <w:rFonts w:eastAsia="仿宋_GB2312" w:hint="eastAsia"/>
          <w:sz w:val="32"/>
          <w:szCs w:val="32"/>
        </w:rPr>
        <w:t>本品性状发生改变时禁止使用。</w:t>
      </w:r>
    </w:p>
    <w:p w:rsidR="00000000" w:rsidRDefault="004C0D70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11.</w:t>
      </w:r>
      <w:r>
        <w:rPr>
          <w:rFonts w:eastAsia="仿宋_GB2312" w:hint="eastAsia"/>
          <w:sz w:val="32"/>
          <w:szCs w:val="32"/>
        </w:rPr>
        <w:t>儿童必须在成人监护下使用。</w:t>
      </w:r>
    </w:p>
    <w:p w:rsidR="00000000" w:rsidRDefault="004C0D70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12.</w:t>
      </w:r>
      <w:r>
        <w:rPr>
          <w:rFonts w:eastAsia="仿宋_GB2312" w:hint="eastAsia"/>
          <w:sz w:val="32"/>
          <w:szCs w:val="32"/>
        </w:rPr>
        <w:t>请将本品</w:t>
      </w:r>
      <w:r>
        <w:rPr>
          <w:rFonts w:eastAsia="仿宋_GB2312" w:hint="eastAsia"/>
          <w:sz w:val="32"/>
          <w:szCs w:val="32"/>
        </w:rPr>
        <w:t>放在儿童不能接触的地方。</w:t>
      </w:r>
    </w:p>
    <w:p w:rsidR="00000000" w:rsidRDefault="004C0D70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13.</w:t>
      </w:r>
      <w:r>
        <w:rPr>
          <w:rFonts w:eastAsia="仿宋_GB2312" w:hint="eastAsia"/>
          <w:sz w:val="32"/>
          <w:szCs w:val="32"/>
        </w:rPr>
        <w:t>如正在使用其他药品，使用本品前请咨询医师或药师。</w:t>
      </w:r>
    </w:p>
    <w:p w:rsidR="00000000" w:rsidRPr="00967972" w:rsidRDefault="004C0D70">
      <w:pPr>
        <w:spacing w:line="560" w:lineRule="exact"/>
        <w:ind w:firstLineChars="200" w:firstLine="640"/>
        <w:rPr>
          <w:rFonts w:eastAsia="仿宋"/>
          <w:sz w:val="32"/>
          <w:szCs w:val="32"/>
        </w:rPr>
      </w:pPr>
    </w:p>
    <w:p w:rsidR="00000000" w:rsidRPr="00967972" w:rsidRDefault="004C0D70">
      <w:pPr>
        <w:spacing w:line="560" w:lineRule="exact"/>
        <w:ind w:firstLineChars="200" w:firstLine="640"/>
        <w:rPr>
          <w:rFonts w:eastAsia="仿宋"/>
          <w:sz w:val="32"/>
          <w:szCs w:val="32"/>
        </w:rPr>
      </w:pPr>
    </w:p>
    <w:p w:rsidR="00000000" w:rsidRPr="00967972" w:rsidRDefault="004C0D70">
      <w:pPr>
        <w:spacing w:line="560" w:lineRule="exact"/>
        <w:ind w:firstLineChars="200" w:firstLine="640"/>
        <w:rPr>
          <w:rFonts w:eastAsia="仿宋"/>
          <w:sz w:val="32"/>
          <w:szCs w:val="32"/>
        </w:rPr>
      </w:pPr>
    </w:p>
    <w:p w:rsidR="00000000" w:rsidRDefault="004C0D70">
      <w:pPr>
        <w:spacing w:line="580" w:lineRule="exact"/>
        <w:rPr>
          <w:rFonts w:eastAsia="仿宋_GB2312" w:hint="eastAsia"/>
          <w:sz w:val="32"/>
          <w:szCs w:val="32"/>
        </w:rPr>
      </w:pPr>
    </w:p>
    <w:p w:rsidR="00000000" w:rsidRDefault="004C0D70">
      <w:pPr>
        <w:spacing w:line="580" w:lineRule="exact"/>
        <w:ind w:firstLineChars="200" w:firstLine="640"/>
        <w:rPr>
          <w:rFonts w:eastAsia="仿宋_GB2312" w:hint="eastAsia"/>
          <w:sz w:val="32"/>
          <w:szCs w:val="32"/>
        </w:rPr>
      </w:pPr>
    </w:p>
    <w:p w:rsidR="004C0D70" w:rsidRDefault="004C0D70">
      <w:pPr>
        <w:spacing w:line="580" w:lineRule="exact"/>
        <w:ind w:firstLineChars="200" w:firstLine="640"/>
        <w:rPr>
          <w:rFonts w:eastAsia="仿宋_GB2312" w:hint="eastAsia"/>
          <w:sz w:val="32"/>
          <w:szCs w:val="32"/>
        </w:rPr>
      </w:pPr>
      <w:bookmarkStart w:id="0" w:name="_GoBack"/>
      <w:bookmarkEnd w:id="0"/>
    </w:p>
    <w:sectPr w:rsidR="004C0D70">
      <w:footerReference w:type="default" r:id="rId6"/>
      <w:pgSz w:w="11906" w:h="16838"/>
      <w:pgMar w:top="1928" w:right="1531" w:bottom="1814" w:left="1531" w:header="851" w:footer="1361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D70" w:rsidRDefault="004C0D70">
      <w:r>
        <w:separator/>
      </w:r>
    </w:p>
  </w:endnote>
  <w:endnote w:type="continuationSeparator" w:id="0">
    <w:p w:rsidR="004C0D70" w:rsidRDefault="004C0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9A61B7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8535" cy="230505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4C0D70">
                          <w:pPr>
                            <w:pStyle w:val="a5"/>
                            <w:rPr>
                              <w:rFonts w:hint="eastAsia"/>
                            </w:rPr>
                          </w:pPr>
                          <w:r w:rsidRPr="00967972"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 w:rsidRPr="00967972"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 w:rsidRPr="00967972"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967972"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 w:rsidRPr="00967972"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 w:rsidRPr="00967972"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9A61B7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 w:rsidRPr="00967972"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 w:rsidRPr="00967972"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967972"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 w:rsidRPr="00967972"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25.85pt;margin-top:0;width:77.05pt;height:18.15pt;z-index:251658240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" filled="f" stroked="f">
              <v:textbox style="mso-fit-shape-to-text:t" inset="0,0,0,0">
                <w:txbxContent>
                  <w:p w:rsidR="00000000" w:rsidRDefault="004C0D70">
                    <w:pPr>
                      <w:pStyle w:val="a5"/>
                      <w:rPr>
                        <w:rFonts w:hint="eastAsia"/>
                      </w:rPr>
                    </w:pPr>
                    <w:r w:rsidRPr="00967972"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 w:rsidRPr="00967972"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 w:rsidRPr="00967972"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 w:rsidRPr="00967972">
                      <w:rPr>
                        <w:sz w:val="28"/>
                        <w:szCs w:val="28"/>
                      </w:rPr>
                      <w:fldChar w:fldCharType="begin"/>
                    </w:r>
                    <w:r w:rsidRPr="00967972"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 w:rsidRPr="00967972">
                      <w:rPr>
                        <w:sz w:val="28"/>
                        <w:szCs w:val="28"/>
                      </w:rPr>
                      <w:fldChar w:fldCharType="separate"/>
                    </w:r>
                    <w:r w:rsidR="009A61B7">
                      <w:rPr>
                        <w:noProof/>
                        <w:sz w:val="28"/>
                        <w:szCs w:val="28"/>
                      </w:rPr>
                      <w:t>2</w:t>
                    </w:r>
                    <w:r w:rsidRPr="00967972">
                      <w:rPr>
                        <w:sz w:val="28"/>
                        <w:szCs w:val="28"/>
                      </w:rPr>
                      <w:fldChar w:fldCharType="end"/>
                    </w:r>
                    <w:r w:rsidRPr="00967972"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 w:rsidRPr="00967972"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 w:rsidRPr="00967972"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D70" w:rsidRDefault="004C0D70">
      <w:r>
        <w:separator/>
      </w:r>
    </w:p>
  </w:footnote>
  <w:footnote w:type="continuationSeparator" w:id="0">
    <w:p w:rsidR="004C0D70" w:rsidRDefault="004C0D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C8"/>
    <w:rsid w:val="00016D27"/>
    <w:rsid w:val="00016E93"/>
    <w:rsid w:val="00051450"/>
    <w:rsid w:val="00071507"/>
    <w:rsid w:val="00085F67"/>
    <w:rsid w:val="000A2989"/>
    <w:rsid w:val="000E0170"/>
    <w:rsid w:val="00101F08"/>
    <w:rsid w:val="00157D65"/>
    <w:rsid w:val="00164368"/>
    <w:rsid w:val="00186786"/>
    <w:rsid w:val="001B61C4"/>
    <w:rsid w:val="001C492C"/>
    <w:rsid w:val="001D3923"/>
    <w:rsid w:val="001D7B00"/>
    <w:rsid w:val="001F3FB0"/>
    <w:rsid w:val="00204B69"/>
    <w:rsid w:val="00247F9A"/>
    <w:rsid w:val="00277D15"/>
    <w:rsid w:val="002A510C"/>
    <w:rsid w:val="002A7F53"/>
    <w:rsid w:val="002F2CC3"/>
    <w:rsid w:val="00323910"/>
    <w:rsid w:val="003330A7"/>
    <w:rsid w:val="0035031B"/>
    <w:rsid w:val="00351116"/>
    <w:rsid w:val="00352FFE"/>
    <w:rsid w:val="0036326B"/>
    <w:rsid w:val="003B39B2"/>
    <w:rsid w:val="003B452F"/>
    <w:rsid w:val="003C4A36"/>
    <w:rsid w:val="003D08E2"/>
    <w:rsid w:val="003D78E8"/>
    <w:rsid w:val="003E7CB8"/>
    <w:rsid w:val="00405AE4"/>
    <w:rsid w:val="004218DC"/>
    <w:rsid w:val="00453B18"/>
    <w:rsid w:val="004A48F4"/>
    <w:rsid w:val="004A5C4E"/>
    <w:rsid w:val="004C0D70"/>
    <w:rsid w:val="004D7576"/>
    <w:rsid w:val="004F27D3"/>
    <w:rsid w:val="0050179C"/>
    <w:rsid w:val="005410CE"/>
    <w:rsid w:val="005455A8"/>
    <w:rsid w:val="0056324D"/>
    <w:rsid w:val="00564625"/>
    <w:rsid w:val="0056661D"/>
    <w:rsid w:val="00593C49"/>
    <w:rsid w:val="005B2A3E"/>
    <w:rsid w:val="005B404F"/>
    <w:rsid w:val="005D20CB"/>
    <w:rsid w:val="005D7D24"/>
    <w:rsid w:val="005E7595"/>
    <w:rsid w:val="005F4ADA"/>
    <w:rsid w:val="006052CA"/>
    <w:rsid w:val="00612531"/>
    <w:rsid w:val="006428CA"/>
    <w:rsid w:val="0067038A"/>
    <w:rsid w:val="00673EAB"/>
    <w:rsid w:val="00690209"/>
    <w:rsid w:val="006D3D5E"/>
    <w:rsid w:val="006E0E17"/>
    <w:rsid w:val="00727597"/>
    <w:rsid w:val="00735046"/>
    <w:rsid w:val="00766F07"/>
    <w:rsid w:val="007B409A"/>
    <w:rsid w:val="007C72C1"/>
    <w:rsid w:val="007E3EB2"/>
    <w:rsid w:val="007F6C62"/>
    <w:rsid w:val="00802B33"/>
    <w:rsid w:val="008044C1"/>
    <w:rsid w:val="0080591C"/>
    <w:rsid w:val="008300E3"/>
    <w:rsid w:val="008377A6"/>
    <w:rsid w:val="00837FBB"/>
    <w:rsid w:val="00840DEF"/>
    <w:rsid w:val="00845649"/>
    <w:rsid w:val="008457F1"/>
    <w:rsid w:val="00863C35"/>
    <w:rsid w:val="008C461A"/>
    <w:rsid w:val="008C5ECE"/>
    <w:rsid w:val="008C74C4"/>
    <w:rsid w:val="00926229"/>
    <w:rsid w:val="00944679"/>
    <w:rsid w:val="0094647A"/>
    <w:rsid w:val="00967972"/>
    <w:rsid w:val="0097437D"/>
    <w:rsid w:val="009869EE"/>
    <w:rsid w:val="00991BF3"/>
    <w:rsid w:val="009A1829"/>
    <w:rsid w:val="009A2DB4"/>
    <w:rsid w:val="009A61B7"/>
    <w:rsid w:val="009D7C65"/>
    <w:rsid w:val="009F63A3"/>
    <w:rsid w:val="00A03AD8"/>
    <w:rsid w:val="00A24E9C"/>
    <w:rsid w:val="00A254E3"/>
    <w:rsid w:val="00A351E7"/>
    <w:rsid w:val="00A62362"/>
    <w:rsid w:val="00A639CD"/>
    <w:rsid w:val="00A646C6"/>
    <w:rsid w:val="00A65BFC"/>
    <w:rsid w:val="00A8280B"/>
    <w:rsid w:val="00A82CA2"/>
    <w:rsid w:val="00AA30FC"/>
    <w:rsid w:val="00AC2D33"/>
    <w:rsid w:val="00B11072"/>
    <w:rsid w:val="00B16FFF"/>
    <w:rsid w:val="00B25838"/>
    <w:rsid w:val="00B64617"/>
    <w:rsid w:val="00B84EF7"/>
    <w:rsid w:val="00BA00D5"/>
    <w:rsid w:val="00BA1FC7"/>
    <w:rsid w:val="00BE16F8"/>
    <w:rsid w:val="00C05E89"/>
    <w:rsid w:val="00C1570A"/>
    <w:rsid w:val="00C51B28"/>
    <w:rsid w:val="00C57201"/>
    <w:rsid w:val="00C578A0"/>
    <w:rsid w:val="00C60442"/>
    <w:rsid w:val="00C73515"/>
    <w:rsid w:val="00C92BC0"/>
    <w:rsid w:val="00CA2B21"/>
    <w:rsid w:val="00CC6505"/>
    <w:rsid w:val="00CD27CB"/>
    <w:rsid w:val="00CE7A0B"/>
    <w:rsid w:val="00D03FFD"/>
    <w:rsid w:val="00D53A64"/>
    <w:rsid w:val="00D61B72"/>
    <w:rsid w:val="00DD4D3D"/>
    <w:rsid w:val="00DD5C43"/>
    <w:rsid w:val="00DF1936"/>
    <w:rsid w:val="00E05A99"/>
    <w:rsid w:val="00E21EF7"/>
    <w:rsid w:val="00E41212"/>
    <w:rsid w:val="00E41A1A"/>
    <w:rsid w:val="00E73776"/>
    <w:rsid w:val="00ED2031"/>
    <w:rsid w:val="00F64776"/>
    <w:rsid w:val="00F6624B"/>
    <w:rsid w:val="00F8685B"/>
    <w:rsid w:val="00FA60C8"/>
    <w:rsid w:val="00FD22E5"/>
    <w:rsid w:val="00FD443E"/>
    <w:rsid w:val="00FD754D"/>
    <w:rsid w:val="0BEC7EA0"/>
    <w:rsid w:val="0F9E0E77"/>
    <w:rsid w:val="17CEBA2F"/>
    <w:rsid w:val="1FFBD5C9"/>
    <w:rsid w:val="2A8D465A"/>
    <w:rsid w:val="43E2636A"/>
    <w:rsid w:val="4C1A048F"/>
    <w:rsid w:val="4C5D5EF2"/>
    <w:rsid w:val="591D3208"/>
    <w:rsid w:val="5A3F18D2"/>
    <w:rsid w:val="5B9F36B6"/>
    <w:rsid w:val="5F297A5F"/>
    <w:rsid w:val="637F6CBC"/>
    <w:rsid w:val="63E446CD"/>
    <w:rsid w:val="675BE022"/>
    <w:rsid w:val="69B562AB"/>
    <w:rsid w:val="6FF6E41D"/>
    <w:rsid w:val="76F43764"/>
    <w:rsid w:val="773F765C"/>
    <w:rsid w:val="7B7D19F4"/>
    <w:rsid w:val="7D3F7C24"/>
    <w:rsid w:val="7ED62E8A"/>
    <w:rsid w:val="7FFF2A5F"/>
    <w:rsid w:val="8FF8E88C"/>
    <w:rsid w:val="ADAB077A"/>
    <w:rsid w:val="BEF743A3"/>
    <w:rsid w:val="C44D7F2B"/>
    <w:rsid w:val="C9CF43BB"/>
    <w:rsid w:val="DDFFA7F4"/>
    <w:rsid w:val="EFEBC216"/>
    <w:rsid w:val="F39B17A0"/>
    <w:rsid w:val="FDD75353"/>
    <w:rsid w:val="FDE7A9EB"/>
    <w:rsid w:val="FF5D51C3"/>
    <w:rsid w:val="FFFE9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7A0EC7B-39F0-4CCE-840D-3BD5F8059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5"/>
    <w:uiPriority w:val="99"/>
    <w:rPr>
      <w:kern w:val="2"/>
      <w:sz w:val="18"/>
      <w:szCs w:val="18"/>
    </w:rPr>
  </w:style>
  <w:style w:type="paragraph" w:styleId="a6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uiPriority w:val="99"/>
    <w:rPr>
      <w:kern w:val="2"/>
      <w:sz w:val="18"/>
      <w:szCs w:val="18"/>
    </w:rPr>
  </w:style>
  <w:style w:type="character" w:styleId="a7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</Words>
  <Characters>423</Characters>
  <Application>Microsoft Office Word</Application>
  <DocSecurity>0</DocSecurity>
  <Lines>3</Lines>
  <Paragraphs>1</Paragraphs>
  <ScaleCrop>false</ScaleCrop>
  <Company>Xtzj.Com</Company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2</cp:revision>
  <cp:lastPrinted>2021-12-08T08:51:00Z</cp:lastPrinted>
  <dcterms:created xsi:type="dcterms:W3CDTF">2021-12-09T09:15:00Z</dcterms:created>
  <dcterms:modified xsi:type="dcterms:W3CDTF">2021-12-09T09:15:00Z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