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河北省医疗保障医师考核办法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>
      <w:pPr>
        <w:pStyle w:val="4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 xml:space="preserve">第一章  总 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医疗保障医师管理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规范医疗保障医师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医药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服务行为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，维护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参保人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合法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权益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根据《中华人民共和国执业医师法》《河北省医疗保障基金监管办法》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医疗保障协议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本办法所称河北省医疗保障医师（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简称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医保医师）是指纳入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医疗保障管理，依法注册在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医疗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（以下简称定点医疗机构），在国家医疗保障信息业务编码标准数据库动态维护平台注册认证，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为参保人提供医疗服务的执业医师、执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业助理医师。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医疗保障行政部门负责医保医师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的监督和指导。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经办机构（以下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简称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经办机构）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负责医保医师考核的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组织和实施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>第二章　职责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val="en-US" w:eastAsia="zh-CN"/>
        </w:rPr>
        <w:t>与信息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医保医师应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遵守《中华人民共和国医师法》，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并遵守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医疗保障法律法规和相关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政策及管理规定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"/>
        </w:rPr>
        <w:t>恪守职业道德，遵守执业规范，提高执业水平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依法执业，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自觉遵守医保定点医疗机构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服务协议有关约定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及相关医保政策，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履行以下职责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（一）在注册的执业范围内，按照有关规范进行医学诊查、疾病调查、医学处置、出具相应的医学证明文件，选择合理的医疗方案；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二）应当坚持安全有效、经济合理的用药原则，遵循药品临床应用指导原则、临床诊疗指南和药品说明书等合理用药。应当使用经依法批准或者备案的药品、消毒药剂、医疗器械，采用合法、合规、科学的诊疗方法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违反诊疗规范，对患者实施不必要的检查。要做到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bidi="ar"/>
        </w:rPr>
        <w:t>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理检查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合理治疗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合理用药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为参保人提供优质、安全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便捷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的医疗服务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自觉遵守医疗保障法律法规、规章和相关政策规定，自愿接受经办机构的监督和管理。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优先选用国家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医保目录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耗材、诊疗项目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优先选用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集中采购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目录内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耗材。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严格执行国家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医保目录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耗材、诊疗项目的支付范围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和支付标准；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四）认真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核验参保人医疗保障身份凭证；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按照规定及时填写病历等医学文书，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确保诊疗记录真实、准确、完整。如实记录受伤经过等病历内容，严格意外伤害认定程序及标准。不得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出具虚假医学证明文件，隐匿、伪造、篡改或者擅自销毁病历等医学文书及有关资料；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）严格入出院标准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不得推诿、拒收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或将未达到出院标准的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参保人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作出院处理，不得将未达到住院标准的患者收入院治疗；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）严格执行门诊慢性（特殊）病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等待遇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资格评审认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定程序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及标准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首诊负责制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）向参保人宣传医疗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政策和管理规定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，按照医保有关规定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切实履行告知义务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应承担的职责。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定点医疗机构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应加强医保医师信息管理，及时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将本机构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信息上传至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国家医保信息业务编码标准数据库，动态维护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管理系统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医保医师信息发生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变更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的，应自变更之日起7个工作日内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维护。做到全量维护、及时入库、同步更新。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医保医师被卫生健康部门暂停执业或注销、吊销执业证书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定期考核不合格、责令暂停执业活动的，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定点医疗机构应在7个工作日内报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 w:eastAsia="zh-CN"/>
        </w:rPr>
        <w:t>医保经办机构，并同步更新国家医保信息业务编码标准数据库，动态维护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医保医师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 w:eastAsia="zh-CN"/>
        </w:rPr>
        <w:t>代码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管理系统。医保医师被暂停执业或注销、吊销执业证书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，发生的诊疗服务费用，医保基金不予支付。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>章　管理与考核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定点医疗机构负责本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医保医师的内部管理工作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承担本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医保医师医疗保障政策业务培训和内部考核等职责。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定点医疗机构应加强对本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医保医师执业行为的管理，按照《河北省医疗保障医师考核标准》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开展自查自纠；医保医师内部管理情况纳入定点医疗机构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考核管理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医保经办机构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通过日常管理、智能监控、专项检查、投诉举报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等途径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按照《河北省医疗保障医师考核标准》对医保医师执行医保政策、履行医保服务协议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、医药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服务质量等情况进行全面考核。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医保医师考核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自然年度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满分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100分，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分制。根据考核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给予以下处理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累计扣分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分的，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、限期整改；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累计扣分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3-5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约谈、限期整改；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累计扣分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6-10分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的，暂停医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保处方权3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累计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扣分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11-20分的，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暂停医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保处方权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6个月；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累计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扣分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以上的，视情节严重程度，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暂停医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保处方权1-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按照《河北省医疗保障医师考核标准》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进行扣分管理，多次检查发现同样问题的，扣分累加计算。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医保医师变更执业地点的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同一考核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年度内扣分累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于深度参与医保改革，在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医保公共服务质量、解决患者诉求、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阶段性重点工作、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  <w:t>政策宣传及培训等工作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作出突出贡献的医师，酌情进行加分，总分不超过100分。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医保医师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被暂停医保处方权期满，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1年内被再次暂停的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暂停期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在规定基础上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延长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对医保医师的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和处理结果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，经办机构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书面通知其所在定点医疗机构或在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本统筹区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医疗保障局官方网站予以公布。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将医保医师违规和处理情况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入医保医师诚信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一个考核年度内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严重违规（一次性扣10分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的）或违规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以上的列入重点监控，实行重点跟踪管理。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spacing w:val="0"/>
          <w:kern w:val="2"/>
          <w:sz w:val="32"/>
          <w:szCs w:val="32"/>
          <w:lang w:val="en-US" w:eastAsia="zh-CN" w:bidi="ar-SA"/>
        </w:rPr>
        <w:t>对于骗取套取医保基金的，经办机构追回基金并报统筹区医疗保障行政部门予以行政处罚；涉嫌犯罪的，移交司法机关处理。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章　附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为参保人提供医疗保障服务的医学技术人员、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执业药师和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药剂人员、护理人员等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参照本办法进行管理。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本办法由河北省医疗保障局负责解释。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楷体" w:eastAsia="仿宋_GB2312" w:cs="楷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本办法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印发之日起执行</w:t>
      </w:r>
      <w:r>
        <w:rPr>
          <w:rFonts w:hint="eastAsia" w:ascii="仿宋_GB2312" w:hAnsi="楷体" w:eastAsia="仿宋_GB2312" w:cs="楷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XCCDEE+FZFSK--GBK1-0F2" w:eastAsia="仿宋_GB2312" w:cs="XCCDEE+FZFSK--GBK1-0F2"/>
          <w:color w:val="auto"/>
          <w:spacing w:val="0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附件：河北省医疗保障医师考核标准</w:t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方正小标宋_GBK"/>
          <w:color w:val="auto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方正小标宋_GBK"/>
          <w:color w:val="auto"/>
          <w:sz w:val="21"/>
          <w:szCs w:val="21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河北省医疗保障医师考核标准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一、出现下列情形一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项</w:t>
      </w:r>
      <w:r>
        <w:rPr>
          <w:rFonts w:hint="eastAsia" w:ascii="黑体" w:hAnsi="黑体" w:eastAsia="黑体"/>
          <w:color w:val="auto"/>
          <w:sz w:val="32"/>
          <w:szCs w:val="32"/>
        </w:rPr>
        <w:t>扣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auto"/>
          <w:sz w:val="32"/>
          <w:szCs w:val="32"/>
        </w:rPr>
        <w:t>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1.不配</w:t>
      </w:r>
      <w:r>
        <w:rPr>
          <w:rFonts w:hint="eastAsia" w:ascii="仿宋_GB2312" w:eastAsia="仿宋_GB2312"/>
          <w:color w:val="auto"/>
          <w:spacing w:val="-11"/>
          <w:sz w:val="32"/>
          <w:szCs w:val="32"/>
        </w:rPr>
        <w:t>合检查、阻挠调查、隐瞒藏匿或恶意销毁相</w:t>
      </w:r>
      <w:r>
        <w:rPr>
          <w:rFonts w:hint="eastAsia" w:ascii="仿宋_GB2312" w:eastAsia="仿宋_GB2312"/>
          <w:color w:val="auto"/>
          <w:sz w:val="32"/>
          <w:szCs w:val="32"/>
        </w:rPr>
        <w:t>关材料的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.以医谋私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获取非法利益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严重侵害参保人员利益的；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.被卫生健康行政部门吊销医师、助理医师执业证书，或被注销注册、收回执业证书的；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.故意曲解医疗保险政策和业务管理规定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挑唆参保人上访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造成恶劣影响的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未根据病情诊治需要，存在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过度或超范围使用</w:t>
      </w:r>
      <w:r>
        <w:rPr>
          <w:rFonts w:hint="eastAsia" w:ascii="仿宋_GB2312" w:eastAsia="仿宋_GB2312"/>
          <w:color w:val="auto"/>
          <w:sz w:val="32"/>
          <w:szCs w:val="32"/>
        </w:rPr>
        <w:t>药品、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医用</w:t>
      </w:r>
      <w:r>
        <w:rPr>
          <w:rFonts w:hint="eastAsia" w:ascii="仿宋_GB2312" w:eastAsia="仿宋_GB2312"/>
          <w:color w:val="auto"/>
          <w:sz w:val="32"/>
          <w:szCs w:val="32"/>
        </w:rPr>
        <w:t>耗材、诊疗项目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等违规诊疗行为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且存在</w:t>
      </w:r>
      <w:r>
        <w:rPr>
          <w:rFonts w:hint="eastAsia" w:ascii="仿宋_GB2312" w:eastAsia="仿宋_GB2312"/>
          <w:color w:val="auto"/>
          <w:sz w:val="32"/>
          <w:szCs w:val="32"/>
        </w:rPr>
        <w:t>主观故意或不按要求限期改正的；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.为参保人提供虚假医疗证明材料，或通过虚假住院、伪造篡改医疗文书、串通他人虚开诊疗票据等方式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套取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</w:rPr>
        <w:t>骗取医疗保障基金的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.其他严重违反医疗保障政策规定，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侵</w:t>
      </w:r>
      <w:r>
        <w:rPr>
          <w:rFonts w:hint="eastAsia" w:ascii="仿宋_GB2312" w:eastAsia="仿宋_GB2312"/>
          <w:color w:val="auto"/>
          <w:sz w:val="32"/>
          <w:szCs w:val="32"/>
        </w:rPr>
        <w:t>害参保人员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权</w:t>
      </w:r>
      <w:r>
        <w:rPr>
          <w:rFonts w:hint="eastAsia" w:ascii="仿宋_GB2312" w:eastAsia="仿宋_GB2312"/>
          <w:color w:val="auto"/>
          <w:sz w:val="32"/>
          <w:szCs w:val="32"/>
        </w:rPr>
        <w:t>益或造成医疗保障基金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较大</w:t>
      </w:r>
      <w:r>
        <w:rPr>
          <w:rFonts w:hint="eastAsia" w:ascii="仿宋_GB2312" w:eastAsia="仿宋_GB2312"/>
          <w:color w:val="auto"/>
          <w:sz w:val="32"/>
          <w:szCs w:val="32"/>
        </w:rPr>
        <w:t>损失的行为。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二、出现下列情形一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项</w:t>
      </w:r>
      <w:r>
        <w:rPr>
          <w:rFonts w:hint="eastAsia" w:ascii="黑体" w:hAnsi="黑体" w:eastAsia="黑体"/>
          <w:color w:val="auto"/>
          <w:sz w:val="32"/>
          <w:szCs w:val="32"/>
        </w:rPr>
        <w:t>扣5分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医疗费用指标异常被挂牌督办的；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未按医保价格政策规定标准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.存在分解收费、重复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收费、重复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检查或分解住院的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.降低住院标准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</w:rPr>
        <w:t>为挂床住院提供便利的；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.规避使用集中采购目录内药品、耗材的；在有可选择情况下，选择使用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最高采购价</w:t>
      </w:r>
      <w:r>
        <w:rPr>
          <w:rFonts w:hint="eastAsia" w:ascii="仿宋_GB2312" w:eastAsia="仿宋_GB2312"/>
          <w:color w:val="auto"/>
          <w:sz w:val="32"/>
          <w:szCs w:val="32"/>
        </w:rPr>
        <w:t>药品、耗材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或选择使用超最低采购价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2倍以上药品、耗材的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.将医疗保障支付范围内药品、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医用</w:t>
      </w:r>
      <w:r>
        <w:rPr>
          <w:rFonts w:hint="eastAsia" w:ascii="仿宋_GB2312" w:eastAsia="仿宋_GB2312"/>
          <w:color w:val="auto"/>
          <w:sz w:val="32"/>
          <w:szCs w:val="32"/>
        </w:rPr>
        <w:t>耗材、诊疗项目费用转嫁给参保人，增加患者负担的；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未认真核验参保人医疗保障身份凭证，造成被他人冒名顶替就医的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8.未经患者或家属同意，使用高值耗材、自费药品进行检查或治疗的；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9.医疗服务态度差、对医保政策解释不准确等情况导致参保人员投诉的；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color w:val="auto"/>
          <w:sz w:val="32"/>
          <w:szCs w:val="32"/>
        </w:rPr>
        <w:t>将非参保人的医疗费用纳入医保支付范围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或者通过串换药品、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耗材、诊疗项目</w:t>
      </w:r>
      <w:r>
        <w:rPr>
          <w:rFonts w:hint="eastAsia" w:ascii="仿宋_GB2312" w:eastAsia="仿宋_GB2312"/>
          <w:color w:val="auto"/>
          <w:sz w:val="32"/>
          <w:szCs w:val="32"/>
        </w:rPr>
        <w:t>等手段将非医保支付范围的医疗费用纳入医保支付的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.不严格执行认定程序、标准或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徇私舞弊、伪造病历等行为，将不符合门诊慢性（特殊）病的参保人，认定为门诊慢性（特殊）病患者的；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color w:val="auto"/>
          <w:sz w:val="32"/>
          <w:szCs w:val="32"/>
        </w:rPr>
        <w:t>其他违反医疗保障政策规定，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侵</w:t>
      </w:r>
      <w:r>
        <w:rPr>
          <w:rFonts w:hint="eastAsia" w:ascii="仿宋_GB2312" w:eastAsia="仿宋_GB2312"/>
          <w:color w:val="auto"/>
          <w:sz w:val="32"/>
          <w:szCs w:val="32"/>
        </w:rPr>
        <w:t>害参保人员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权</w:t>
      </w:r>
      <w:r>
        <w:rPr>
          <w:rFonts w:hint="eastAsia" w:ascii="仿宋_GB2312" w:eastAsia="仿宋_GB2312"/>
          <w:color w:val="auto"/>
          <w:sz w:val="32"/>
          <w:szCs w:val="32"/>
        </w:rPr>
        <w:t>益或造成医疗保障基金损失的行为。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三、出现下列情形一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项</w:t>
      </w:r>
      <w:r>
        <w:rPr>
          <w:rFonts w:hint="eastAsia" w:ascii="黑体" w:hAnsi="黑体" w:eastAsia="黑体"/>
          <w:color w:val="auto"/>
          <w:sz w:val="32"/>
          <w:szCs w:val="32"/>
        </w:rPr>
        <w:t>扣2分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搭车开药、搭车检查等违规行为的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.手术等高值耗材在病例中条码不全的；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.引导参保人到指定药店购买相关药品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4.在有选择的情况下，选择价格相对较高的药品、耗材的；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5.未根据病情诊治需要，过度或超范围使用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耗材、诊疗项目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导致费用增加的；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.不执行首诊负责制，拒绝、推诿收治参保人，以各种借口使参保人员提前或延迟出院的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违反规定，为非医保医师签名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开具医保处方、检查检验的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，将医保医师工作站交由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非医保医师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其他违反医疗保障政策规定，造成医疗保障基金损失的行为。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、出现下列情形一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项</w:t>
      </w:r>
      <w:r>
        <w:rPr>
          <w:rFonts w:hint="eastAsia" w:ascii="黑体" w:hAnsi="黑体" w:eastAsia="黑体"/>
          <w:color w:val="auto"/>
          <w:sz w:val="32"/>
          <w:szCs w:val="32"/>
        </w:rPr>
        <w:t>扣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auto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非因工</w:t>
      </w:r>
      <w:r>
        <w:rPr>
          <w:rFonts w:hint="eastAsia" w:ascii="仿宋_GB2312" w:eastAsia="仿宋_GB2312"/>
          <w:color w:val="auto"/>
          <w:sz w:val="32"/>
          <w:szCs w:val="32"/>
        </w:rPr>
        <w:t>意外伤害就诊的参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保</w:t>
      </w:r>
      <w:r>
        <w:rPr>
          <w:rFonts w:hint="eastAsia" w:ascii="仿宋_GB2312" w:eastAsia="仿宋_GB2312"/>
          <w:color w:val="auto"/>
          <w:sz w:val="32"/>
          <w:szCs w:val="32"/>
        </w:rPr>
        <w:t>人，未如实记载受伤原因和经过的；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不记载病历或者病历记载不清楚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提供的票据、费用清单、处方、医嘱、病程记录、治疗单记录、检查结果等不吻合，或与实际使用情况不一致的；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未按《病历书写基本规范》《处方管理办法》等规定书写医疗文书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.出院带药、门诊慢性病（特殊病）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用药超出管理规定的，带检查或治疗项目出院的；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5.未经亲自诊查、检查，签署医学文书、医学检查报告、医学证明文件的；在医疗文书、信息系统中代他人签名或在空白医学文书上预先签名的；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医疗费用指标异常被约谈的；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.其他违反医疗保障政策规定的行为。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531" w:right="1531" w:bottom="1531" w:left="192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9E196-4E4B-45CD-9F99-2518E5F5A2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FBEE96D-C87B-449C-AA29-3E03E832410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46642F-F1BF-4B9A-B2A8-00D1D441747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D2E953-C837-46C2-A1A5-DA014EEC26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XCCDEE+FZFSK--GBK1-0F2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72F661F-2D80-4BDD-BEBA-54549313C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MTFiOWM0NWIyNWIxMzAyNGUxMWJmZTRlNjg2YTMifQ=="/>
  </w:docVars>
  <w:rsids>
    <w:rsidRoot w:val="42EF6146"/>
    <w:rsid w:val="096F63F6"/>
    <w:rsid w:val="182D458E"/>
    <w:rsid w:val="19625EF1"/>
    <w:rsid w:val="407958E3"/>
    <w:rsid w:val="42EF6146"/>
    <w:rsid w:val="480901F9"/>
    <w:rsid w:val="547B0878"/>
    <w:rsid w:val="55206D4E"/>
    <w:rsid w:val="57610D35"/>
    <w:rsid w:val="59E93470"/>
    <w:rsid w:val="5B1E5C9D"/>
    <w:rsid w:val="71393743"/>
    <w:rsid w:val="74BE2BFC"/>
    <w:rsid w:val="7A251684"/>
    <w:rsid w:val="7B6B2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2023-11-02T08:01:00Z</dcterms:created>
  <dc:creator>lenovo</dc:creator>
  <cp:lastModifiedBy>Mellissa</cp:lastModifiedBy>
  <dcterms:modified xsi:type="dcterms:W3CDTF">2023-11-02T09:33:45Z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4115E6008FCE4E66B454859121CBCA72_12</vt:lpwstr>
  </property>
</Properties>
</file>