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Times New Roman"/>
          <w:b w:val="0"/>
          <w:bCs/>
          <w:color w:val="00000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u w:val="none"/>
          <w:lang w:val="en-US" w:eastAsia="zh-CN"/>
        </w:rPr>
        <w:t>附件3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val="en-US" w:eastAsia="zh-CN"/>
        </w:rPr>
        <w:t>医疗器械的专业或领域</w:t>
      </w:r>
      <w:bookmarkEnd w:id="0"/>
    </w:p>
    <w:p>
      <w:pPr>
        <w:autoSpaceDE/>
        <w:autoSpaceDN/>
        <w:snapToGrid/>
        <w:spacing w:line="440" w:lineRule="exact"/>
        <w:rPr>
          <w:rFonts w:hint="default" w:ascii="方正小标宋简体" w:hAnsi="Calibri" w:eastAsia="方正小标宋简体" w:cs="Times New Roman"/>
          <w:b w:val="0"/>
          <w:bCs w:val="0"/>
          <w:color w:val="000000"/>
          <w:sz w:val="44"/>
          <w:szCs w:val="24"/>
          <w:u w:val="none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1367"/>
        <w:gridCol w:w="6495"/>
        <w:gridCol w:w="880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50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  <w:t>专 业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  <w:t>研究方向及涉及领域（“——”号后为典型科目）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447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类 别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产品研发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技术审评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>临床研究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生产评估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检验检测  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1830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□有源设备类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电子仪器  □物理治疗设备  □麻醉和呼吸设备 □体外循环设备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□口腔设备  □消毒设备      □高频、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电磁场与微波技术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□光学和光学仪器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□超声设备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声学设备、听力仪器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□医用X设备及用具  □放射治疗、核医学和放射剂量学设备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162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□压力容器  □医学检验设备  □磁学  □热学、低温技术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162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□工程力学  □制造工艺      □测量学、统计学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162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□电气安全（GB9706） □软件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122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□医用材料类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□化学——□无机化学  □有机化学  □物理化学  □生物化学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ind w:firstLine="1050" w:firstLineChars="5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□分析化学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化学工程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□材料——□金属材料  □无机非金属材料  □高分子材料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生物材料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□光学材料  □纳米材料  □材料力学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□生物——□细胞生物学  □微生物  □动物学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生物力学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ind w:firstLine="1050" w:firstLineChars="5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□组织工程  □基因工程  □免疫学 □遗传学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□口腔科材料及器具      □眼科器具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□神经、心血管器具、血液处理材料及器具、注射输液器具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□外科植入物和矫形器械、外科器械、计划生育器械、敷料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□生物学试验及评价    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122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□体外诊断试剂类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□体液、血液  □微生物  □化学检验  □免疫、血清学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□细胞分子遗传学      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399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□药学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□药理  □毒理  □制剂  □中医药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976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□内科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□呼吸  □消化——□胃肠 □肝胆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□神经  □心血管  □血液  □肾病——□透析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162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□内分泌与代谢    □免疫、变态反应  □传染 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2480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□外科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□普外——□胃肠 □肝胆  □综合（请说明）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□神经外科—□神经系统外伤  □脊髓脊柱疾病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ind w:firstLine="126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□脑血管病和老年神外疾病  □脑瘤专业 □内窥镜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□骨科——□脊柱 □运动  □关节/关节镜、矫形  □骨肿瘤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ind w:firstLine="1050" w:firstLineChars="50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□小儿骨科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□创伤  □综合（请说明）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□泌尿——□综合（请说明）  □前列腺  □内窥镜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□胸外——□心血管  □介入  □内窥镜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□移植  □烧伤  □整形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847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□妇科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□妇科  □产科  □计划生育、优生、生殖健康与不孕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□妇女保健（青春期、围产期、更年期、心理卫生、营养）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1385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□儿科（内外）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□新生儿——□培养箱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□呼吸——□呼吸机 □重症监护  □支气管内窥镜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□消化——□胃肠 □肝胆 □内窥镜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□心血管  □肾病  □血液、传染病  □神经  □内分泌 免疫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53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□眼科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□角膜、屈光/视光学、准分子激光  □青光眼、激光  □白内障、晶状体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□视网膜、眼底、激光  □眼外伤、眼整形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432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21"/>
                <w:szCs w:val="21"/>
              </w:rPr>
              <w:t>□耳鼻喉科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□耳科  □鼻科   □咽喉科 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434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□口腔科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□口腔修复、正畸、整形  □内科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357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□皮肤科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□皮肤病  □性传播疾病  □整形、美容 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311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□肿瘤科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□肿瘤——□放疗  □热疗  □介入治疗 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907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□医学影像科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□X线诊断 □CT  □磁共振 □核医学  □超声诊断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 xml:space="preserve">□心电诊断  □脑电及脑血流图诊断   □神经肌肉电图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□眼科电生理  □介入放射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3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□辅助科室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□麻醉  □重症监护，护理  □理疗、康复医学、运动医学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□病理  □临床统计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398" w:hRule="atLeast"/>
          <w:jc w:val="center"/>
        </w:trPr>
        <w:tc>
          <w:tcPr>
            <w:tcW w:w="13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□血站</w:t>
            </w:r>
          </w:p>
        </w:tc>
        <w:tc>
          <w:tcPr>
            <w:tcW w:w="6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  <w:t>□采血  □血液处理  □其它（请说明）</w:t>
            </w:r>
          </w:p>
        </w:tc>
        <w:tc>
          <w:tcPr>
            <w:tcW w:w="8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beforeLines="25" w:after="79" w:afterLines="25" w:line="264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20487"/>
    <w:rsid w:val="7C52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0"/>
      </w:numPr>
      <w:spacing w:before="340" w:beforeLines="0" w:beforeAutospacing="0" w:after="330" w:afterLines="0" w:afterAutospacing="0" w:line="576" w:lineRule="auto"/>
      <w:outlineLvl w:val="0"/>
    </w:pPr>
    <w:rPr>
      <w:rFonts w:hint="eastAsia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公文标题"/>
    <w:basedOn w:val="1"/>
    <w:qFormat/>
    <w:uiPriority w:val="0"/>
    <w:pPr>
      <w:autoSpaceDE w:val="0"/>
      <w:autoSpaceDN w:val="0"/>
      <w:snapToGrid w:val="0"/>
      <w:jc w:val="center"/>
    </w:pPr>
    <w:rPr>
      <w:rFonts w:ascii="方正小标宋简体" w:hAnsi="Calibri" w:eastAsia="方正小标宋简体" w:cs="Times New Roman"/>
      <w:snapToGrid w:val="0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2023-04-26T08:51:00Z</dcterms:created>
  <dc:creator>叶菲</dc:creator>
  <cp:lastModifiedBy>叶菲</cp:lastModifiedBy>
  <dcterms:modified xsi:type="dcterms:W3CDTF">2023-04-26T08:52:12Z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