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06E43">
      <w:pPr>
        <w:spacing w:line="594" w:lineRule="exact"/>
        <w:rPr>
          <w:rFonts w:ascii="黑体" w:eastAsia="黑体" w:hAnsi="黑体" w:cs="黑体" w:hint="eastAsia"/>
          <w:sz w:val="32"/>
          <w:szCs w:val="32"/>
          <w:lang w:val="en"/>
        </w:rPr>
      </w:pPr>
      <w:r>
        <w:rPr>
          <w:rFonts w:ascii="黑体" w:eastAsia="黑体" w:hAnsi="黑体" w:cs="黑体" w:hint="eastAsia"/>
          <w:sz w:val="32"/>
          <w:szCs w:val="32"/>
        </w:rPr>
        <w:t>附件</w:t>
      </w:r>
      <w:r>
        <w:rPr>
          <w:rFonts w:ascii="黑体" w:eastAsia="黑体" w:hAnsi="黑体" w:cs="黑体" w:hint="eastAsia"/>
          <w:sz w:val="32"/>
          <w:szCs w:val="32"/>
          <w:lang w:val="en"/>
        </w:rPr>
        <w:t>3</w:t>
      </w:r>
    </w:p>
    <w:p w:rsidR="00000000" w:rsidRDefault="00006E43">
      <w:pPr>
        <w:spacing w:line="520" w:lineRule="exact"/>
        <w:rPr>
          <w:rFonts w:ascii="黑体" w:eastAsia="黑体" w:hAnsi="华文仿宋" w:hint="eastAsia"/>
          <w:sz w:val="32"/>
          <w:szCs w:val="32"/>
        </w:rPr>
      </w:pPr>
    </w:p>
    <w:p w:rsidR="00000000" w:rsidRDefault="00006E43">
      <w:pPr>
        <w:spacing w:line="520" w:lineRule="exact"/>
        <w:jc w:val="center"/>
        <w:rPr>
          <w:rFonts w:eastAsia="方正小标宋简体"/>
          <w:sz w:val="44"/>
          <w:szCs w:val="44"/>
        </w:rPr>
      </w:pPr>
      <w:r>
        <w:rPr>
          <w:rFonts w:eastAsia="方正小标宋简体" w:hint="eastAsia"/>
          <w:sz w:val="44"/>
          <w:szCs w:val="44"/>
        </w:rPr>
        <w:t>接骨七厘制剂</w:t>
      </w:r>
      <w:r>
        <w:rPr>
          <w:rFonts w:eastAsia="方正小标宋简体"/>
          <w:sz w:val="44"/>
          <w:szCs w:val="44"/>
        </w:rPr>
        <w:t>说明书修订</w:t>
      </w:r>
      <w:r>
        <w:rPr>
          <w:rFonts w:eastAsia="方正小标宋简体"/>
          <w:sz w:val="44"/>
          <w:szCs w:val="44"/>
        </w:rPr>
        <w:t>要求</w:t>
      </w:r>
    </w:p>
    <w:p w:rsidR="00000000" w:rsidRDefault="00006E43">
      <w:pPr>
        <w:spacing w:line="600" w:lineRule="exact"/>
        <w:rPr>
          <w:rFonts w:eastAsia="仿宋_GB2312"/>
          <w:sz w:val="32"/>
          <w:szCs w:val="32"/>
          <w:lang w:val="en"/>
        </w:rPr>
      </w:pPr>
    </w:p>
    <w:p w:rsidR="00000000" w:rsidRDefault="00006E43">
      <w:pPr>
        <w:spacing w:line="600" w:lineRule="exact"/>
        <w:ind w:firstLineChars="200" w:firstLine="640"/>
        <w:rPr>
          <w:rFonts w:eastAsia="黑体"/>
          <w:sz w:val="32"/>
          <w:szCs w:val="32"/>
        </w:rPr>
      </w:pPr>
      <w:r>
        <w:rPr>
          <w:rFonts w:eastAsia="黑体"/>
          <w:sz w:val="32"/>
          <w:szCs w:val="32"/>
        </w:rPr>
        <w:t>一、【不良反应】项应当</w:t>
      </w:r>
      <w:r>
        <w:rPr>
          <w:rFonts w:eastAsia="黑体" w:hint="eastAsia"/>
          <w:sz w:val="32"/>
          <w:szCs w:val="32"/>
        </w:rPr>
        <w:t>增加</w:t>
      </w:r>
      <w:r>
        <w:rPr>
          <w:rFonts w:eastAsia="黑体"/>
          <w:sz w:val="32"/>
          <w:szCs w:val="32"/>
        </w:rPr>
        <w:t>：</w:t>
      </w:r>
    </w:p>
    <w:p w:rsidR="00000000" w:rsidRDefault="00006E43">
      <w:pPr>
        <w:spacing w:line="600" w:lineRule="exact"/>
        <w:ind w:firstLineChars="200" w:firstLine="640"/>
        <w:rPr>
          <w:rFonts w:eastAsia="仿宋_GB2312"/>
          <w:sz w:val="32"/>
          <w:szCs w:val="32"/>
        </w:rPr>
      </w:pPr>
      <w:r>
        <w:rPr>
          <w:rFonts w:eastAsia="仿宋_GB2312" w:hint="eastAsia"/>
          <w:sz w:val="32"/>
          <w:szCs w:val="32"/>
        </w:rPr>
        <w:t>监测数据显示，本品可见以下不良反应：恶心、呕吐、腹胀、腹痛、腹泻、腹部不适、皮疹、瘙痒、头晕、胸闷、乏力、食欲减退、心悸、过敏反应等，有肝功能异常个例报告。</w:t>
      </w:r>
    </w:p>
    <w:p w:rsidR="00000000" w:rsidRDefault="00006E43">
      <w:pPr>
        <w:spacing w:line="600" w:lineRule="exact"/>
        <w:ind w:firstLineChars="200" w:firstLine="640"/>
        <w:rPr>
          <w:rFonts w:eastAsia="黑体"/>
          <w:sz w:val="32"/>
          <w:szCs w:val="32"/>
        </w:rPr>
      </w:pPr>
      <w:r>
        <w:rPr>
          <w:rFonts w:eastAsia="黑体"/>
          <w:sz w:val="32"/>
          <w:szCs w:val="32"/>
        </w:rPr>
        <w:t>二、【</w:t>
      </w:r>
      <w:r>
        <w:rPr>
          <w:rFonts w:eastAsia="黑体"/>
          <w:sz w:val="32"/>
          <w:szCs w:val="32"/>
        </w:rPr>
        <w:t>禁忌】项应当</w:t>
      </w:r>
      <w:r>
        <w:rPr>
          <w:rFonts w:eastAsia="黑体" w:hint="eastAsia"/>
          <w:sz w:val="32"/>
          <w:szCs w:val="32"/>
        </w:rPr>
        <w:t>增加</w:t>
      </w:r>
      <w:r>
        <w:rPr>
          <w:rFonts w:eastAsia="黑体"/>
          <w:sz w:val="32"/>
          <w:szCs w:val="32"/>
        </w:rPr>
        <w:t>：</w:t>
      </w:r>
    </w:p>
    <w:p w:rsidR="00000000" w:rsidRDefault="00006E43">
      <w:pPr>
        <w:spacing w:line="60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孕妇禁服。</w:t>
      </w:r>
    </w:p>
    <w:p w:rsidR="00000000" w:rsidRDefault="00006E43">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对本品及所含成份过敏者禁用</w:t>
      </w:r>
      <w:r>
        <w:rPr>
          <w:rFonts w:eastAsia="仿宋_GB2312"/>
          <w:sz w:val="32"/>
          <w:szCs w:val="32"/>
        </w:rPr>
        <w:t>。</w:t>
      </w:r>
    </w:p>
    <w:p w:rsidR="00000000" w:rsidRDefault="00006E43">
      <w:pPr>
        <w:spacing w:line="600" w:lineRule="exact"/>
        <w:ind w:firstLineChars="200" w:firstLine="640"/>
        <w:rPr>
          <w:rFonts w:eastAsia="黑体"/>
          <w:sz w:val="32"/>
          <w:szCs w:val="32"/>
        </w:rPr>
      </w:pPr>
      <w:r>
        <w:rPr>
          <w:rFonts w:eastAsia="黑体"/>
          <w:sz w:val="32"/>
          <w:szCs w:val="32"/>
        </w:rPr>
        <w:t>三、【注意事项】项应当</w:t>
      </w:r>
      <w:r>
        <w:rPr>
          <w:rFonts w:eastAsia="黑体" w:hint="eastAsia"/>
          <w:sz w:val="32"/>
          <w:szCs w:val="32"/>
        </w:rPr>
        <w:t>增加</w:t>
      </w:r>
      <w:r>
        <w:rPr>
          <w:rFonts w:eastAsia="黑体"/>
          <w:sz w:val="32"/>
          <w:szCs w:val="32"/>
        </w:rPr>
        <w:t>：</w:t>
      </w:r>
    </w:p>
    <w:p w:rsidR="00000000" w:rsidRDefault="00006E43">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过敏体质者慎用。</w:t>
      </w:r>
    </w:p>
    <w:p w:rsidR="00000000" w:rsidRDefault="00006E43">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脾胃虚弱者慎用。</w:t>
      </w:r>
    </w:p>
    <w:p w:rsidR="00000000" w:rsidRDefault="00006E43">
      <w:p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本品含大黄，月经期、哺乳期慎用。</w:t>
      </w:r>
    </w:p>
    <w:p w:rsidR="00000000" w:rsidRDefault="00006E43">
      <w:pPr>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本品不可过量、长期使用。</w:t>
      </w:r>
    </w:p>
    <w:p w:rsidR="00000000" w:rsidRDefault="00006E43">
      <w:pPr>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备孕妇女慎用，使用前请咨询医师。</w:t>
      </w:r>
    </w:p>
    <w:p w:rsidR="00000000" w:rsidRDefault="00006E43">
      <w:pPr>
        <w:spacing w:line="600" w:lineRule="exact"/>
        <w:ind w:firstLineChars="200" w:firstLine="640"/>
        <w:rPr>
          <w:rFonts w:eastAsia="仿宋_GB2312" w:hint="eastAsia"/>
          <w:sz w:val="32"/>
          <w:szCs w:val="32"/>
        </w:rPr>
      </w:pPr>
      <w:r>
        <w:rPr>
          <w:rFonts w:eastAsia="仿宋_GB2312" w:hint="eastAsia"/>
          <w:sz w:val="32"/>
          <w:szCs w:val="32"/>
        </w:rPr>
        <w:t>6.</w:t>
      </w:r>
      <w:r>
        <w:rPr>
          <w:rFonts w:eastAsia="仿宋_GB2312" w:hint="eastAsia"/>
          <w:sz w:val="32"/>
          <w:szCs w:val="32"/>
        </w:rPr>
        <w:t>儿童、老年患者慎用或加强监测。</w:t>
      </w:r>
    </w:p>
    <w:p w:rsidR="00000000" w:rsidRDefault="00006E43">
      <w:pPr>
        <w:spacing w:line="600" w:lineRule="exact"/>
        <w:ind w:firstLineChars="200" w:firstLine="640"/>
        <w:rPr>
          <w:rFonts w:eastAsia="仿宋_GB2312" w:hint="eastAsia"/>
          <w:sz w:val="32"/>
          <w:szCs w:val="32"/>
        </w:rPr>
      </w:pPr>
      <w:r>
        <w:rPr>
          <w:rFonts w:eastAsia="仿宋_GB2312" w:hint="eastAsia"/>
          <w:sz w:val="32"/>
          <w:szCs w:val="32"/>
        </w:rPr>
        <w:t>7.</w:t>
      </w:r>
      <w:r>
        <w:rPr>
          <w:rFonts w:eastAsia="仿宋_GB2312" w:hint="eastAsia"/>
          <w:sz w:val="32"/>
          <w:szCs w:val="32"/>
        </w:rPr>
        <w:t>饭后使用，以减少消化道刺激。</w:t>
      </w:r>
    </w:p>
    <w:p w:rsidR="00000000" w:rsidRDefault="00006E43">
      <w:pPr>
        <w:spacing w:line="600" w:lineRule="exact"/>
        <w:ind w:firstLineChars="200" w:firstLine="640"/>
        <w:rPr>
          <w:rFonts w:eastAsia="仿宋_GB2312" w:hint="eastAsia"/>
          <w:sz w:val="32"/>
          <w:szCs w:val="32"/>
        </w:rPr>
      </w:pPr>
      <w:r>
        <w:rPr>
          <w:rFonts w:eastAsia="仿宋_GB2312" w:hint="eastAsia"/>
          <w:sz w:val="32"/>
          <w:szCs w:val="32"/>
        </w:rPr>
        <w:t>8.</w:t>
      </w:r>
      <w:r>
        <w:rPr>
          <w:rFonts w:eastAsia="仿宋_GB2312" w:hint="eastAsia"/>
          <w:sz w:val="32"/>
          <w:szCs w:val="32"/>
        </w:rPr>
        <w:t>上市后临床使用过程中观察到肝功能不全者使用本品后出现肝损害加重的个案，肝功能不全者慎用。用药期间加强监测，如果出现全身乏力、食欲不振、恶心、上腹胀痛、尿黄、目黄、</w:t>
      </w:r>
      <w:r>
        <w:rPr>
          <w:rFonts w:eastAsia="仿宋_GB2312" w:hint="eastAsia"/>
          <w:sz w:val="32"/>
          <w:szCs w:val="32"/>
        </w:rPr>
        <w:lastRenderedPageBreak/>
        <w:t>皮肤黄染等可能与肝损伤有关</w:t>
      </w:r>
      <w:r>
        <w:rPr>
          <w:rFonts w:eastAsia="仿宋_GB2312" w:hint="eastAsia"/>
          <w:sz w:val="32"/>
          <w:szCs w:val="32"/>
        </w:rPr>
        <w:t>的临床表现时，应当停药并到医院就诊。</w:t>
      </w:r>
    </w:p>
    <w:p w:rsidR="00006E43" w:rsidRDefault="00006E43" w:rsidP="00223A5F">
      <w:pPr>
        <w:spacing w:line="600"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不宜在服用本品期间同时服用含有相同药物组成的中药。</w:t>
      </w:r>
      <w:bookmarkStart w:id="0" w:name="_GoBack"/>
      <w:bookmarkEnd w:id="0"/>
    </w:p>
    <w:sectPr w:rsidR="00006E43">
      <w:footerReference w:type="even" r:id="rId6"/>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43" w:rsidRDefault="00006E43">
      <w:r>
        <w:separator/>
      </w:r>
    </w:p>
  </w:endnote>
  <w:endnote w:type="continuationSeparator" w:id="0">
    <w:p w:rsidR="00006E43" w:rsidRDefault="0000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0556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06E43">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w:instrText>
                          </w:r>
                          <w:r>
                            <w:rPr>
                              <w:sz w:val="28"/>
                              <w:szCs w:val="28"/>
                            </w:rPr>
                            <w:instrText xml:space="preserve">T </w:instrText>
                          </w:r>
                          <w:r>
                            <w:rPr>
                              <w:sz w:val="28"/>
                              <w:szCs w:val="28"/>
                            </w:rPr>
                            <w:fldChar w:fldCharType="separate"/>
                          </w:r>
                          <w:r w:rsidR="00223A5F">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502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HlfnTa/AgAA&#10;tAUAAA4AAAAAAAAAAAAAAAAALgIAAGRycy9lMm9Eb2MueG1sUEsBAi0AFAAGAAgAAAAhAAxK8O7W&#10;AAAABQEAAA8AAAAAAAAAAAAAAAAAGQUAAGRycy9kb3ducmV2LnhtbFBLBQYAAAAABAAEAPMAAAAc&#10;BgAAAAA=&#10;" filled="f" stroked="f">
              <v:textbox style="mso-fit-shape-to-text:t" inset="0,0,0,0">
                <w:txbxContent>
                  <w:p w:rsidR="00000000" w:rsidRDefault="00006E43">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w:instrText>
                    </w:r>
                    <w:r>
                      <w:rPr>
                        <w:sz w:val="28"/>
                        <w:szCs w:val="28"/>
                      </w:rPr>
                      <w:instrText xml:space="preserve">T </w:instrText>
                    </w:r>
                    <w:r>
                      <w:rPr>
                        <w:sz w:val="28"/>
                        <w:szCs w:val="28"/>
                      </w:rPr>
                      <w:fldChar w:fldCharType="separate"/>
                    </w:r>
                    <w:r w:rsidR="00223A5F">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05560">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3810" t="0" r="0" b="254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06E43">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23A5F">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w3z&#10;k8ECAAC5BQAADgAAAAAAAAAAAAAAAAAuAgAAZHJzL2Uyb0RvYy54bWxQSwECLQAUAAYACAAAACEA&#10;ktqrgdkAAAAEAQAADwAAAAAAAAAAAAAAAAAbBQAAZHJzL2Rvd25yZXYueG1sUEsFBgAAAAAEAAQA&#10;8wAAACEGAAAAAA==&#10;" filled="f" stroked="f">
              <v:textbox style="mso-fit-shape-to-text:t" inset="0,0,0,0">
                <w:txbxContent>
                  <w:p w:rsidR="00000000" w:rsidRDefault="00006E43">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23A5F">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43" w:rsidRDefault="00006E43">
      <w:r>
        <w:separator/>
      </w:r>
    </w:p>
  </w:footnote>
  <w:footnote w:type="continuationSeparator" w:id="0">
    <w:p w:rsidR="00006E43" w:rsidRDefault="00006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CAE2914C"/>
    <w:rsid w:val="00006E43"/>
    <w:rsid w:val="00223A5F"/>
    <w:rsid w:val="00905560"/>
    <w:rsid w:val="00936CAA"/>
    <w:rsid w:val="0097606D"/>
    <w:rsid w:val="009A1621"/>
    <w:rsid w:val="74FD88DC"/>
    <w:rsid w:val="78A24A62"/>
    <w:rsid w:val="CAE29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FD4B19-0E9B-422C-96A1-809D996D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xuwh</dc:creator>
  <cp:keywords/>
  <cp:lastModifiedBy>pc</cp:lastModifiedBy>
  <cp:revision>2</cp:revision>
  <dcterms:created xsi:type="dcterms:W3CDTF">2023-04-13T08:14:00Z</dcterms:created>
  <dcterms:modified xsi:type="dcterms:W3CDTF">2023-04-13T08:14:00Z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