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67" w:rsidRDefault="00E70A67" w:rsidP="008C25EF">
      <w:pPr>
        <w:widowControl/>
        <w:spacing w:line="600" w:lineRule="exact"/>
        <w:jc w:val="left"/>
        <w:rPr>
          <w:rFonts w:ascii="黑体" w:eastAsia="黑体" w:hAnsi="黑体" w:cs="黑体"/>
          <w:szCs w:val="32"/>
        </w:rPr>
      </w:pPr>
      <w:bookmarkStart w:id="0" w:name="_Toc515605632"/>
      <w:r>
        <w:rPr>
          <w:rFonts w:ascii="黑体" w:eastAsia="黑体" w:hAnsi="黑体" w:cs="黑体" w:hint="eastAsia"/>
          <w:szCs w:val="32"/>
        </w:rPr>
        <w:t xml:space="preserve">附件3 </w:t>
      </w:r>
    </w:p>
    <w:p w:rsidR="008C25EF" w:rsidRPr="008C25EF" w:rsidRDefault="008C25EF" w:rsidP="008C25EF">
      <w:pPr>
        <w:pStyle w:val="a2"/>
        <w:spacing w:line="600" w:lineRule="exact"/>
      </w:pPr>
    </w:p>
    <w:p w:rsidR="00E70A67" w:rsidRDefault="00E70A67" w:rsidP="008C25EF">
      <w:pPr>
        <w:pStyle w:val="1"/>
        <w:keepNext w:val="0"/>
        <w:keepLines w:val="0"/>
        <w:adjustRightInd w:val="0"/>
        <w:snapToGrid w:val="0"/>
        <w:spacing w:before="0" w:after="0" w:line="600" w:lineRule="exact"/>
        <w:jc w:val="center"/>
        <w:rPr>
          <w:rFonts w:ascii="宋体" w:eastAsia="宋体" w:hAnsi="宋体" w:cs="宋体"/>
          <w:sz w:val="44"/>
        </w:rPr>
      </w:pPr>
      <w:r>
        <w:rPr>
          <w:rFonts w:ascii="宋体" w:eastAsia="宋体" w:hAnsi="宋体" w:cs="宋体" w:hint="eastAsia"/>
          <w:sz w:val="44"/>
        </w:rPr>
        <w:t>静脉用药集中调配技术操作规范</w:t>
      </w:r>
      <w:bookmarkStart w:id="1" w:name="_Toc515605633"/>
      <w:bookmarkEnd w:id="0"/>
    </w:p>
    <w:p w:rsidR="008C25EF" w:rsidRPr="008C25EF" w:rsidRDefault="008C25EF" w:rsidP="008C25EF">
      <w:pPr>
        <w:spacing w:line="600" w:lineRule="exact"/>
      </w:pPr>
    </w:p>
    <w:p w:rsidR="00E70A67" w:rsidRDefault="00E70A67" w:rsidP="008C25EF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7"/>
          <w:rFonts w:ascii="黑体" w:eastAsia="黑体" w:hAnsi="黑体" w:cs="Times New Roman"/>
          <w:b w:val="0"/>
          <w:sz w:val="32"/>
          <w:szCs w:val="32"/>
        </w:rPr>
      </w:pPr>
      <w:r>
        <w:rPr>
          <w:rStyle w:val="a7"/>
          <w:rFonts w:ascii="黑体" w:eastAsia="黑体" w:hAnsi="黑体" w:cs="Times New Roman"/>
          <w:sz w:val="32"/>
          <w:szCs w:val="32"/>
        </w:rPr>
        <w:t>一、静脉用药集中调配工作流程</w:t>
      </w:r>
      <w:bookmarkEnd w:id="1"/>
      <w:r>
        <w:rPr>
          <w:rStyle w:val="a7"/>
          <w:rFonts w:ascii="黑体" w:eastAsia="黑体" w:hAnsi="黑体" w:cs="Times New Roman"/>
          <w:sz w:val="32"/>
          <w:szCs w:val="32"/>
        </w:rPr>
        <w:t xml:space="preserve"> </w:t>
      </w:r>
    </w:p>
    <w:p w:rsidR="00E70A67" w:rsidRDefault="00E70A67" w:rsidP="008C25EF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药师接收医师开具静脉用药医嘱信息→对用药医嘱进行适宜性审核→打印输液标签→摆药贴签核对→加药混合调配→成品输液核查与包装→发放运送→病区核对签收。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7"/>
          <w:rFonts w:ascii="黑体" w:eastAsia="黑体" w:hAnsi="黑体" w:cs="Times New Roman"/>
          <w:b w:val="0"/>
          <w:sz w:val="32"/>
          <w:szCs w:val="32"/>
        </w:rPr>
      </w:pPr>
      <w:bookmarkStart w:id="2" w:name="_Toc515605634"/>
      <w:r>
        <w:rPr>
          <w:rStyle w:val="a7"/>
          <w:rFonts w:ascii="黑体" w:eastAsia="黑体" w:hAnsi="黑体" w:cs="Times New Roman"/>
          <w:sz w:val="32"/>
          <w:szCs w:val="32"/>
        </w:rPr>
        <w:t>二、静脉用药集中调配操作规程</w:t>
      </w:r>
      <w:bookmarkEnd w:id="2"/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（一）审核用药医嘱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1.按照《药品管理法》《医疗机构处方审核规范》有关规定执行。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2.审核静脉用药医嘱注意事项。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（1）评估静脉输液给药方法的必要性与合理性。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 w:rsidRPr="004C54F7">
        <w:rPr>
          <w:rFonts w:ascii="仿宋_GB2312" w:hAnsi="仿宋_GB2312" w:cs="仿宋_GB2312" w:hint="eastAsia"/>
          <w:sz w:val="32"/>
          <w:szCs w:val="32"/>
        </w:rPr>
        <w:t>（2）与医师紧密协作，遵循药品临床应用指导原则、临床诊疗指南和药品说明书等，对静脉用药医嘱的适宜性进行审核，特别是抗肿瘤药物静脉输液中拓展性临床使用的必要性与适宜性。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（3）审核静脉用药医嘱的合理性、相容性和稳定性；溶媒的选择与基础输液用量的适宜性。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（二）打印输液标签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1.用药医嘱经审核合格后，方可打印生成输液标签。标签由电子信息系统自动编号，包括患者基本信息、用药信息</w:t>
      </w:r>
      <w:r>
        <w:rPr>
          <w:rFonts w:ascii="仿宋_GB2312" w:hAnsi="仿宋_GB2312" w:cs="仿宋_GB2312" w:hint="eastAsia"/>
          <w:sz w:val="32"/>
          <w:szCs w:val="32"/>
        </w:rPr>
        <w:lastRenderedPageBreak/>
        <w:t>及各岗位操作的药学专业人员信息。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2.输液标签基本信息应与药师审核确认的用药医嘱信息相一致，有纸质或电子备份，并保存1年备查。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3.对临床用药有特殊交待或注意事项的，应在输液标签上做提示性注解或标识，如须做过敏性试验药品、高警示药品，在输注时方可加入的药品；对成品输液的滴速</w:t>
      </w:r>
      <w:bookmarkStart w:id="3" w:name="_Hlk524802582"/>
      <w:r>
        <w:rPr>
          <w:rFonts w:ascii="仿宋_GB2312" w:hAnsi="仿宋_GB2312" w:cs="仿宋_GB2312" w:hint="eastAsia"/>
          <w:sz w:val="32"/>
          <w:szCs w:val="32"/>
        </w:rPr>
        <w:t>、</w:t>
      </w:r>
      <w:bookmarkEnd w:id="3"/>
      <w:r>
        <w:rPr>
          <w:rFonts w:ascii="仿宋_GB2312" w:hAnsi="仿宋_GB2312" w:cs="仿宋_GB2312" w:hint="eastAsia"/>
          <w:sz w:val="32"/>
          <w:szCs w:val="32"/>
        </w:rPr>
        <w:t>避光、冷藏有特殊要求或需用药监护的药品等。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4.对非整支</w:t>
      </w:r>
      <w:r w:rsidRPr="0065798E">
        <w:rPr>
          <w:rFonts w:ascii="仿宋_GB2312" w:hAnsi="仿宋_GB2312" w:cs="仿宋_GB2312" w:hint="eastAsia"/>
          <w:sz w:val="32"/>
          <w:szCs w:val="32"/>
        </w:rPr>
        <w:t>（瓶）</w:t>
      </w:r>
      <w:r>
        <w:rPr>
          <w:rFonts w:ascii="仿宋_GB2312" w:hAnsi="仿宋_GB2312" w:cs="仿宋_GB2312" w:hint="eastAsia"/>
          <w:sz w:val="32"/>
          <w:szCs w:val="32"/>
        </w:rPr>
        <w:t>用药医嘱，应在输液标签上注明实际抽取药量等，以供核查。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（三）摆药贴签核对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1.未经审核而打印的输液标签，不得摆药贴签。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2.实行双人摆药贴签核对制度，共同对摆药贴签负责。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3.摆药贴签核对时，操作人员应仔细阅读、核查输液标签是否准确、完整，如有错误或不全，应告知审核药师校对纠正。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4.摆药贴签核对时，操作人员应核查药品名称、规格、剂量等是否与标签内容一致，同时应检查药品质量、包装有无破损及在药品有效期内等，并签名或者盖章。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5.摆药贴签核对结束后，应立即清场、清洁。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6.按药品性质或病区进行分类，传递至相对应的调配操作间。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7.摆药贴签核对注意事项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（1）标签不得覆盖基础输液药品名称、规格、批号和</w:t>
      </w:r>
      <w:r>
        <w:rPr>
          <w:rFonts w:ascii="仿宋_GB2312" w:hAnsi="仿宋_GB2312" w:cs="仿宋_GB2312" w:hint="eastAsia"/>
          <w:sz w:val="32"/>
          <w:szCs w:val="32"/>
        </w:rPr>
        <w:lastRenderedPageBreak/>
        <w:t>有效期等信息，以便核查。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（2）按先进先用、近期先用的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原则摆发药品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（3）高警示药品应设固定区域放置、并有明显警示标识。冷藏药品应放置于冷藏柜。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（4）从传递窗（门）送入洁净区的药品和物品表面应保持清洁。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（5）按规定做好破损药品的登记、报损工作。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（四）加药混合调配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1.调配操作前准备工作。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（1）在调配操作前30分钟，按操作规程启动调配操作间</w:t>
      </w:r>
      <w:bookmarkStart w:id="4" w:name="OLE_LINK2"/>
      <w:bookmarkStart w:id="5" w:name="OLE_LINK1"/>
      <w:r>
        <w:rPr>
          <w:rFonts w:ascii="仿宋_GB2312" w:hAnsi="仿宋_GB2312" w:cs="仿宋_GB2312" w:hint="eastAsia"/>
          <w:sz w:val="32"/>
          <w:szCs w:val="32"/>
        </w:rPr>
        <w:t>净化系统</w:t>
      </w:r>
      <w:bookmarkEnd w:id="4"/>
      <w:bookmarkEnd w:id="5"/>
      <w:r>
        <w:rPr>
          <w:rFonts w:ascii="仿宋_GB2312" w:hAnsi="仿宋_GB2312" w:cs="仿宋_GB2312" w:hint="eastAsia"/>
          <w:sz w:val="32"/>
          <w:szCs w:val="32"/>
        </w:rPr>
        <w:t>以及水平层流洁净台和生物安全柜，并确认其处于正常工作状态。</w:t>
      </w:r>
    </w:p>
    <w:p w:rsidR="00E70A67" w:rsidRDefault="00E70A67" w:rsidP="001E019D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（2）个人防护用品。洁净区专用鞋、洁净隔离服、一次性口罩与帽子、无粉灭菌乳胶（丁基）手套等。危害药品调配</w:t>
      </w:r>
      <w:r w:rsidR="001E019D">
        <w:rPr>
          <w:rFonts w:ascii="仿宋_GB2312" w:hAnsi="仿宋_GB2312" w:cs="仿宋_GB2312" w:hint="eastAsia"/>
          <w:sz w:val="32"/>
          <w:szCs w:val="32"/>
        </w:rPr>
        <w:t>的个人防护用品要求</w:t>
      </w:r>
      <w:r>
        <w:rPr>
          <w:rFonts w:ascii="仿宋_GB2312" w:hAnsi="仿宋_GB2312" w:cs="仿宋_GB2312" w:hint="eastAsia"/>
          <w:sz w:val="32"/>
          <w:szCs w:val="32"/>
        </w:rPr>
        <w:t>参照附件3.1执行。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药品、物品物料准备。按照操作规程洗手更衣，进入调配操作间，将摆放药品的推车放在水平层流洁净台或生物安全柜附近指定位置，并准备调配使用的一次性物品物料：注射器、75%乙醇、碘伏、无纺布、利器盒、医疗废弃袋和生活垃圾袋、砂轮、笔等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（4）水平层流洁净台和生物安全柜消毒。用蘸有75%乙醇的无纺布，从上到下、从内到外擦拭各个部位。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2.混合调配操作。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lastRenderedPageBreak/>
        <w:t xml:space="preserve">（1）调配操作前校对：操作人员应按输液标签，核对药品名称、规格、数量、有效期和药品外观完好性等，无误后进行加药混合调配。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（2）选用适宜的一次性注射器，检查并拆除外包装，旋转针头连接注射器并固定，确保针尖斜面与注射器刻度处于不同侧面。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（3）将药品放置于洁净工作台操作区域，用75%乙醇或碘伏消毒基础输液袋（瓶）加药处、药品安瓿瓶颈或西林瓶胶塞等。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①调配注射液，应在洁净工作台侧壁打开安瓿，避免朝向人或高效过滤器方向，以防药液喷溅到人或高效过滤器上，用注射器抽取所需药液量，注入基础输液袋（瓶）内轻轻摇匀；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②调配粉针剂，用注射器抽取适量溶媒注入西林瓶内，轻轻摇动或置于振荡器上助溶，待完全溶解后，抽出所需药液量，注入基础输液袋（瓶）内轻轻摇匀。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（4）</w:t>
      </w:r>
      <w:bookmarkStart w:id="6" w:name="_Hlk525031122"/>
      <w:r>
        <w:rPr>
          <w:rFonts w:ascii="仿宋_GB2312" w:hAnsi="仿宋_GB2312" w:cs="仿宋_GB2312" w:hint="eastAsia"/>
          <w:sz w:val="32"/>
          <w:szCs w:val="32"/>
        </w:rPr>
        <w:t>危害药品</w:t>
      </w:r>
      <w:bookmarkEnd w:id="6"/>
      <w:r>
        <w:rPr>
          <w:rFonts w:ascii="仿宋_GB2312" w:hAnsi="仿宋_GB2312" w:cs="仿宋_GB2312" w:hint="eastAsia"/>
          <w:sz w:val="32"/>
          <w:szCs w:val="32"/>
        </w:rPr>
        <w:t>加药混合调配，应执行本《静脉用药集中调配技术操作规范》及附件3.1操作规定。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（5）肠外营养液加药混合调配，应执行本《静脉用药集中调配技术操作规范》及附件3.2操作规定。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3.调配操作结束后。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（1）应再次按输液标签核对药品名称、规格、有效期，以及注意事项的提示性注解或标识等，并应核查抽取药液的</w:t>
      </w:r>
      <w:r>
        <w:rPr>
          <w:rFonts w:ascii="仿宋_GB2312" w:hAnsi="仿宋_GB2312" w:cs="仿宋_GB2312" w:hint="eastAsia"/>
          <w:sz w:val="32"/>
          <w:szCs w:val="32"/>
        </w:rPr>
        <w:lastRenderedPageBreak/>
        <w:t>用量，已调配好的成品输液是否有絮状物、微粒等，无误后在输液标签上签名或盖章。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（2）将调配好的成品输液以及空安瓿或西林瓶传送至成品输液核查区，进入成品输液</w:t>
      </w:r>
      <w:bookmarkStart w:id="7" w:name="_Hlk525823253"/>
      <w:r>
        <w:rPr>
          <w:rFonts w:ascii="仿宋_GB2312" w:hAnsi="仿宋_GB2312" w:cs="仿宋_GB2312" w:hint="eastAsia"/>
          <w:sz w:val="32"/>
          <w:szCs w:val="32"/>
        </w:rPr>
        <w:t>核查包装程序。</w:t>
      </w:r>
      <w:bookmarkEnd w:id="7"/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危害药品成品输液应在调配操作间内按操作规程完成核查程序。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（3）每日调配结束后，应立即全面清场，物品归回原位，清除废物，按清洁、消毒操作规程进行全面的清洁、消毒，并做好记录与交接班工作。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（4）按照更衣操作流程出调配操作间。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4.注意事项。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（1）每个洁净工作台配备两人为一组进行加药混合调配，便于双人核对；不得进行交叉调配操作，即在同一操作台面上，同时进行两组或两组以上药品混合调配操作。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（2）严格执行无菌操作规程，按照规范要求洗手，无菌手套不能代替洗手过程。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（3）混合调配操作时，非整支（瓶）用量，应在输液标签上有明确标注其实际用量，以便校对。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（4）肠外营养液、危害药品、高警示药品和某些特殊药品混合调配非整</w:t>
      </w:r>
      <w:bookmarkStart w:id="8" w:name="_Hlk513887553"/>
      <w:r>
        <w:rPr>
          <w:rFonts w:ascii="仿宋_GB2312" w:hAnsi="仿宋_GB2312" w:cs="仿宋_GB2312" w:hint="eastAsia"/>
          <w:sz w:val="32"/>
          <w:szCs w:val="32"/>
        </w:rPr>
        <w:t>支（瓶）</w:t>
      </w:r>
      <w:bookmarkEnd w:id="8"/>
      <w:r>
        <w:rPr>
          <w:rFonts w:ascii="仿宋_GB2312" w:hAnsi="仿宋_GB2312" w:cs="仿宋_GB2312" w:hint="eastAsia"/>
          <w:sz w:val="32"/>
          <w:szCs w:val="32"/>
        </w:rPr>
        <w:t>用药量计算时，应当实行现场双人核对与签名。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（5）操作台中物品摆放应规范、合理，避免跨越无菌区域。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lastRenderedPageBreak/>
        <w:t>①水平层流洁净台大件物品放置相距不小于15cm，小件物品相距不少于5cm，距离台面边缘不少于15cm，物品摆放不得阻挡洁净层流，距离洁净台后壁不少于8cm；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②生物安全柜内所有操作，应在离工作台外沿20cm，内沿8～10cm并离台面10～15cm区域内进行，药品或物品不得阻挡生物安全柜散流孔，操作前将防护玻璃下拉至指定位置。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（6）调配操作以及清洁、消毒过程，应防止任何药液溅入高效过滤器，以免损坏器件或引起微生物滋生。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（7）每完成一组（批）混合调配操作后，应立即清场，用蘸有75%乙醇的无纺布擦拭台面，不得留有与下一批调配无关的药品、余液、用过的注射器和其他物品。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（8）混合调配抽吸药液时，抽液量不得超过注射器容量的四分之三，防止针筒脱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栓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（9）混合调配操作时使用的物品、药品有污染或疑似污染时，应当立即更换。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10）多种药品混合调配操作过程中，应当根据临床需求和各药品的理化性质，评估确定多种药品混合配伍的安全性，并决定调配流程与加药顺序。如果输液出现异常或对药品配伍、操作程序有疑点时，应停止调配，报告当班药师，确认无误后方可重新调配并记录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（五）成品输液核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查</w:t>
      </w:r>
      <w:r>
        <w:rPr>
          <w:rFonts w:ascii="Times New Roman" w:eastAsia="楷体_GB2312" w:hAnsi="Times New Roman" w:cs="Times New Roman"/>
          <w:kern w:val="2"/>
          <w:sz w:val="32"/>
          <w:szCs w:val="32"/>
        </w:rPr>
        <w:t>与包装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1.成品输液核查。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lastRenderedPageBreak/>
        <w:t>（1）检查成品输液袋（瓶）外观是否整洁，轻轻挤压，观察输液袋有无破损或渗漏，尤其是加药及接缝处。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（2）检查成品输液外观有无变色、浑浊、沉淀、结晶或其他可见异物等；肠外营养液还应检查有无油滴析出、分层等。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（3）按输液标签内容，逐项核对药品与标签是否一致，再次检查药品配伍的合理性以及用药剂量的适宜性。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（4）检查抽取药液量准确性和西林瓶与安瓿药液残留量，核查非整支（瓶）药品的用量与标签是否相符。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（5）检查输液标签完整性，信息是否完整、正确，各岗位操作人员签名是否齐全、规范，确认无误后，核查药师应签名或盖章。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（6）检查核对完成后，废物按规定分类进行处理。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2.成品输液包装。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（1）将合格的成品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输液按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病区、批次、药品类别进行分类包装。遮光药品应进行遮光处理，外包装上应当有醒目标识；危害药品不得与其他成品输液混合包装；肠外营养液应单独包装。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（2）核查各病区、批次和成品输液数量，确认无误后，将包装好的成品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输液按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病区放置于转运箱内，上锁或加封条，填写成品输液发送信息并签名。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（六）成品输液发放与运送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1.发放成品输液药学人员应与运送工勤人员交接运送</w:t>
      </w:r>
      <w:r>
        <w:rPr>
          <w:rFonts w:ascii="仿宋_GB2312" w:hAnsi="仿宋_GB2312" w:cs="仿宋_GB2312" w:hint="eastAsia"/>
          <w:sz w:val="32"/>
          <w:szCs w:val="32"/>
        </w:rPr>
        <w:lastRenderedPageBreak/>
        <w:t>任务，按规定时间准时送至各病区。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2.成品输液送至各病区后，运送工勤人员与护士当面交接成品输液，共同清点数目，双方签名、并记录。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3.运送工勤人员返回后，运送过程中发生的问题应及时向发药人员反馈并记录。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4.运送工作结束后，清点转运工具，清洁、消毒成品输液转运箱、转运车。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5.危害药品成品输液运送过程中须配备溢出处理包。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7"/>
          <w:rFonts w:ascii="黑体" w:eastAsia="黑体" w:hAnsi="黑体" w:cs="Times New Roman"/>
          <w:b w:val="0"/>
          <w:sz w:val="32"/>
          <w:szCs w:val="32"/>
        </w:rPr>
      </w:pPr>
      <w:bookmarkStart w:id="9" w:name="_Toc515605635"/>
      <w:r w:rsidRPr="00FB2892">
        <w:rPr>
          <w:rStyle w:val="a7"/>
          <w:rFonts w:ascii="黑体" w:eastAsia="黑体" w:hAnsi="黑体" w:cs="Times New Roman"/>
          <w:sz w:val="32"/>
          <w:szCs w:val="32"/>
        </w:rPr>
        <w:t>三、应急预案管理与处置操作规程</w:t>
      </w:r>
      <w:bookmarkEnd w:id="9"/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（一）基本要点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静配中心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应建立相关应急预案，包括危害药品溢出，水、电、信息系统与洁净设备等</w:t>
      </w:r>
      <w:r w:rsidR="003F7D8D">
        <w:rPr>
          <w:rFonts w:ascii="仿宋_GB2312" w:hAnsi="仿宋_GB2312" w:cs="仿宋_GB2312" w:hint="eastAsia"/>
          <w:sz w:val="32"/>
          <w:szCs w:val="32"/>
        </w:rPr>
        <w:t>故障</w:t>
      </w:r>
      <w:r>
        <w:rPr>
          <w:rFonts w:ascii="仿宋_GB2312" w:hAnsi="仿宋_GB2312" w:cs="仿宋_GB2312" w:hint="eastAsia"/>
          <w:sz w:val="32"/>
          <w:szCs w:val="32"/>
        </w:rPr>
        <w:t>及火灾等。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静配中心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应配备与处置各项应急意外事件相匹配的相关物品、工具设备。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3.全体人员应按照各项应急预案进行培训和模拟演练，熟练掌握相关应急预案处置流程和处理措施，确保各项预案的可行性。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4.对发生的意外事件应查明原因，汲取教训，制定改进措施，并做好记录。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（二）危害药品溢出应急预案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</w:t>
      </w:r>
      <w:bookmarkStart w:id="10" w:name="OLE_LINK13"/>
      <w:bookmarkStart w:id="11" w:name="OLE_LINK11"/>
      <w:bookmarkStart w:id="12" w:name="OLE_LINK12"/>
      <w:r>
        <w:rPr>
          <w:rFonts w:ascii="仿宋_GB2312" w:hAnsi="仿宋_GB2312" w:cs="仿宋_GB2312" w:hint="eastAsia"/>
          <w:sz w:val="32"/>
          <w:szCs w:val="32"/>
        </w:rPr>
        <w:t>危害药品溢出</w:t>
      </w:r>
      <w:bookmarkEnd w:id="10"/>
      <w:bookmarkEnd w:id="11"/>
      <w:bookmarkEnd w:id="12"/>
      <w:r>
        <w:rPr>
          <w:rFonts w:ascii="仿宋_GB2312" w:hAnsi="仿宋_GB2312" w:cs="仿宋_GB2312" w:hint="eastAsia"/>
          <w:sz w:val="32"/>
          <w:szCs w:val="32"/>
        </w:rPr>
        <w:t>，一般可分为注射用药液或粉末溢出。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静配中心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应配备溢出处理包，由专人负责、定期检查维护</w:t>
      </w:r>
      <w:bookmarkStart w:id="13" w:name="_Hlk524895741"/>
      <w:r>
        <w:rPr>
          <w:rFonts w:ascii="仿宋_GB2312" w:hAnsi="仿宋_GB2312" w:cs="仿宋_GB2312" w:hint="eastAsia"/>
          <w:sz w:val="32"/>
          <w:szCs w:val="32"/>
        </w:rPr>
        <w:t>、</w:t>
      </w:r>
      <w:bookmarkEnd w:id="13"/>
      <w:r>
        <w:rPr>
          <w:rFonts w:ascii="仿宋_GB2312" w:hAnsi="仿宋_GB2312" w:cs="仿宋_GB2312" w:hint="eastAsia"/>
          <w:sz w:val="32"/>
          <w:szCs w:val="32"/>
        </w:rPr>
        <w:t>便于随时取用。溢出处理包应备有纱布、无纺布、吸</w:t>
      </w:r>
      <w:r>
        <w:rPr>
          <w:rFonts w:ascii="仿宋_GB2312" w:hAnsi="仿宋_GB2312" w:cs="仿宋_GB2312" w:hint="eastAsia"/>
          <w:sz w:val="32"/>
          <w:szCs w:val="32"/>
        </w:rPr>
        <w:lastRenderedPageBreak/>
        <w:t>水纸巾、海绵</w:t>
      </w:r>
      <w:r w:rsidR="00FB2892">
        <w:rPr>
          <w:rFonts w:ascii="仿宋_GB2312" w:hAnsi="仿宋_GB2312" w:cs="仿宋_GB2312" w:hint="eastAsia"/>
          <w:sz w:val="32"/>
          <w:szCs w:val="32"/>
        </w:rPr>
        <w:t>、</w:t>
      </w:r>
      <w:r>
        <w:rPr>
          <w:rFonts w:ascii="仿宋_GB2312" w:hAnsi="仿宋_GB2312" w:cs="仿宋_GB2312" w:hint="eastAsia"/>
          <w:sz w:val="32"/>
          <w:szCs w:val="32"/>
        </w:rPr>
        <w:t>一次性防护服、工作鞋、手套、一次性口罩</w:t>
      </w:r>
      <w:r w:rsidR="00FB2892">
        <w:rPr>
          <w:rFonts w:ascii="仿宋_GB2312" w:hAnsi="仿宋_GB2312" w:cs="仿宋_GB2312" w:hint="eastAsia"/>
          <w:sz w:val="32"/>
          <w:szCs w:val="32"/>
        </w:rPr>
        <w:t>、</w:t>
      </w:r>
      <w:r>
        <w:rPr>
          <w:rFonts w:ascii="仿宋_GB2312" w:hAnsi="仿宋_GB2312" w:cs="仿宋_GB2312" w:hint="eastAsia"/>
          <w:sz w:val="32"/>
          <w:szCs w:val="32"/>
        </w:rPr>
        <w:t>护目镜、专用垃圾袋</w:t>
      </w:r>
      <w:r w:rsidR="00FB2892">
        <w:rPr>
          <w:rFonts w:ascii="仿宋_GB2312" w:hAnsi="仿宋_GB2312" w:cs="仿宋_GB2312" w:hint="eastAsia"/>
          <w:sz w:val="32"/>
          <w:szCs w:val="32"/>
        </w:rPr>
        <w:t>、</w:t>
      </w:r>
      <w:r>
        <w:rPr>
          <w:rFonts w:ascii="仿宋_GB2312" w:hAnsi="仿宋_GB2312" w:cs="仿宋_GB2312" w:hint="eastAsia"/>
          <w:sz w:val="32"/>
          <w:szCs w:val="32"/>
        </w:rPr>
        <w:t>小铲子</w:t>
      </w:r>
      <w:bookmarkStart w:id="14" w:name="_Hlk524895214"/>
      <w:r>
        <w:rPr>
          <w:rFonts w:ascii="仿宋_GB2312" w:hAnsi="仿宋_GB2312" w:cs="仿宋_GB2312" w:hint="eastAsia"/>
          <w:sz w:val="32"/>
          <w:szCs w:val="32"/>
        </w:rPr>
        <w:t>、</w:t>
      </w:r>
      <w:bookmarkEnd w:id="14"/>
      <w:r>
        <w:rPr>
          <w:rFonts w:ascii="仿宋_GB2312" w:hAnsi="仿宋_GB2312" w:cs="仿宋_GB2312" w:hint="eastAsia"/>
          <w:sz w:val="32"/>
          <w:szCs w:val="32"/>
        </w:rPr>
        <w:t>镊子、剪刀</w:t>
      </w:r>
      <w:r w:rsidR="00FB2892">
        <w:rPr>
          <w:rFonts w:ascii="仿宋_GB2312" w:hAnsi="仿宋_GB2312" w:cs="仿宋_GB2312" w:hint="eastAsia"/>
          <w:sz w:val="32"/>
          <w:szCs w:val="32"/>
        </w:rPr>
        <w:t>、</w:t>
      </w:r>
      <w:r>
        <w:rPr>
          <w:rFonts w:ascii="仿宋_GB2312" w:hAnsi="仿宋_GB2312" w:cs="仿宋_GB2312" w:hint="eastAsia"/>
          <w:sz w:val="32"/>
          <w:szCs w:val="32"/>
        </w:rPr>
        <w:t>75％乙醇、含氯消毒液等。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3.溢出处置操作。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（1）评估药液或药品粉末溢出的污染程度和范围。包括人员、场地、设施设备。溢出严重的应张贴警示标识，限制他人接近泄露区域。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（2）溢出物对人员污染。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1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①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脱去被污染的防护服，置于危害药品垃圾桶内；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2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②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被污染的皮肤区域，应用肥皂和清水彻底冲洗，如有皮肤被划破，除冲洗外应控制出血，并及时接受治疗处理；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3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③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如药液喷溅到眼睛，应先用0.9％氯化钠溶液或清水冲洗，并及时接受治疗处理；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4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④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清理溢出物时，应防止</w:t>
      </w:r>
      <w:bookmarkStart w:id="15" w:name="_Hlk525823837"/>
      <w:r w:rsidR="00E70A67">
        <w:rPr>
          <w:rFonts w:ascii="仿宋_GB2312" w:hAnsi="仿宋_GB2312" w:cs="仿宋_GB2312" w:hint="eastAsia"/>
          <w:sz w:val="32"/>
          <w:szCs w:val="32"/>
        </w:rPr>
        <w:t>皮肤划破</w:t>
      </w:r>
      <w:bookmarkEnd w:id="15"/>
      <w:r w:rsidR="00E70A67">
        <w:rPr>
          <w:rFonts w:ascii="仿宋_GB2312" w:hAnsi="仿宋_GB2312" w:cs="仿宋_GB2312" w:hint="eastAsia"/>
          <w:sz w:val="32"/>
          <w:szCs w:val="32"/>
        </w:rPr>
        <w:t>；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5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⑤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事后应做好记录及上报工作。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</w:t>
      </w:r>
      <w:bookmarkStart w:id="16" w:name="_Hlk514001513"/>
      <w:r>
        <w:rPr>
          <w:rFonts w:ascii="仿宋_GB2312" w:hAnsi="仿宋_GB2312" w:cs="仿宋_GB2312" w:hint="eastAsia"/>
          <w:sz w:val="32"/>
          <w:szCs w:val="32"/>
        </w:rPr>
        <w:t>溢出</w:t>
      </w:r>
      <w:bookmarkEnd w:id="16"/>
      <w:r>
        <w:rPr>
          <w:rFonts w:ascii="仿宋_GB2312" w:hAnsi="仿宋_GB2312" w:cs="仿宋_GB2312" w:hint="eastAsia"/>
          <w:sz w:val="32"/>
          <w:szCs w:val="32"/>
        </w:rPr>
        <w:t>物处理。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1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①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药液危害药品溢出，依据溢出量，采用相应的物品吸附与控制溢出液；粉末状危害药品应用湿布覆盖，用小铲收集，再用纱布轻轻擦拭；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2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②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 xml:space="preserve">用小铲或镊子将玻璃碎片收集后放入利器盒中。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（4）清洁消毒。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1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①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根据被污染区域和溢出量情况，应先用水擦洗或冲洗，再用清洁剂擦拭</w:t>
      </w:r>
      <w:r w:rsidR="005A70F2">
        <w:rPr>
          <w:rFonts w:ascii="仿宋_GB2312" w:hAnsi="仿宋_GB2312" w:cs="仿宋_GB2312" w:hint="eastAsia"/>
          <w:sz w:val="32"/>
          <w:szCs w:val="32"/>
        </w:rPr>
        <w:t>，</w:t>
      </w:r>
      <w:r w:rsidR="00E70A67">
        <w:rPr>
          <w:rFonts w:ascii="仿宋_GB2312" w:hAnsi="仿宋_GB2312" w:cs="仿宋_GB2312" w:hint="eastAsia"/>
          <w:sz w:val="32"/>
          <w:szCs w:val="32"/>
        </w:rPr>
        <w:t>最后用含氯消毒溶液消毒；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lastRenderedPageBreak/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2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②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如果是吸附性较强的危害药品，应选用适宜的溶剂再次擦拭消毒处理。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（5）被污染物的处理。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1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①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反复使用的物品用清洁剂擦拭，再用水清洗并消毒；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2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②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处理溢出物的一次性耗材与物品，应放置于黄色医疗废物包装袋中，并标注警示标记，交由医院统一烧毁。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（6）对危害药品溢出的药品名称、溢出量、处理过程、原因分析，溢出物对操作人员与环境的影响程度等，做好记录归档工作。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4.生物安全柜内危害药品溢出处理。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（1）在生物安全柜内发生的危害药品输液袋（瓶）破裂，按溢出处置操作流程处理。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（2）应重视以下环节的处置。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1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①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认真擦拭、消毒生物安全柜内表面</w:t>
      </w:r>
      <w:r w:rsidR="00056E83">
        <w:rPr>
          <w:rFonts w:ascii="仿宋_GB2312" w:hAnsi="仿宋_GB2312" w:cs="仿宋_GB2312" w:hint="eastAsia"/>
          <w:sz w:val="32"/>
          <w:szCs w:val="32"/>
        </w:rPr>
        <w:t>，</w:t>
      </w:r>
      <w:r w:rsidR="00E70A67">
        <w:rPr>
          <w:rFonts w:ascii="仿宋_GB2312" w:hAnsi="仿宋_GB2312" w:cs="仿宋_GB2312" w:hint="eastAsia"/>
          <w:sz w:val="32"/>
          <w:szCs w:val="32"/>
        </w:rPr>
        <w:t>特别是凹槽处；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2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②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如果高效过滤器被污染，应依据污染的程度，采用擦洗消毒或更换过滤器。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7"/>
          <w:rFonts w:ascii="黑体" w:eastAsia="黑体" w:hAnsi="黑体" w:cs="Times New Roman"/>
          <w:b w:val="0"/>
          <w:sz w:val="32"/>
          <w:szCs w:val="32"/>
        </w:rPr>
      </w:pPr>
      <w:bookmarkStart w:id="17" w:name="_Toc515605636"/>
      <w:r>
        <w:rPr>
          <w:rStyle w:val="a7"/>
          <w:rFonts w:ascii="黑体" w:eastAsia="黑体" w:hAnsi="黑体" w:cs="Times New Roman"/>
          <w:sz w:val="32"/>
          <w:szCs w:val="32"/>
        </w:rPr>
        <w:t>四、更衣操作规程</w:t>
      </w:r>
      <w:bookmarkEnd w:id="17"/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（一）进入非洁净控制区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1.不得化妆，取下佩戴的手表、耳环、戒指、手镯等装饰品以及手机。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2.在普通更衣区更换专用工作鞋、工作服，并戴发帽。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（二）进入洁净区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1.一次更衣室脱下专用工作鞋，换上洁净区用鞋，按七</w:t>
      </w:r>
      <w:r>
        <w:rPr>
          <w:rFonts w:ascii="仿宋_GB2312" w:hAnsi="仿宋_GB2312" w:cs="仿宋_GB2312" w:hint="eastAsia"/>
          <w:sz w:val="32"/>
          <w:szCs w:val="32"/>
        </w:rPr>
        <w:lastRenderedPageBreak/>
        <w:t xml:space="preserve">步洗手法洗手清洁。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2.二次更衣室戴一次性口罩与帽子、穿洁净隔离服，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戴无粉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灭菌乳胶手套。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3.穿戴规范，无头发外露，皮肤应尽量少暴露。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4.用手肘部推开门进入调配操作间，禁止用手开门。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（三）离开洁净区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1.混合调配操作结束后，脱下一次性手套，弃于医疗废物包装袋内。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/>
          <w:sz w:val="32"/>
          <w:szCs w:val="32"/>
        </w:rPr>
        <w:t>2</w:t>
      </w:r>
      <w:r>
        <w:rPr>
          <w:rFonts w:ascii="仿宋_GB2312" w:hAnsi="仿宋_GB2312" w:cs="仿宋_GB2312" w:hint="eastAsia"/>
          <w:sz w:val="32"/>
          <w:szCs w:val="32"/>
        </w:rPr>
        <w:t>.在二次更衣室脱下洁净隔离服整齐放置，一次性口罩、帽子弃于医疗废物包装袋内。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/>
          <w:sz w:val="32"/>
          <w:szCs w:val="32"/>
        </w:rPr>
        <w:t>3</w:t>
      </w:r>
      <w:r>
        <w:rPr>
          <w:rFonts w:ascii="仿宋_GB2312" w:hAnsi="仿宋_GB2312" w:cs="仿宋_GB2312" w:hint="eastAsia"/>
          <w:sz w:val="32"/>
          <w:szCs w:val="32"/>
        </w:rPr>
        <w:t>.在一次更衣室脱去洁净区用鞋，并放在指定位置。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（四）外来人员管理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1.应建立非本中心人员接待与参观管理制度。非本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静配中心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人员未经中心负责人同意，不得进入；参观人员不得进入洁净区。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2.进入非洁净控制区人员的更衣，同本中心工作人员“更衣操作规程”。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7"/>
          <w:rFonts w:ascii="黑体" w:eastAsia="黑体" w:hAnsi="黑体" w:cs="Times New Roman"/>
          <w:b w:val="0"/>
          <w:sz w:val="32"/>
          <w:szCs w:val="32"/>
        </w:rPr>
      </w:pPr>
      <w:bookmarkStart w:id="18" w:name="_Toc515454526"/>
      <w:bookmarkStart w:id="19" w:name="_Toc515605637"/>
      <w:r>
        <w:rPr>
          <w:rStyle w:val="a7"/>
          <w:rFonts w:ascii="黑体" w:eastAsia="黑体" w:hAnsi="黑体" w:cs="Times New Roman"/>
          <w:sz w:val="32"/>
          <w:szCs w:val="32"/>
        </w:rPr>
        <w:t>五、清洁消毒操作规程</w:t>
      </w:r>
      <w:bookmarkEnd w:id="18"/>
      <w:bookmarkEnd w:id="19"/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bookmarkStart w:id="20" w:name="_Toc515454527"/>
      <w:r>
        <w:rPr>
          <w:rFonts w:ascii="Times New Roman" w:eastAsia="楷体_GB2312" w:hAnsi="Times New Roman" w:cs="Times New Roman"/>
          <w:kern w:val="2"/>
          <w:sz w:val="32"/>
          <w:szCs w:val="32"/>
        </w:rPr>
        <w:t>（一）非洁净控制区</w:t>
      </w:r>
      <w:bookmarkEnd w:id="20"/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1.清洁。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（1）清洁用品。拖布、清洁布、清洁盆、地巾、水桶、毛刷、吸尘器、清洁剂等。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（2）调配工作结束后，应立即整理物品，清除非洁净</w:t>
      </w:r>
      <w:r>
        <w:rPr>
          <w:rFonts w:ascii="仿宋_GB2312" w:hAnsi="仿宋_GB2312" w:cs="仿宋_GB2312" w:hint="eastAsia"/>
          <w:sz w:val="32"/>
          <w:szCs w:val="32"/>
        </w:rPr>
        <w:lastRenderedPageBreak/>
        <w:t>控制区内遗留物及废弃物，地面用吸尘器吸取表面粉尘，用适宜的清洁用品清除污迹，若有特别污染物，可用清洁剂擦拭、用水擦洗至无泡沫。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bookmarkStart w:id="21" w:name="_Hlk515540884"/>
      <w:r>
        <w:rPr>
          <w:rFonts w:ascii="仿宋_GB2312" w:hAnsi="仿宋_GB2312" w:cs="仿宋_GB2312" w:hint="eastAsia"/>
          <w:sz w:val="32"/>
          <w:szCs w:val="32"/>
        </w:rPr>
        <w:t>①每日清洁：工作台、座椅、地面；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②每周清洁：门、窗等；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bookmarkStart w:id="22" w:name="_Hlk515540400"/>
      <w:r>
        <w:rPr>
          <w:rFonts w:ascii="仿宋_GB2312" w:hAnsi="仿宋_GB2312" w:cs="仿宋_GB2312" w:hint="eastAsia"/>
          <w:sz w:val="32"/>
          <w:szCs w:val="32"/>
        </w:rPr>
        <w:t>③每月清洁：天花板、墙面、公用设施。</w:t>
      </w:r>
    </w:p>
    <w:bookmarkEnd w:id="21"/>
    <w:bookmarkEnd w:id="22"/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2.消毒。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（1）消毒工具。应选用微细纤维材料清洁布、地巾、消毒剂等。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（2）推荐消毒剂</w:t>
      </w:r>
      <w:bookmarkStart w:id="23" w:name="_Hlk525032054"/>
      <w:bookmarkStart w:id="24" w:name="_Hlk515542582"/>
      <w:r>
        <w:rPr>
          <w:rFonts w:ascii="仿宋_GB2312" w:hAnsi="仿宋_GB2312" w:cs="仿宋_GB2312" w:hint="eastAsia"/>
          <w:sz w:val="32"/>
          <w:szCs w:val="32"/>
        </w:rPr>
        <w:t>。75%乙醇</w:t>
      </w:r>
      <w:bookmarkEnd w:id="23"/>
      <w:r>
        <w:rPr>
          <w:rFonts w:ascii="仿宋_GB2312" w:hAnsi="仿宋_GB2312" w:cs="仿宋_GB2312" w:hint="eastAsia"/>
          <w:sz w:val="32"/>
          <w:szCs w:val="32"/>
        </w:rPr>
        <w:t>、250mg/L或500mg/L</w:t>
      </w:r>
      <w:bookmarkStart w:id="25" w:name="_Hlk515542617"/>
      <w:bookmarkEnd w:id="24"/>
      <w:r>
        <w:rPr>
          <w:rFonts w:ascii="仿宋_GB2312" w:hAnsi="仿宋_GB2312" w:cs="仿宋_GB2312" w:hint="eastAsia"/>
          <w:sz w:val="32"/>
          <w:szCs w:val="32"/>
        </w:rPr>
        <w:t>含氯消毒溶液</w:t>
      </w:r>
      <w:bookmarkEnd w:id="25"/>
      <w:r>
        <w:rPr>
          <w:rFonts w:ascii="仿宋_GB2312" w:hAnsi="仿宋_GB2312" w:cs="仿宋_GB2312" w:hint="eastAsia"/>
          <w:sz w:val="32"/>
          <w:szCs w:val="32"/>
        </w:rPr>
        <w:t>。消毒溶液制备，应采用清洁并对含氯消毒溶液不产生影响的容器，按规定浓度加入消毒剂和水混合均匀，</w:t>
      </w:r>
      <w:bookmarkStart w:id="26" w:name="_Hlk514042950"/>
      <w:r>
        <w:rPr>
          <w:rFonts w:ascii="仿宋_GB2312" w:hAnsi="仿宋_GB2312" w:cs="仿宋_GB2312" w:hint="eastAsia"/>
          <w:sz w:val="32"/>
          <w:szCs w:val="32"/>
        </w:rPr>
        <w:t>消毒溶液应使用前配制。</w:t>
      </w:r>
      <w:bookmarkEnd w:id="26"/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（3）消毒前，应先进行清洁工作。用消毒溶液擦拭消毒，停留约10～15分钟后，再用水擦去消毒液。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1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①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每日消毒：工作台、座椅、地面；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2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②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每周消毒：门、窗等；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③每月消毒：天花板、墙面、公用设施。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3.辅助工作区如药品脱外包区、外送转运箱和转运车存放区、综合性会议示教休息室与非洁净控制区紧密相连，应持续保持清洁卫生，并应每月清洁消毒一次。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4.</w:t>
      </w:r>
      <w:bookmarkStart w:id="27" w:name="_Hlk515542773"/>
      <w:r>
        <w:rPr>
          <w:rFonts w:ascii="仿宋_GB2312" w:hAnsi="仿宋_GB2312" w:cs="仿宋_GB2312" w:hint="eastAsia"/>
          <w:sz w:val="32"/>
          <w:szCs w:val="32"/>
        </w:rPr>
        <w:t>摆药筐</w:t>
      </w:r>
      <w:bookmarkStart w:id="28" w:name="_Hlk515542946"/>
      <w:bookmarkEnd w:id="27"/>
      <w:r>
        <w:rPr>
          <w:rFonts w:ascii="仿宋_GB2312" w:hAnsi="仿宋_GB2312" w:cs="仿宋_GB2312" w:hint="eastAsia"/>
          <w:sz w:val="32"/>
          <w:szCs w:val="32"/>
        </w:rPr>
        <w:t>每日用250mg/L含氯消毒溶液</w:t>
      </w:r>
      <w:bookmarkEnd w:id="28"/>
      <w:r>
        <w:rPr>
          <w:rFonts w:ascii="仿宋_GB2312" w:hAnsi="仿宋_GB2312" w:cs="仿宋_GB2312" w:hint="eastAsia"/>
          <w:sz w:val="32"/>
          <w:szCs w:val="32"/>
        </w:rPr>
        <w:t>浸泡30</w:t>
      </w:r>
      <w:r w:rsidR="00F03E31">
        <w:rPr>
          <w:rFonts w:ascii="仿宋_GB2312" w:hAnsi="仿宋_GB2312" w:cs="仿宋_GB2312" w:hint="eastAsia"/>
          <w:sz w:val="32"/>
          <w:szCs w:val="32"/>
        </w:rPr>
        <w:t>分钟，然后用</w:t>
      </w:r>
      <w:r>
        <w:rPr>
          <w:rFonts w:ascii="仿宋_GB2312" w:hAnsi="仿宋_GB2312" w:cs="仿宋_GB2312" w:hint="eastAsia"/>
          <w:sz w:val="32"/>
          <w:szCs w:val="32"/>
        </w:rPr>
        <w:t>水冲洗干净，自然晾干。危害药品摆药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专用筐应单独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lastRenderedPageBreak/>
        <w:t>浸泡冲洗。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    5.外送转运箱、转运车每日用500mg/L含氯消毒溶液擦拭消毒，停留10～15分钟后，再用水擦去消毒液。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bookmarkStart w:id="29" w:name="_Toc515454528"/>
      <w:r>
        <w:rPr>
          <w:rFonts w:ascii="Times New Roman" w:eastAsia="楷体_GB2312" w:hAnsi="Times New Roman" w:cs="Times New Roman"/>
          <w:kern w:val="2"/>
          <w:sz w:val="32"/>
          <w:szCs w:val="32"/>
        </w:rPr>
        <w:t>（二）洁净区</w:t>
      </w:r>
      <w:bookmarkEnd w:id="29"/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1.清洁。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（1）清洁用品。无纺布或其他不脱落纤维</w:t>
      </w:r>
      <w:r w:rsidR="00BA6BB1">
        <w:rPr>
          <w:rFonts w:ascii="仿宋_GB2312" w:hAnsi="仿宋_GB2312" w:cs="仿宋_GB2312" w:hint="eastAsia"/>
          <w:sz w:val="32"/>
          <w:szCs w:val="32"/>
        </w:rPr>
        <w:t>（或颗粒）</w:t>
      </w:r>
      <w:r>
        <w:rPr>
          <w:rFonts w:ascii="仿宋_GB2312" w:hAnsi="仿宋_GB2312" w:cs="仿宋_GB2312" w:hint="eastAsia"/>
          <w:sz w:val="32"/>
          <w:szCs w:val="32"/>
        </w:rPr>
        <w:t>物质的清洁用品、清洁不锈钢桶或塑料桶、清洁剂等。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</w:t>
      </w:r>
      <w:bookmarkStart w:id="30" w:name="OLE_LINK15"/>
      <w:bookmarkStart w:id="31" w:name="OLE_LINK14"/>
      <w:r>
        <w:rPr>
          <w:rFonts w:ascii="仿宋_GB2312" w:hAnsi="仿宋_GB2312" w:cs="仿宋_GB2312" w:hint="eastAsia"/>
          <w:sz w:val="32"/>
          <w:szCs w:val="32"/>
        </w:rPr>
        <w:t>调配操作结束后，应立即清场，整理水平层流洁净台、生物安全柜，清除遗留物及废物。用适宜的清洁剂擦拭照明灯开关、工作台顶部，然后再从上到下清洁台面的两壁，最后清洁工作台面，用水擦洗至无泡沫。</w:t>
      </w:r>
    </w:p>
    <w:bookmarkEnd w:id="30"/>
    <w:bookmarkEnd w:id="31"/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①每日清洁：工作台四周、座椅、所有的不锈钢设备，传递窗的顶部、两壁、台面，门框、门把手，废物桶，地面等；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②每周清洁：门、窗等；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③每月清洁：天花板、墙面、公用设施。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（3）清洁过程中,不得将清洁剂或水喷溅到高效空气过滤器上。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2.消毒。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（1）消毒工具。无纺布或丝绸、清洁不锈钢桶或塑料桶、地巾。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（2）推荐的消毒剂。75%乙醇、500mg/L含氯</w:t>
      </w:r>
      <w:bookmarkStart w:id="32" w:name="_Hlk514043247"/>
      <w:r>
        <w:rPr>
          <w:rFonts w:ascii="仿宋_GB2312" w:hAnsi="仿宋_GB2312" w:cs="仿宋_GB2312" w:hint="eastAsia"/>
          <w:sz w:val="32"/>
          <w:szCs w:val="32"/>
        </w:rPr>
        <w:t>消毒溶液</w:t>
      </w:r>
      <w:bookmarkEnd w:id="32"/>
      <w:r>
        <w:rPr>
          <w:rFonts w:ascii="仿宋_GB2312" w:hAnsi="仿宋_GB2312" w:cs="仿宋_GB2312" w:hint="eastAsia"/>
          <w:sz w:val="32"/>
          <w:szCs w:val="32"/>
        </w:rPr>
        <w:t>。消毒溶液制备同前。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lastRenderedPageBreak/>
        <w:t>（3）消毒前，应先进行整理、清洁，再用消毒溶液擦拭消</w:t>
      </w:r>
      <w:bookmarkStart w:id="33" w:name="_Hlk515543008"/>
      <w:r>
        <w:rPr>
          <w:rFonts w:ascii="仿宋_GB2312" w:hAnsi="仿宋_GB2312" w:cs="仿宋_GB2312" w:hint="eastAsia"/>
          <w:sz w:val="32"/>
          <w:szCs w:val="32"/>
        </w:rPr>
        <w:t>毒，停留10～15分钟后，用水擦去消毒液。</w:t>
      </w:r>
    </w:p>
    <w:bookmarkEnd w:id="33"/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①每日消毒：用75%乙醇擦拭消毒水平层流洁净台、生物安全柜风机、照明灯开关的按键</w:t>
      </w:r>
      <w:r w:rsidR="00BA6BB1">
        <w:rPr>
          <w:rFonts w:ascii="仿宋_GB2312" w:hAnsi="仿宋_GB2312" w:cs="仿宋_GB2312" w:hint="eastAsia"/>
          <w:sz w:val="32"/>
          <w:szCs w:val="32"/>
        </w:rPr>
        <w:t>、</w:t>
      </w:r>
      <w:r>
        <w:rPr>
          <w:rFonts w:ascii="仿宋_GB2312" w:hAnsi="仿宋_GB2312" w:cs="仿宋_GB2312" w:hint="eastAsia"/>
          <w:sz w:val="32"/>
          <w:szCs w:val="32"/>
        </w:rPr>
        <w:t>工作台工作区顶部，然后从上到下清洁工作台的两壁，最后擦拭工作台面；选用适当的消毒溶液擦</w:t>
      </w:r>
      <w:r w:rsidR="00A30236">
        <w:rPr>
          <w:rFonts w:ascii="仿宋_GB2312" w:hAnsi="仿宋_GB2312" w:cs="仿宋_GB2312" w:hint="eastAsia"/>
          <w:sz w:val="32"/>
          <w:szCs w:val="32"/>
        </w:rPr>
        <w:t>拭所有不锈钢设备、传递窗顶部、台面、两壁和门把手以及座椅、推车</w:t>
      </w:r>
      <w:r>
        <w:rPr>
          <w:rFonts w:ascii="仿宋_GB2312" w:hAnsi="仿宋_GB2312" w:cs="仿宋_GB2312" w:hint="eastAsia"/>
          <w:sz w:val="32"/>
          <w:szCs w:val="32"/>
        </w:rPr>
        <w:t>等；用消毒溶液擦拭废物桶内外，医疗废物套上黄色垃圾袋，生活垃圾套上黑色垃圾袋；用消毒溶液擦地面，不得留有死角。</w:t>
      </w:r>
    </w:p>
    <w:p w:rsidR="00E70A67" w:rsidRDefault="0084598B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fldChar w:fldCharType="begin"/>
      </w:r>
      <w:r w:rsidR="00E70A67">
        <w:rPr>
          <w:rFonts w:ascii="仿宋_GB2312" w:hAnsi="仿宋_GB2312" w:cs="仿宋_GB2312" w:hint="eastAsia"/>
          <w:sz w:val="32"/>
          <w:szCs w:val="32"/>
        </w:rPr>
        <w:instrText xml:space="preserve"> = 2 \* GB3 </w:instrText>
      </w:r>
      <w:r>
        <w:rPr>
          <w:rFonts w:ascii="仿宋_GB2312" w:hAnsi="仿宋_GB2312" w:cs="仿宋_GB2312" w:hint="eastAsia"/>
          <w:sz w:val="32"/>
          <w:szCs w:val="32"/>
        </w:rPr>
        <w:fldChar w:fldCharType="separate"/>
      </w:r>
      <w:r w:rsidR="00E70A67">
        <w:rPr>
          <w:rFonts w:ascii="仿宋_GB2312" w:hAnsi="仿宋_GB2312" w:cs="仿宋_GB2312" w:hint="eastAsia"/>
          <w:sz w:val="32"/>
          <w:szCs w:val="32"/>
        </w:rPr>
        <w:t>②</w:t>
      </w:r>
      <w:r>
        <w:rPr>
          <w:rFonts w:ascii="仿宋_GB2312" w:hAnsi="仿宋_GB2312" w:cs="仿宋_GB2312" w:hint="eastAsia"/>
          <w:sz w:val="32"/>
          <w:szCs w:val="32"/>
        </w:rPr>
        <w:fldChar w:fldCharType="end"/>
      </w:r>
      <w:r w:rsidR="00E70A67">
        <w:rPr>
          <w:rFonts w:ascii="仿宋_GB2312" w:hAnsi="仿宋_GB2312" w:cs="仿宋_GB2312" w:hint="eastAsia"/>
          <w:sz w:val="32"/>
          <w:szCs w:val="32"/>
        </w:rPr>
        <w:t>每周消毒：门、窗等；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③每月消毒：天花板、墙面、公用设施。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（4）消毒过程中,应防止将消毒剂等液体喷溅到高效空气过滤器上。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bookmarkStart w:id="34" w:name="_Toc515454529"/>
      <w:r>
        <w:rPr>
          <w:rFonts w:ascii="Times New Roman" w:eastAsia="楷体_GB2312" w:hAnsi="Times New Roman" w:cs="Times New Roman"/>
          <w:kern w:val="2"/>
          <w:sz w:val="32"/>
          <w:szCs w:val="32"/>
        </w:rPr>
        <w:t>（三）清洁工具的清洁、消毒</w:t>
      </w:r>
      <w:bookmarkEnd w:id="34"/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1.擦桌面、墙面用清洁工具。用水和清洁剂清洗干净后，用250mg/L含氯消毒溶液浸泡30分钟，冲净消毒液，干燥备用。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2.擦地面用清洁工具。用水和清洁剂清洗干净后，用500mg/L含氯消毒溶液浸泡30分钟，冲净消毒液，干燥备用。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3.三个功能区以及洁净区内危害药品调配操作间的清洁工具，应专区专用，清洗、消毒</w:t>
      </w:r>
      <w:r w:rsidR="00BA6BB1">
        <w:rPr>
          <w:rFonts w:ascii="仿宋_GB2312" w:hAnsi="仿宋_GB2312" w:cs="仿宋_GB2312" w:hint="eastAsia"/>
          <w:sz w:val="32"/>
          <w:szCs w:val="32"/>
        </w:rPr>
        <w:t>，</w:t>
      </w:r>
      <w:r>
        <w:rPr>
          <w:rFonts w:ascii="仿宋_GB2312" w:hAnsi="仿宋_GB2312" w:cs="仿宋_GB2312" w:hint="eastAsia"/>
          <w:sz w:val="32"/>
          <w:szCs w:val="32"/>
        </w:rPr>
        <w:t>分别存放。</w:t>
      </w:r>
      <w:bookmarkStart w:id="35" w:name="_Toc515454531"/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（四）医疗废物处置</w:t>
      </w:r>
      <w:bookmarkEnd w:id="35"/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1.危害药品废物分别包扎处理，应在危害药品调配操作</w:t>
      </w:r>
      <w:r>
        <w:rPr>
          <w:rFonts w:ascii="仿宋_GB2312" w:hAnsi="仿宋_GB2312" w:cs="仿宋_GB2312" w:hint="eastAsia"/>
          <w:sz w:val="32"/>
          <w:szCs w:val="32"/>
        </w:rPr>
        <w:lastRenderedPageBreak/>
        <w:t>间内进行。成品输液进行双后，废针头、空安瓿丢入利器盒；其他废物用黄色</w:t>
      </w:r>
      <w:bookmarkStart w:id="36" w:name="_Hlk514834091"/>
      <w:r>
        <w:rPr>
          <w:rFonts w:ascii="仿宋_GB2312" w:hAnsi="仿宋_GB2312" w:cs="仿宋_GB2312" w:hint="eastAsia"/>
          <w:sz w:val="32"/>
          <w:szCs w:val="32"/>
        </w:rPr>
        <w:t>医疗废物包装袋</w:t>
      </w:r>
      <w:bookmarkEnd w:id="36"/>
      <w:r>
        <w:rPr>
          <w:rFonts w:ascii="仿宋_GB2312" w:hAnsi="仿宋_GB2312" w:cs="仿宋_GB2312" w:hint="eastAsia"/>
          <w:sz w:val="32"/>
          <w:szCs w:val="32"/>
        </w:rPr>
        <w:t>单独包装扎紧，注明危害药品废物标识，按规定交由医疗机构统一处理。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2.普通药品废物处理，应在成品输液核查后进行，废弃针头丢入利器盒；其他废物用黄色医疗废物包装袋包装扎紧，按规定交由医疗机构统一处理。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jc w:val="both"/>
        <w:rPr>
          <w:rFonts w:ascii="Times New Roman" w:hAnsi="Times New Roman" w:cs="Times New Roman"/>
          <w:kern w:val="2"/>
          <w:sz w:val="32"/>
          <w:szCs w:val="32"/>
        </w:rPr>
      </w:pPr>
    </w:p>
    <w:p w:rsidR="00E70A67" w:rsidRDefault="00E70A67" w:rsidP="00A82189">
      <w:pPr>
        <w:adjustRightInd w:val="0"/>
        <w:snapToGrid w:val="0"/>
        <w:spacing w:line="600" w:lineRule="exact"/>
        <w:jc w:val="left"/>
        <w:rPr>
          <w:rFonts w:ascii="黑体" w:eastAsia="黑体" w:hAnsi="黑体" w:cs="黑体"/>
          <w:szCs w:val="32"/>
        </w:rPr>
      </w:pPr>
      <w:r>
        <w:rPr>
          <w:b/>
          <w:bCs/>
          <w:szCs w:val="32"/>
        </w:rPr>
        <w:br w:type="page"/>
      </w:r>
      <w:r>
        <w:rPr>
          <w:rFonts w:ascii="黑体" w:eastAsia="黑体" w:hAnsi="黑体" w:cs="黑体" w:hint="eastAsia"/>
          <w:szCs w:val="32"/>
        </w:rPr>
        <w:lastRenderedPageBreak/>
        <w:t>附件3.1</w:t>
      </w:r>
    </w:p>
    <w:p w:rsidR="00A82189" w:rsidRPr="00A82189" w:rsidRDefault="00A82189" w:rsidP="00A82189">
      <w:pPr>
        <w:pStyle w:val="a2"/>
        <w:spacing w:line="600" w:lineRule="exact"/>
      </w:pPr>
    </w:p>
    <w:p w:rsidR="00E70A67" w:rsidRDefault="00E70A67" w:rsidP="00A82189">
      <w:pPr>
        <w:pStyle w:val="2"/>
        <w:jc w:val="center"/>
        <w:rPr>
          <w:rFonts w:ascii="宋体" w:eastAsia="宋体" w:hAnsi="宋体" w:cs="宋体"/>
          <w:sz w:val="44"/>
        </w:rPr>
      </w:pPr>
      <w:bookmarkStart w:id="37" w:name="_Toc515605638"/>
      <w:r>
        <w:rPr>
          <w:rFonts w:ascii="宋体" w:eastAsia="宋体" w:hAnsi="宋体" w:cs="宋体" w:hint="eastAsia"/>
          <w:sz w:val="44"/>
        </w:rPr>
        <w:t>危害药品</w:t>
      </w:r>
      <w:bookmarkStart w:id="38" w:name="_Hlk505686296"/>
      <w:r>
        <w:rPr>
          <w:rFonts w:ascii="宋体" w:eastAsia="宋体" w:hAnsi="宋体" w:cs="宋体" w:hint="eastAsia"/>
          <w:sz w:val="44"/>
        </w:rPr>
        <w:t>调配</w:t>
      </w:r>
      <w:bookmarkEnd w:id="38"/>
      <w:r>
        <w:rPr>
          <w:rFonts w:ascii="宋体" w:eastAsia="宋体" w:hAnsi="宋体" w:cs="宋体" w:hint="eastAsia"/>
          <w:sz w:val="44"/>
        </w:rPr>
        <w:t>技术操作规范</w:t>
      </w:r>
      <w:bookmarkEnd w:id="37"/>
    </w:p>
    <w:p w:rsidR="00A82189" w:rsidRPr="00A82189" w:rsidRDefault="00A82189" w:rsidP="00A82189">
      <w:pPr>
        <w:spacing w:line="600" w:lineRule="exact"/>
      </w:pP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为规范危害药品调配操作规程，确保成品输液质量，保障患者合理用药，防止调配操作的药学人员职业暴露和污染环境，依据相关法规和《静脉用药调配中心建设与管理指南》，制定本规范。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7"/>
          <w:rFonts w:ascii="黑体" w:eastAsia="黑体" w:hAnsi="黑体" w:cs="Times New Roman"/>
          <w:b w:val="0"/>
          <w:sz w:val="32"/>
          <w:szCs w:val="32"/>
        </w:rPr>
      </w:pPr>
      <w:bookmarkStart w:id="39" w:name="_Toc515605639"/>
      <w:r>
        <w:rPr>
          <w:rStyle w:val="a7"/>
          <w:rFonts w:ascii="黑体" w:eastAsia="黑体" w:hAnsi="黑体" w:cs="Times New Roman"/>
          <w:sz w:val="32"/>
          <w:szCs w:val="32"/>
        </w:rPr>
        <w:t>一、基本要求</w:t>
      </w:r>
      <w:bookmarkEnd w:id="39"/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（一）基本操作应按照附件3“加药混合调配”有关规定执行。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（二）危害药品混合调配应与抗生素调配操作隔开，设置独立单元的调配操作间。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（三</w:t>
      </w:r>
      <w:r w:rsidR="004A3CA9">
        <w:rPr>
          <w:rFonts w:ascii="仿宋_GB2312" w:hAnsi="仿宋_GB2312" w:cs="仿宋_GB2312" w:hint="eastAsia"/>
          <w:sz w:val="32"/>
          <w:szCs w:val="32"/>
        </w:rPr>
        <w:t>）</w:t>
      </w:r>
      <w:r>
        <w:rPr>
          <w:rFonts w:ascii="仿宋_GB2312" w:hAnsi="仿宋_GB2312" w:cs="仿宋_GB2312" w:hint="eastAsia"/>
          <w:sz w:val="32"/>
          <w:szCs w:val="32"/>
        </w:rPr>
        <w:t>危害药品混合调配应选用II级A2型生物安全柜。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（四）从事危害药品混合调配的工作人员，还应接受危害药品特点、负压调配技术与调配实践技能培训。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（五）从事危害药品混合调配的药学专业技术人员，根据各医疗机构具体情况进行岗位轮换，怀孕和哺乳期妇女应暂停危害药品混合调配岗位工作。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7"/>
          <w:rFonts w:ascii="黑体" w:eastAsia="黑体" w:hAnsi="黑体" w:cs="Times New Roman"/>
          <w:b w:val="0"/>
          <w:sz w:val="32"/>
          <w:szCs w:val="32"/>
        </w:rPr>
      </w:pPr>
      <w:bookmarkStart w:id="40" w:name="_Toc515605640"/>
      <w:r>
        <w:rPr>
          <w:rStyle w:val="a7"/>
          <w:rFonts w:ascii="黑体" w:eastAsia="黑体" w:hAnsi="黑体" w:cs="Times New Roman"/>
          <w:sz w:val="32"/>
          <w:szCs w:val="32"/>
        </w:rPr>
        <w:t>二、混合调配操作规程</w:t>
      </w:r>
      <w:bookmarkEnd w:id="40"/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（一）调配操作前准备工作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1.按附件3相关规定，启动调配操作间和层流工作台净化系统，并确认其处于正常工作状态。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lastRenderedPageBreak/>
        <w:t>2.个人防护用品。除按附件3相关规定物品外，应配备溢出包，用于危害药品溢出处理。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3.更衣操作注意事项</w:t>
      </w:r>
      <w:r>
        <w:rPr>
          <w:rFonts w:ascii="仿宋_GB2312" w:hAnsi="仿宋_GB2312" w:cs="仿宋_GB231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（1）按照操作规程洗手更衣，戴医用外科口罩、一次性帽子</w:t>
      </w:r>
      <w:r w:rsidR="004A3CA9">
        <w:rPr>
          <w:rFonts w:ascii="仿宋_GB2312" w:hAnsi="仿宋_GB2312" w:cs="仿宋_GB2312" w:hint="eastAsia"/>
          <w:sz w:val="32"/>
          <w:szCs w:val="32"/>
        </w:rPr>
        <w:t>，穿</w:t>
      </w:r>
      <w:r>
        <w:rPr>
          <w:rFonts w:ascii="仿宋_GB2312" w:hAnsi="仿宋_GB2312" w:cs="仿宋_GB2312" w:hint="eastAsia"/>
          <w:sz w:val="32"/>
          <w:szCs w:val="32"/>
        </w:rPr>
        <w:t>鞋套</w:t>
      </w:r>
      <w:r w:rsidR="004A3CA9">
        <w:rPr>
          <w:rFonts w:ascii="仿宋_GB2312" w:hAnsi="仿宋_GB2312" w:cs="仿宋_GB2312" w:hint="eastAsia"/>
          <w:sz w:val="32"/>
          <w:szCs w:val="32"/>
        </w:rPr>
        <w:t>和</w:t>
      </w:r>
      <w:r>
        <w:rPr>
          <w:rFonts w:ascii="仿宋_GB2312" w:hAnsi="仿宋_GB2312" w:cs="仿宋_GB2312" w:hint="eastAsia"/>
          <w:sz w:val="32"/>
          <w:szCs w:val="32"/>
        </w:rPr>
        <w:t xml:space="preserve">连体洁净服，防止皮肤与头发暴露，可在洁净服外再穿一次性防护衣。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（2）戴双层无粉无菌乳胶手套或者丁基乳胶手套，内层手套应戴在防护衣袖口内，外层手套应戴在防护衣袖口外，确保手套和防护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衣之间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没有手腕皮肤暴露。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（3）连续工作时每30分钟应更换手套。操作过程中，出现手套破损或一次性防护衣被污染时，应立即更换。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（4）用过的一次性防护衣、鞋套、口罩、帽子、手套等物品，应当按照医疗废物管理规定，在调配操作间内放入黄色医疗废物包装袋</w:t>
      </w:r>
      <w:r w:rsidR="004A3CA9">
        <w:rPr>
          <w:rFonts w:ascii="仿宋_GB2312" w:hAnsi="仿宋_GB2312" w:cs="仿宋_GB2312" w:hint="eastAsia"/>
          <w:sz w:val="32"/>
          <w:szCs w:val="32"/>
        </w:rPr>
        <w:t>扎紧</w:t>
      </w:r>
      <w:r>
        <w:rPr>
          <w:rFonts w:ascii="仿宋_GB2312" w:hAnsi="仿宋_GB2312" w:cs="仿宋_GB2312" w:hint="eastAsia"/>
          <w:sz w:val="32"/>
          <w:szCs w:val="32"/>
        </w:rPr>
        <w:t>，注明警示标识，带出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操作间交医疗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机构统一处理。包装袋达到四分之三时，应当使用有效的封口方式扎紧。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（二）混合调配操作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按照附件3及以下规定操作。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1.为防止危害药品污染台面，应在生物安全柜台面中央铺一块医用吸附垫。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2.调配操作前，应按输液标签核对药品名称、规格、数量、有效期和药品包装完好性，无误后方可进行加药混合调配操作。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lastRenderedPageBreak/>
        <w:t>3.按照用药医嘱，对非整支（瓶）用量，计算实际抽液量后，操作人员按实际用量抽取，并有双人核对确认与签名，在输液标签上有明显标识。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4.混合调配操作，应严格执行负压无菌技术。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5.用注射器抽取危害药品药液时，抽取药液量不宜超过注射器容量的四分之三，且药液中不得出现气泡，以免影响吸取药液量的准确性。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kern w:val="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6.调配完成后，将注射器与针头分离，废针头和空安瓿放入利器盒中。其他废物用黄色医疗废物包装袋单独包装扎紧，注明危害药品废物标识，按规定交由医疗机构统一处理。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（三）调配操作结束后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1.每组混合调配操作完成后，再次按照输液标签，核对药品名称、规格、用量、抽取药液量</w:t>
      </w:r>
      <w:r w:rsidR="004C130E">
        <w:rPr>
          <w:rFonts w:ascii="仿宋_GB2312" w:hAnsi="仿宋_GB2312" w:cs="仿宋_GB2312" w:hint="eastAsia"/>
          <w:sz w:val="32"/>
          <w:szCs w:val="32"/>
        </w:rPr>
        <w:t>的计算</w:t>
      </w:r>
      <w:r>
        <w:rPr>
          <w:rFonts w:ascii="仿宋_GB2312" w:hAnsi="仿宋_GB2312" w:cs="仿宋_GB2312" w:hint="eastAsia"/>
          <w:sz w:val="32"/>
          <w:szCs w:val="32"/>
        </w:rPr>
        <w:t>、临床使用注意等，准确无误后，操作人员和核查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人员双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签名或盖章，并再次清洁输液袋（瓶）表面和加药口，用专用密封袋单独包装密封，并注明危害药品警示标识后传出调配操作间。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2.清场、清洁、消毒按照附件3有关规定执行。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7"/>
          <w:rFonts w:ascii="黑体" w:eastAsia="黑体" w:hAnsi="黑体" w:cs="Times New Roman"/>
          <w:b w:val="0"/>
          <w:sz w:val="32"/>
          <w:szCs w:val="32"/>
        </w:rPr>
      </w:pPr>
      <w:bookmarkStart w:id="41" w:name="_Toc515605641"/>
      <w:r>
        <w:rPr>
          <w:rStyle w:val="a7"/>
          <w:rFonts w:ascii="黑体" w:eastAsia="黑体" w:hAnsi="黑体" w:cs="Times New Roman"/>
          <w:sz w:val="32"/>
          <w:szCs w:val="32"/>
        </w:rPr>
        <w:t>三、注意事项</w:t>
      </w:r>
      <w:bookmarkEnd w:id="41"/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（一）药品接收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1.运送危害药品包装及小包装应使用专用周转容器，并有危害药品警示标识。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2.如有破损，按危害药品溢出应急预案处置。应妥善包装，再放置于专用周转容器中退还库房，并做好记录。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lastRenderedPageBreak/>
        <w:t>（二）药品储存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1.对于危害药品，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静配中心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应按</w:t>
      </w:r>
      <w:r w:rsidRPr="00187E27">
        <w:rPr>
          <w:rFonts w:ascii="仿宋_GB2312" w:hAnsi="仿宋_GB2312" w:cs="仿宋_GB2312" w:hint="eastAsia"/>
          <w:sz w:val="32"/>
          <w:szCs w:val="32"/>
        </w:rPr>
        <w:t>高警示药品</w:t>
      </w:r>
      <w:r>
        <w:rPr>
          <w:rFonts w:ascii="仿宋_GB2312" w:hAnsi="仿宋_GB2312" w:cs="仿宋_GB2312" w:hint="eastAsia"/>
          <w:sz w:val="32"/>
          <w:szCs w:val="32"/>
        </w:rPr>
        <w:t>的管理要求进行管理和储存，并有统一的高警示药品标识。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2.应在专区或专柜单独安全储存，应每日清点，发现账物不符，立即查找原因、汇报结果，并做好记录。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（三）审核用药医嘱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1.应按照附件3 “审核用药医嘱”有关规定执行。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2.审核用药医嘱应特别关注以下几点。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（1）审核选用药品与患者临床诊断是否相符，有无禁忌证。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（2）应根据患者体表面积或肝肾功能计算药品剂量是否适宜。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（3）对需要进行抗过敏预处理或水化、碱化治疗的，核查是否有相关预处理的用药医嘱。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hAnsi="Times New Roman" w:cs="Times New Roman"/>
          <w:b/>
          <w:bCs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（四）核对输液标签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1.药师应综合考虑药品稳定性、滴速、相互作用、用药顺序等因素，合理安排用药医嘱调配批次。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2.输液标签，应有在临床使用时需要特别提示的注意事项。</w:t>
      </w:r>
    </w:p>
    <w:p w:rsidR="00E70A67" w:rsidRDefault="00E70A67" w:rsidP="00E70A67">
      <w:pPr>
        <w:pStyle w:val="11"/>
        <w:adjustRightInd w:val="0"/>
        <w:snapToGrid w:val="0"/>
        <w:spacing w:line="600" w:lineRule="exact"/>
        <w:ind w:left="-856" w:firstLine="640"/>
        <w:jc w:val="left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 xml:space="preserve">      </w:t>
      </w:r>
      <w:r>
        <w:rPr>
          <w:rFonts w:ascii="Times New Roman" w:eastAsia="楷体_GB2312" w:hAnsi="Times New Roman"/>
          <w:szCs w:val="32"/>
        </w:rPr>
        <w:t>（五）补充药品与核对</w:t>
      </w:r>
      <w:r>
        <w:rPr>
          <w:rFonts w:ascii="Times New Roman" w:eastAsia="楷体_GB2312" w:hAnsi="Times New Roman" w:hint="eastAsia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1.摆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药区补充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危害药品时，操作人员应戴一次性手套，拆除外包装。脱包后，西林瓶或安瓿表面应用蘸有75%乙醇的无纺布擦拭，以除去危害药品残留物。经双人核对确认无</w:t>
      </w:r>
      <w:r>
        <w:rPr>
          <w:rFonts w:ascii="仿宋_GB2312" w:hAnsi="仿宋_GB2312" w:cs="仿宋_GB2312" w:hint="eastAsia"/>
          <w:sz w:val="32"/>
          <w:szCs w:val="32"/>
        </w:rPr>
        <w:lastRenderedPageBreak/>
        <w:t>误后，按有效期近期先用的原则上药架。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2.用过的无纺布和手套等，应按医疗废物处理规定处置。</w:t>
      </w:r>
    </w:p>
    <w:p w:rsidR="00E70A67" w:rsidRDefault="00E70A67" w:rsidP="00E70A67">
      <w:pPr>
        <w:pStyle w:val="11"/>
        <w:adjustRightInd w:val="0"/>
        <w:snapToGrid w:val="0"/>
        <w:spacing w:line="600" w:lineRule="exact"/>
        <w:ind w:left="-856" w:firstLine="640"/>
        <w:jc w:val="left"/>
        <w:rPr>
          <w:rFonts w:ascii="Times New Roman" w:eastAsia="楷体_GB2312" w:hAnsi="Times New Roman"/>
          <w:szCs w:val="32"/>
        </w:rPr>
      </w:pPr>
      <w:r>
        <w:rPr>
          <w:rFonts w:ascii="Times New Roman" w:eastAsia="楷体_GB2312" w:hAnsi="Times New Roman"/>
          <w:szCs w:val="32"/>
        </w:rPr>
        <w:t xml:space="preserve">      </w:t>
      </w:r>
      <w:r>
        <w:rPr>
          <w:rFonts w:ascii="Times New Roman" w:eastAsia="楷体_GB2312" w:hAnsi="Times New Roman"/>
          <w:szCs w:val="32"/>
        </w:rPr>
        <w:t>（六）成品输液发放与运送</w:t>
      </w:r>
      <w:r>
        <w:rPr>
          <w:rFonts w:ascii="Times New Roman" w:eastAsia="楷体_GB2312" w:hAnsi="Times New Roman" w:hint="eastAsia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1.将包装好的成品输液，分病区、整齐放置于有危害药品警示标识的专用周转容器内，按照附件3“成品输液发放与运送</w:t>
      </w:r>
      <w:r w:rsidR="001E019D">
        <w:rPr>
          <w:rFonts w:ascii="仿宋_GB2312" w:hAnsi="仿宋_GB2312" w:cs="仿宋_GB2312" w:hint="eastAsia"/>
          <w:sz w:val="32"/>
          <w:szCs w:val="32"/>
        </w:rPr>
        <w:t>”的有关规定执行，并与病区</w:t>
      </w:r>
      <w:r>
        <w:rPr>
          <w:rFonts w:ascii="仿宋_GB2312" w:hAnsi="仿宋_GB2312" w:cs="仿宋_GB2312" w:hint="eastAsia"/>
          <w:sz w:val="32"/>
          <w:szCs w:val="32"/>
        </w:rPr>
        <w:t>护士签名交接。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2.易产生泡沫的危害药品成品输液，应放置于单独容器内或单独运送。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3.运送过程中需配备危害药品溢出处理包。</w:t>
      </w:r>
    </w:p>
    <w:p w:rsidR="00E70A67" w:rsidRDefault="00E70A67" w:rsidP="00E70A67">
      <w:pPr>
        <w:pStyle w:val="Default"/>
        <w:snapToGrid w:val="0"/>
        <w:spacing w:line="600" w:lineRule="exact"/>
        <w:rPr>
          <w:rFonts w:ascii="Times New Roman" w:eastAsia="宋体" w:hAnsi="Times New Roman" w:cs="Times New Roman"/>
          <w:color w:val="auto"/>
          <w:sz w:val="32"/>
          <w:szCs w:val="32"/>
        </w:rPr>
      </w:pPr>
    </w:p>
    <w:p w:rsidR="00E70A67" w:rsidRDefault="00E70A67" w:rsidP="00E70A67">
      <w:pPr>
        <w:pStyle w:val="Default"/>
        <w:snapToGrid w:val="0"/>
        <w:spacing w:line="600" w:lineRule="exact"/>
        <w:rPr>
          <w:rFonts w:ascii="Times New Roman" w:eastAsia="宋体" w:hAnsi="Times New Roman" w:cs="Times New Roman"/>
          <w:color w:val="auto"/>
          <w:sz w:val="32"/>
          <w:szCs w:val="32"/>
        </w:rPr>
      </w:pPr>
    </w:p>
    <w:p w:rsidR="00E70A67" w:rsidRDefault="00E70A67" w:rsidP="003D3DBD">
      <w:pPr>
        <w:adjustRightInd w:val="0"/>
        <w:snapToGrid w:val="0"/>
        <w:spacing w:line="600" w:lineRule="exact"/>
        <w:rPr>
          <w:rFonts w:ascii="黑体" w:eastAsia="黑体" w:hAnsi="黑体" w:cs="黑体"/>
          <w:szCs w:val="32"/>
        </w:rPr>
      </w:pPr>
      <w:r>
        <w:rPr>
          <w:szCs w:val="32"/>
        </w:rPr>
        <w:br w:type="page"/>
      </w:r>
      <w:r>
        <w:rPr>
          <w:rFonts w:ascii="黑体" w:eastAsia="黑体" w:hAnsi="黑体" w:cs="黑体" w:hint="eastAsia"/>
          <w:szCs w:val="32"/>
        </w:rPr>
        <w:lastRenderedPageBreak/>
        <w:t xml:space="preserve">附件3.2 </w:t>
      </w:r>
    </w:p>
    <w:p w:rsidR="003D3DBD" w:rsidRPr="003D3DBD" w:rsidRDefault="003D3DBD" w:rsidP="003D3DBD">
      <w:pPr>
        <w:pStyle w:val="a2"/>
        <w:spacing w:line="600" w:lineRule="exact"/>
      </w:pPr>
    </w:p>
    <w:p w:rsidR="00E70A67" w:rsidRDefault="00E70A67" w:rsidP="003D3DBD">
      <w:pPr>
        <w:pStyle w:val="2"/>
        <w:jc w:val="center"/>
        <w:rPr>
          <w:rFonts w:ascii="宋体" w:eastAsia="宋体" w:hAnsi="宋体" w:cs="宋体"/>
          <w:sz w:val="44"/>
        </w:rPr>
      </w:pPr>
      <w:bookmarkStart w:id="42" w:name="_Toc515605642"/>
      <w:r>
        <w:rPr>
          <w:rFonts w:ascii="宋体" w:eastAsia="宋体" w:hAnsi="宋体" w:cs="宋体" w:hint="eastAsia"/>
          <w:sz w:val="44"/>
        </w:rPr>
        <w:t>肠外营养液调配技术操作规范</w:t>
      </w:r>
      <w:bookmarkEnd w:id="42"/>
    </w:p>
    <w:p w:rsidR="003D3DBD" w:rsidRPr="003D3DBD" w:rsidRDefault="003D3DBD" w:rsidP="003D3DBD">
      <w:pPr>
        <w:spacing w:line="600" w:lineRule="exact"/>
      </w:pPr>
    </w:p>
    <w:p w:rsidR="00E70A67" w:rsidRDefault="00E70A67" w:rsidP="003D3DBD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为规范肠外营养液调配操作规程，确保肠外营养成品输液质量，保障患者合理用药，根据相关规章和《静脉用药调配中心建设与管理指南》，制定本规范。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7"/>
          <w:rFonts w:ascii="黑体" w:eastAsia="黑体" w:hAnsi="黑体" w:cs="Times New Roman"/>
          <w:b w:val="0"/>
          <w:sz w:val="32"/>
          <w:szCs w:val="32"/>
        </w:rPr>
      </w:pPr>
      <w:bookmarkStart w:id="43" w:name="_Toc515605643"/>
      <w:r>
        <w:rPr>
          <w:rStyle w:val="a7"/>
          <w:rFonts w:ascii="黑体" w:eastAsia="黑体" w:hAnsi="黑体" w:cs="Times New Roman"/>
          <w:sz w:val="32"/>
          <w:szCs w:val="32"/>
        </w:rPr>
        <w:t>一、基本要求</w:t>
      </w:r>
      <w:bookmarkEnd w:id="43"/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基本操作应按照附件3有关规定执行。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7"/>
          <w:rFonts w:ascii="黑体" w:eastAsia="黑体" w:hAnsi="黑体" w:cs="Times New Roman"/>
          <w:b w:val="0"/>
          <w:sz w:val="32"/>
          <w:szCs w:val="32"/>
        </w:rPr>
      </w:pPr>
      <w:bookmarkStart w:id="44" w:name="_Toc515605644"/>
      <w:r>
        <w:rPr>
          <w:rStyle w:val="a7"/>
          <w:rFonts w:ascii="黑体" w:eastAsia="黑体" w:hAnsi="黑体" w:cs="Times New Roman"/>
          <w:sz w:val="32"/>
          <w:szCs w:val="32"/>
        </w:rPr>
        <w:t>二、混合调配操作规程</w:t>
      </w:r>
      <w:bookmarkEnd w:id="44"/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（一）调配操作前准备工作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1.按《静脉用药集中调配技术操作规范》规定，启动调配操作间净化系统和水平层流工作台，并确认其处于正常工作状态。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2.个人防护用品：按照附件3有关规定执行。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3.其他物品：一次性静脉营养输液袋、挂钩、网套等。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4.按照操作规程洗手更衣，进入调配操作间，将摆放药品的药车推至水平层流洁净台附近指定位置。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（二）混合调配操作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按附件3及以下规定操作。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1.调配前校对。操作人员应按输液标签核对药品名称、规格、数量、有效期和药品包装完好性，检查一次性使用静脉营养输液袋完好性，确认无误后，进行加药混合调配。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lastRenderedPageBreak/>
        <w:t xml:space="preserve">2.肠外营养液混合调配操作顺序。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（1）加入药品前，关闭一次性静脉营养输液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袋所有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输液管夹。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（2）将磷酸盐加入氨基酸或高浓度葡萄糖注射液中。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（3）将其他电解质、微量元素加入</w:t>
      </w:r>
      <w:bookmarkStart w:id="45" w:name="_Hlk524944359"/>
      <w:r>
        <w:rPr>
          <w:rFonts w:ascii="仿宋_GB2312" w:hAnsi="仿宋_GB2312" w:cs="仿宋_GB2312" w:hint="eastAsia"/>
          <w:sz w:val="32"/>
          <w:szCs w:val="32"/>
        </w:rPr>
        <w:t>葡萄糖注射液或氨基酸注射液</w:t>
      </w:r>
      <w:bookmarkEnd w:id="45"/>
      <w:r>
        <w:rPr>
          <w:rFonts w:ascii="仿宋_GB2312" w:hAnsi="仿宋_GB2312" w:cs="仿宋_GB2312" w:hint="eastAsia"/>
          <w:sz w:val="32"/>
          <w:szCs w:val="32"/>
        </w:rPr>
        <w:t>内，注意不能与磷酸盐加入同一稀释液中，钙离子和镁离子也不能加入到同一稀释液中。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（4）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用脂溶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性维生素溶解水溶性维生素后，加入脂肪乳剂中。如果处方中不含脂肪乳，可将水溶性维生素加入5%葡萄糖注射液中溶解。复合维生素，可加入5%葡萄糖注射液或脂肪乳注射液中。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5）药品加入一次性静脉营养输液袋顺序。先加入氨基酸或含磷酸盐氨基酸注射液，再加入除脂肪乳注射液之外的其他液体。加入药液时要不断缓慢按压输液袋，使充分混匀。待上述注射液全部注入静脉营养输液袋后，及时关闭相应两路输液管夹，防止空气进入或液体流出。检查一次性静脉营养输液袋内有无浑浊、变色、异物以及沉淀物生成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（6）最后注入脂肪乳注射液，边加边缓慢轻压袋体，待脂肪乳注射液全部注入一次性静脉营养输液袋后，及时关闭输液管夹，防止空气进入或液体流出。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（7）竖直一次性静脉营养输液袋，使加药口向上，拆除加液管，通过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挤压袋体排尽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 xml:space="preserve">空气后关闭截流夹，将无菌帽套于加药口上。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lastRenderedPageBreak/>
        <w:t>（8）悬挂一次性静脉营养输液袋，检查是否有渗出、沉淀、异物、变色等异常情况。如出现，应废弃并重新调配，及时查找原因并记录。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（9）调配完成后的肠外营养成品输液标签应注明总容量、成分、注意事项、建议输注时限和有效期等。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3.工业化三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腔袋所有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操作，应按照药品说明书进行。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（三）混合调配操作注意事项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1.混合调配肠外营养液，应在水平层流洁净台内操作。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2.严格按照操作规程进行混合调配操作。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（1）磷与钙、钙与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镁不可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 xml:space="preserve">加入到同一载体中，避免生成沉淀。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（2）葡萄糖注射液不宜直接与脂肪乳剂混合，以免影响其稳定性。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（3）电解质不能直接加于脂肪乳中，以免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破坏乳滴稳定性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 xml:space="preserve">，导致破乳。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（4）多种微量元素注射液与甘油磷酸钠注射液，应分别加入两瓶氨基酸，避免局部浓度过高发生变色反应。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（5）如需加胰岛素和肝素钠，则单独加在葡萄糖注射液或氨基酸注射液中。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3.如果有非整支（瓶）用量，应有双人复核确认与签名，并在输液标签上有明显标识，以便提示复核、校对。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（四）调配操作结束后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1.按照附件3有关规定进行操作。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lastRenderedPageBreak/>
        <w:t xml:space="preserve">2.每组、每日混合调配操作完成后，应立即清场、清洁工作台台面，无遗留物。针头等放入利器盒，医疗废物置于黄色废物包装袋中。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3.按照操作规程进行清洁、消毒工作。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hAnsi="Times New Roman" w:cs="Times New Roman"/>
          <w:kern w:val="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4.做好相关工作记录。</w:t>
      </w:r>
      <w:r>
        <w:rPr>
          <w:rFonts w:ascii="仿宋_GB2312" w:hAnsi="仿宋_GB2312" w:cs="仿宋_GB2312" w:hint="eastAsia"/>
          <w:kern w:val="2"/>
          <w:sz w:val="32"/>
          <w:szCs w:val="32"/>
        </w:rPr>
        <w:t xml:space="preserve">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7"/>
          <w:rFonts w:ascii="黑体" w:eastAsia="黑体" w:hAnsi="黑体" w:cs="Times New Roman"/>
          <w:b w:val="0"/>
          <w:sz w:val="32"/>
          <w:szCs w:val="32"/>
        </w:rPr>
      </w:pPr>
      <w:bookmarkStart w:id="46" w:name="_Toc515605645"/>
      <w:r>
        <w:rPr>
          <w:rStyle w:val="a7"/>
          <w:rFonts w:ascii="黑体" w:eastAsia="黑体" w:hAnsi="黑体" w:cs="Times New Roman"/>
          <w:sz w:val="32"/>
          <w:szCs w:val="32"/>
        </w:rPr>
        <w:t>三、注意事项</w:t>
      </w:r>
      <w:bookmarkEnd w:id="46"/>
      <w:r>
        <w:rPr>
          <w:rStyle w:val="a7"/>
          <w:rFonts w:ascii="黑体" w:eastAsia="黑体" w:hAnsi="黑体" w:cs="Times New Roman"/>
          <w:sz w:val="32"/>
          <w:szCs w:val="32"/>
        </w:rPr>
        <w:t xml:space="preserve">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hAnsi="Times New Roman" w:cs="Times New Roman"/>
          <w:b/>
          <w:bCs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（一）肠外营养液调配应特别关注以下几点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：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1.营养评估确认患者是否需要或适合使用肠外营养液。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2.审核肠外营养用药医嘱是否适宜准确。推荐评估以下内容（成人用量）：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（1）每日补液量控制，一般按以下原则计算：第一个10kg，补100ml/kg；第二个10kg</w:t>
      </w:r>
      <w:r>
        <w:rPr>
          <w:rFonts w:ascii="仿宋_GB2312" w:hAnsi="仿宋_GB2312" w:cs="仿宋_GB2312"/>
          <w:sz w:val="32"/>
          <w:szCs w:val="32"/>
        </w:rPr>
        <w:t>，</w:t>
      </w:r>
      <w:r>
        <w:rPr>
          <w:rFonts w:ascii="仿宋_GB2312" w:hAnsi="仿宋_GB2312" w:cs="仿宋_GB2312" w:hint="eastAsia"/>
          <w:sz w:val="32"/>
          <w:szCs w:val="32"/>
        </w:rPr>
        <w:t xml:space="preserve">补50ml/kg；超过20kg，补20ml/kg；发热患者超过37℃，每升高1℃一般宜每日多补充300ml。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（2）糖脂比：1～2:1；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热氮比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：100～200:1。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（3）不推荐常规加入胰岛素，必须加入时按照10g葡萄糖：1u胰岛素加入。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（4）电解质限度：一价阳离子（Na</w:t>
      </w:r>
      <w:r>
        <w:rPr>
          <w:rFonts w:ascii="仿宋_GB2312" w:hAnsi="仿宋_GB2312" w:cs="仿宋_GB2312" w:hint="eastAsia"/>
          <w:sz w:val="32"/>
          <w:szCs w:val="32"/>
          <w:vertAlign w:val="superscript"/>
        </w:rPr>
        <w:t>+</w:t>
      </w:r>
      <w:r>
        <w:rPr>
          <w:rFonts w:ascii="仿宋_GB2312" w:hAnsi="仿宋_GB2312" w:cs="仿宋_GB2312" w:hint="eastAsia"/>
          <w:sz w:val="32"/>
          <w:szCs w:val="32"/>
        </w:rPr>
        <w:t>、K</w:t>
      </w:r>
      <w:r>
        <w:rPr>
          <w:rFonts w:ascii="仿宋_GB2312" w:hAnsi="仿宋_GB2312" w:cs="仿宋_GB2312" w:hint="eastAsia"/>
          <w:sz w:val="32"/>
          <w:szCs w:val="32"/>
          <w:vertAlign w:val="superscript"/>
        </w:rPr>
        <w:t>+</w:t>
      </w:r>
      <w:r>
        <w:rPr>
          <w:rFonts w:ascii="仿宋_GB2312" w:hAnsi="仿宋_GB2312" w:cs="仿宋_GB2312" w:hint="eastAsia"/>
          <w:sz w:val="32"/>
          <w:szCs w:val="32"/>
        </w:rPr>
        <w:t>)不超过150mmol/L；二价阳离子（Ca</w:t>
      </w:r>
      <w:r>
        <w:rPr>
          <w:rFonts w:ascii="仿宋_GB2312" w:hAnsi="仿宋_GB2312" w:cs="仿宋_GB2312" w:hint="eastAsia"/>
          <w:sz w:val="32"/>
          <w:szCs w:val="32"/>
          <w:vertAlign w:val="superscript"/>
        </w:rPr>
        <w:t>2+</w:t>
      </w:r>
      <w:r>
        <w:rPr>
          <w:rFonts w:ascii="仿宋_GB2312" w:hAnsi="仿宋_GB2312" w:cs="仿宋_GB2312" w:hint="eastAsia"/>
          <w:sz w:val="32"/>
          <w:szCs w:val="32"/>
        </w:rPr>
        <w:t>、Mg</w:t>
      </w:r>
      <w:r>
        <w:rPr>
          <w:rFonts w:ascii="仿宋_GB2312" w:hAnsi="仿宋_GB2312" w:cs="仿宋_GB2312" w:hint="eastAsia"/>
          <w:sz w:val="32"/>
          <w:szCs w:val="32"/>
          <w:vertAlign w:val="superscript"/>
        </w:rPr>
        <w:t>2+</w:t>
      </w:r>
      <w:r>
        <w:rPr>
          <w:rFonts w:ascii="仿宋_GB2312" w:hAnsi="仿宋_GB2312" w:cs="仿宋_GB2312" w:hint="eastAsia"/>
          <w:sz w:val="32"/>
          <w:szCs w:val="32"/>
        </w:rPr>
        <w:t>）不超过10mmol/L。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（5）丙氨酰谷氨酰胺应与至少5倍体积的载体混合。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（二）成品输液核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查</w:t>
      </w:r>
      <w:r>
        <w:rPr>
          <w:rFonts w:ascii="Times New Roman" w:eastAsia="楷体_GB2312" w:hAnsi="Times New Roman" w:cs="Times New Roman"/>
          <w:kern w:val="2"/>
          <w:sz w:val="32"/>
          <w:szCs w:val="32"/>
        </w:rPr>
        <w:t>、包装与发放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1.重点检查肠外营养质量，如有无变色、分层、破乳等。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2.检查输液管夹、截流夹是否关闭</w:t>
      </w:r>
      <w:r w:rsidR="00A619FF">
        <w:rPr>
          <w:rFonts w:ascii="仿宋_GB2312" w:hAnsi="仿宋_GB2312" w:cs="仿宋_GB2312" w:hint="eastAsia"/>
          <w:sz w:val="32"/>
          <w:szCs w:val="32"/>
        </w:rPr>
        <w:t>，</w:t>
      </w:r>
      <w:r>
        <w:rPr>
          <w:rFonts w:ascii="仿宋_GB2312" w:hAnsi="仿宋_GB2312" w:cs="仿宋_GB2312" w:hint="eastAsia"/>
          <w:sz w:val="32"/>
          <w:szCs w:val="32"/>
        </w:rPr>
        <w:t>无菌帽是否已套上</w:t>
      </w:r>
      <w:r w:rsidR="00A619FF">
        <w:rPr>
          <w:rFonts w:ascii="仿宋_GB2312" w:hAnsi="仿宋_GB2312" w:cs="仿宋_GB2312" w:hint="eastAsia"/>
          <w:sz w:val="32"/>
          <w:szCs w:val="32"/>
        </w:rPr>
        <w:t>，</w:t>
      </w:r>
      <w:r>
        <w:rPr>
          <w:rFonts w:ascii="仿宋_GB2312" w:hAnsi="仿宋_GB2312" w:cs="仿宋_GB2312" w:hint="eastAsia"/>
          <w:sz w:val="32"/>
          <w:szCs w:val="32"/>
        </w:rPr>
        <w:lastRenderedPageBreak/>
        <w:t>输液袋是否有渗漏等。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3.核对非整支（瓶）用量药品标记是否完整清晰，计算是否正确。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4.肠外营养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液应用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 xml:space="preserve">专用包装袋单独包装，与电解质等其他成品输液分开，以避免交叉污染。包装时一般每包2～3袋为宜，应轻拿轻放，避免重压。 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_GB2312" w:hAnsi="Times New Roman" w:cs="Times New Roman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kern w:val="2"/>
          <w:sz w:val="32"/>
          <w:szCs w:val="32"/>
        </w:rPr>
        <w:t>（三）成品输液运送与交接</w:t>
      </w:r>
      <w:r>
        <w:rPr>
          <w:rFonts w:ascii="Times New Roman" w:eastAsia="楷体_GB2312" w:hAnsi="Times New Roman" w:cs="Times New Roman" w:hint="eastAsia"/>
          <w:kern w:val="2"/>
          <w:sz w:val="32"/>
          <w:szCs w:val="32"/>
        </w:rPr>
        <w:t>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/>
          <w:sz w:val="32"/>
          <w:szCs w:val="32"/>
        </w:rPr>
        <w:t>1.</w:t>
      </w:r>
      <w:r>
        <w:rPr>
          <w:rFonts w:ascii="仿宋_GB2312" w:hAnsi="仿宋_GB2312" w:cs="仿宋_GB2312" w:hint="eastAsia"/>
          <w:sz w:val="32"/>
          <w:szCs w:val="32"/>
        </w:rPr>
        <w:t>用专用周转容器包装运送，避免重压及剧烈晃动，以防输液管夹与截流夹松动。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/>
          <w:sz w:val="32"/>
          <w:szCs w:val="32"/>
        </w:rPr>
        <w:t>2.</w:t>
      </w:r>
      <w:r w:rsidR="001E019D">
        <w:rPr>
          <w:rFonts w:ascii="仿宋_GB2312" w:hAnsi="仿宋_GB2312" w:cs="仿宋_GB2312" w:hint="eastAsia"/>
          <w:sz w:val="32"/>
          <w:szCs w:val="32"/>
        </w:rPr>
        <w:t>与病区</w:t>
      </w:r>
      <w:r>
        <w:rPr>
          <w:rFonts w:ascii="仿宋_GB2312" w:hAnsi="仿宋_GB2312" w:cs="仿宋_GB2312" w:hint="eastAsia"/>
          <w:sz w:val="32"/>
          <w:szCs w:val="32"/>
        </w:rPr>
        <w:t>护士交接时应注意输液管夹、截流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夹是否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处于关闭状态、液体是否有渗漏。</w:t>
      </w:r>
    </w:p>
    <w:p w:rsidR="00E70A67" w:rsidRDefault="00E70A67" w:rsidP="00E70A67">
      <w:pPr>
        <w:pStyle w:val="a8"/>
        <w:widowControl w:val="0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3.如在使用时，有注意事项或其他特别交代事宜的，</w:t>
      </w:r>
      <w:r w:rsidR="001E019D">
        <w:rPr>
          <w:rFonts w:ascii="仿宋_GB2312" w:hAnsi="仿宋_GB2312" w:cs="仿宋_GB2312" w:hint="eastAsia"/>
          <w:sz w:val="32"/>
          <w:szCs w:val="32"/>
        </w:rPr>
        <w:t>应在输液标签或用书面咨询书形式交代清楚。如有需要，应当面告知</w:t>
      </w:r>
      <w:r>
        <w:rPr>
          <w:rFonts w:ascii="仿宋_GB2312" w:hAnsi="仿宋_GB2312" w:cs="仿宋_GB2312" w:hint="eastAsia"/>
          <w:sz w:val="32"/>
          <w:szCs w:val="32"/>
        </w:rPr>
        <w:t>护士。</w:t>
      </w:r>
    </w:p>
    <w:p w:rsidR="002E3DD2" w:rsidRPr="00E70A67" w:rsidRDefault="00E70A67" w:rsidP="00770E4D">
      <w:pPr>
        <w:pStyle w:val="a8"/>
        <w:widowControl w:val="0"/>
        <w:adjustRightInd w:val="0"/>
        <w:spacing w:before="0" w:beforeAutospacing="0" w:after="0" w:afterAutospacing="0" w:line="600" w:lineRule="exact"/>
        <w:ind w:firstLineChars="200" w:firstLine="640"/>
        <w:jc w:val="both"/>
      </w:pPr>
      <w:r>
        <w:rPr>
          <w:rFonts w:ascii="仿宋_GB2312" w:hAnsi="仿宋_GB2312" w:cs="仿宋_GB2312"/>
          <w:sz w:val="32"/>
          <w:szCs w:val="32"/>
        </w:rPr>
        <w:t>4.</w:t>
      </w:r>
      <w:r>
        <w:rPr>
          <w:rFonts w:ascii="仿宋_GB2312" w:hAnsi="仿宋_GB2312" w:cs="仿宋_GB2312" w:hint="eastAsia"/>
          <w:sz w:val="32"/>
          <w:szCs w:val="32"/>
        </w:rPr>
        <w:t>按照附件3</w:t>
      </w:r>
      <w:r w:rsidR="001E019D">
        <w:rPr>
          <w:rFonts w:ascii="仿宋_GB2312" w:hAnsi="仿宋_GB2312" w:cs="仿宋_GB2312" w:hint="eastAsia"/>
          <w:sz w:val="32"/>
          <w:szCs w:val="32"/>
        </w:rPr>
        <w:t>“成品输液发放与运送”的有关规定执行，并与病区</w:t>
      </w:r>
      <w:r>
        <w:rPr>
          <w:rFonts w:ascii="仿宋_GB2312" w:hAnsi="仿宋_GB2312" w:cs="仿宋_GB2312" w:hint="eastAsia"/>
          <w:sz w:val="32"/>
          <w:szCs w:val="32"/>
        </w:rPr>
        <w:t>护士签名交接</w:t>
      </w:r>
      <w:r w:rsidR="00770E4D">
        <w:rPr>
          <w:rFonts w:eastAsia="仿宋" w:hint="eastAsia"/>
          <w:b/>
          <w:sz w:val="32"/>
          <w:szCs w:val="32"/>
        </w:rPr>
        <w:t>。</w:t>
      </w:r>
    </w:p>
    <w:sectPr w:rsidR="002E3DD2" w:rsidRPr="00E70A67" w:rsidSect="00295ECA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EE2" w:rsidRDefault="003F1EE2" w:rsidP="00E70A67">
      <w:r>
        <w:separator/>
      </w:r>
    </w:p>
  </w:endnote>
  <w:endnote w:type="continuationSeparator" w:id="0">
    <w:p w:rsidR="003F1EE2" w:rsidRDefault="003F1EE2" w:rsidP="00E70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ECA" w:rsidRDefault="0084598B">
    <w:pPr>
      <w:pStyle w:val="a2"/>
      <w:jc w:val="center"/>
    </w:pPr>
    <w:r w:rsidRPr="0084598B">
      <w:fldChar w:fldCharType="begin"/>
    </w:r>
    <w:r w:rsidR="00295ECA">
      <w:instrText xml:space="preserve"> PAGE   \* MERGEFORMAT </w:instrText>
    </w:r>
    <w:r w:rsidRPr="0084598B">
      <w:fldChar w:fldCharType="separate"/>
    </w:r>
    <w:r w:rsidR="00AF4EEE" w:rsidRPr="00AF4EEE">
      <w:rPr>
        <w:noProof/>
        <w:lang w:val="zh-CN"/>
      </w:rPr>
      <w:t>18</w:t>
    </w:r>
    <w:r>
      <w:rPr>
        <w:lang w:val="zh-C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EE2" w:rsidRDefault="003F1EE2" w:rsidP="00E70A67">
      <w:r>
        <w:separator/>
      </w:r>
    </w:p>
  </w:footnote>
  <w:footnote w:type="continuationSeparator" w:id="0">
    <w:p w:rsidR="003F1EE2" w:rsidRDefault="003F1EE2" w:rsidP="00E70A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91163"/>
    <w:multiLevelType w:val="multilevel"/>
    <w:tmpl w:val="1FC91163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suff w:val="nothing"/>
      <w:lvlText w:val="%1.%2　"/>
      <w:lvlJc w:val="left"/>
      <w:pPr>
        <w:ind w:left="156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pStyle w:val="a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0"/>
      <w:suff w:val="nothing"/>
      <w:lvlText w:val="%1.%2.%3.%4　"/>
      <w:lvlJc w:val="left"/>
      <w:pPr>
        <w:ind w:left="568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0A67"/>
    <w:rsid w:val="00027263"/>
    <w:rsid w:val="00056E83"/>
    <w:rsid w:val="001C2D12"/>
    <w:rsid w:val="001E019D"/>
    <w:rsid w:val="00295ECA"/>
    <w:rsid w:val="002E3DD2"/>
    <w:rsid w:val="003D3DBD"/>
    <w:rsid w:val="003F1EE2"/>
    <w:rsid w:val="003F7D8D"/>
    <w:rsid w:val="004A3CA9"/>
    <w:rsid w:val="004C130E"/>
    <w:rsid w:val="005A70F2"/>
    <w:rsid w:val="006546A9"/>
    <w:rsid w:val="007310F1"/>
    <w:rsid w:val="00770E4D"/>
    <w:rsid w:val="007C138B"/>
    <w:rsid w:val="0083418C"/>
    <w:rsid w:val="0084598B"/>
    <w:rsid w:val="008C25EF"/>
    <w:rsid w:val="00A30236"/>
    <w:rsid w:val="00A619FF"/>
    <w:rsid w:val="00A77195"/>
    <w:rsid w:val="00A82189"/>
    <w:rsid w:val="00AF4EEE"/>
    <w:rsid w:val="00BA6BB1"/>
    <w:rsid w:val="00C35EC5"/>
    <w:rsid w:val="00D04879"/>
    <w:rsid w:val="00D431DC"/>
    <w:rsid w:val="00E70A67"/>
    <w:rsid w:val="00F03E31"/>
    <w:rsid w:val="00FA1474"/>
    <w:rsid w:val="00FB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next w:val="a2"/>
    <w:qFormat/>
    <w:rsid w:val="00E70A6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styleId="1">
    <w:name w:val="heading 1"/>
    <w:basedOn w:val="a1"/>
    <w:next w:val="a1"/>
    <w:link w:val="1Char"/>
    <w:qFormat/>
    <w:rsid w:val="00E70A67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1"/>
    <w:next w:val="a1"/>
    <w:link w:val="2Char"/>
    <w:uiPriority w:val="9"/>
    <w:qFormat/>
    <w:rsid w:val="00E70A67"/>
    <w:pPr>
      <w:keepNext/>
      <w:keepLines/>
      <w:spacing w:line="600" w:lineRule="exact"/>
      <w:outlineLvl w:val="1"/>
    </w:pPr>
    <w:rPr>
      <w:rFonts w:ascii="仿宋" w:eastAsia="仿宋" w:hAnsi="仿宋"/>
      <w:b/>
      <w:bCs/>
      <w:szCs w:val="32"/>
    </w:rPr>
  </w:style>
  <w:style w:type="paragraph" w:styleId="3">
    <w:name w:val="heading 3"/>
    <w:basedOn w:val="a1"/>
    <w:next w:val="a1"/>
    <w:link w:val="3Char"/>
    <w:unhideWhenUsed/>
    <w:qFormat/>
    <w:rsid w:val="00E70A67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footer"/>
    <w:basedOn w:val="a1"/>
    <w:link w:val="Char"/>
    <w:uiPriority w:val="99"/>
    <w:unhideWhenUsed/>
    <w:qFormat/>
    <w:rsid w:val="00E70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3"/>
    <w:link w:val="a2"/>
    <w:uiPriority w:val="99"/>
    <w:rsid w:val="00E70A67"/>
    <w:rPr>
      <w:sz w:val="18"/>
      <w:szCs w:val="18"/>
    </w:rPr>
  </w:style>
  <w:style w:type="character" w:customStyle="1" w:styleId="1Char">
    <w:name w:val="标题 1 Char"/>
    <w:basedOn w:val="a3"/>
    <w:link w:val="1"/>
    <w:rsid w:val="00E70A67"/>
    <w:rPr>
      <w:rFonts w:ascii="Times New Roman" w:eastAsia="黑体" w:hAnsi="Times New Roman" w:cs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3"/>
    <w:link w:val="2"/>
    <w:uiPriority w:val="9"/>
    <w:rsid w:val="00E70A67"/>
    <w:rPr>
      <w:rFonts w:ascii="仿宋" w:eastAsia="仿宋" w:hAnsi="仿宋" w:cs="Times New Roman"/>
      <w:b/>
      <w:bCs/>
      <w:sz w:val="32"/>
      <w:szCs w:val="32"/>
    </w:rPr>
  </w:style>
  <w:style w:type="character" w:customStyle="1" w:styleId="3Char">
    <w:name w:val="标题 3 Char"/>
    <w:basedOn w:val="a3"/>
    <w:link w:val="3"/>
    <w:rsid w:val="00E70A67"/>
    <w:rPr>
      <w:rFonts w:ascii="Times New Roman" w:eastAsia="仿宋_GB2312" w:hAnsi="Times New Roman" w:cs="Times New Roman"/>
      <w:b/>
      <w:bCs/>
      <w:sz w:val="32"/>
      <w:szCs w:val="32"/>
    </w:rPr>
  </w:style>
  <w:style w:type="paragraph" w:styleId="a6">
    <w:name w:val="header"/>
    <w:basedOn w:val="a1"/>
    <w:link w:val="Char0"/>
    <w:unhideWhenUsed/>
    <w:rsid w:val="00E70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3"/>
    <w:link w:val="a6"/>
    <w:rsid w:val="00E70A67"/>
    <w:rPr>
      <w:sz w:val="18"/>
      <w:szCs w:val="18"/>
    </w:rPr>
  </w:style>
  <w:style w:type="character" w:styleId="a7">
    <w:name w:val="Strong"/>
    <w:qFormat/>
    <w:rsid w:val="00E70A67"/>
    <w:rPr>
      <w:b/>
      <w:bCs/>
    </w:rPr>
  </w:style>
  <w:style w:type="paragraph" w:customStyle="1" w:styleId="Default">
    <w:name w:val="Default"/>
    <w:qFormat/>
    <w:rsid w:val="00E70A67"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kern w:val="0"/>
      <w:sz w:val="24"/>
      <w:szCs w:val="24"/>
    </w:rPr>
  </w:style>
  <w:style w:type="paragraph" w:styleId="a8">
    <w:name w:val="Normal (Web)"/>
    <w:basedOn w:val="a1"/>
    <w:unhideWhenUsed/>
    <w:qFormat/>
    <w:rsid w:val="00E70A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样式1"/>
    <w:basedOn w:val="a1"/>
    <w:qFormat/>
    <w:rsid w:val="00E70A67"/>
    <w:rPr>
      <w:rFonts w:ascii="仿宋_GB2312"/>
      <w:sz w:val="28"/>
    </w:rPr>
  </w:style>
  <w:style w:type="paragraph" w:customStyle="1" w:styleId="a">
    <w:name w:val="二级条标题"/>
    <w:basedOn w:val="a1"/>
    <w:next w:val="a1"/>
    <w:qFormat/>
    <w:rsid w:val="00E70A67"/>
    <w:pPr>
      <w:widowControl/>
      <w:numPr>
        <w:ilvl w:val="2"/>
        <w:numId w:val="1"/>
      </w:numPr>
      <w:spacing w:beforeLines="50" w:afterLines="50"/>
      <w:jc w:val="left"/>
      <w:outlineLvl w:val="3"/>
    </w:pPr>
    <w:rPr>
      <w:rFonts w:ascii="黑体" w:eastAsia="黑体" w:hAnsi="Calibri"/>
      <w:kern w:val="0"/>
      <w:szCs w:val="21"/>
    </w:rPr>
  </w:style>
  <w:style w:type="paragraph" w:customStyle="1" w:styleId="11">
    <w:name w:val="列出段落11"/>
    <w:basedOn w:val="a1"/>
    <w:qFormat/>
    <w:rsid w:val="00E70A67"/>
    <w:pPr>
      <w:ind w:firstLineChars="200" w:firstLine="420"/>
    </w:pPr>
    <w:rPr>
      <w:rFonts w:ascii="Calibri" w:hAnsi="Calibri"/>
      <w:szCs w:val="21"/>
    </w:rPr>
  </w:style>
  <w:style w:type="paragraph" w:customStyle="1" w:styleId="a0">
    <w:name w:val="三级条标题"/>
    <w:basedOn w:val="a"/>
    <w:next w:val="a9"/>
    <w:qFormat/>
    <w:rsid w:val="00E70A67"/>
    <w:pPr>
      <w:numPr>
        <w:ilvl w:val="3"/>
      </w:numPr>
      <w:spacing w:before="50" w:after="50"/>
      <w:outlineLvl w:val="4"/>
    </w:pPr>
  </w:style>
  <w:style w:type="paragraph" w:customStyle="1" w:styleId="a9">
    <w:name w:val="段"/>
    <w:qFormat/>
    <w:rsid w:val="00E70A6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Calibri" w:cs="Times New Roman"/>
    </w:rPr>
  </w:style>
  <w:style w:type="paragraph" w:styleId="aa">
    <w:name w:val="Balloon Text"/>
    <w:basedOn w:val="a1"/>
    <w:link w:val="Char1"/>
    <w:rsid w:val="00E70A67"/>
    <w:rPr>
      <w:sz w:val="18"/>
      <w:szCs w:val="18"/>
    </w:rPr>
  </w:style>
  <w:style w:type="character" w:customStyle="1" w:styleId="Char1">
    <w:name w:val="批注框文本 Char"/>
    <w:basedOn w:val="a3"/>
    <w:link w:val="aa"/>
    <w:rsid w:val="00E70A67"/>
    <w:rPr>
      <w:rFonts w:ascii="Times New Roman" w:eastAsia="仿宋_GB2312" w:hAnsi="Times New Roman" w:cs="Times New Roman"/>
      <w:sz w:val="18"/>
      <w:szCs w:val="18"/>
    </w:rPr>
  </w:style>
  <w:style w:type="character" w:styleId="ab">
    <w:name w:val="annotation reference"/>
    <w:basedOn w:val="a3"/>
    <w:rsid w:val="00E70A67"/>
    <w:rPr>
      <w:sz w:val="21"/>
      <w:szCs w:val="21"/>
    </w:rPr>
  </w:style>
  <w:style w:type="paragraph" w:styleId="ac">
    <w:name w:val="annotation text"/>
    <w:basedOn w:val="a1"/>
    <w:link w:val="Char2"/>
    <w:rsid w:val="00E70A67"/>
    <w:pPr>
      <w:jc w:val="left"/>
    </w:pPr>
  </w:style>
  <w:style w:type="character" w:customStyle="1" w:styleId="Char2">
    <w:name w:val="批注文字 Char"/>
    <w:basedOn w:val="a3"/>
    <w:link w:val="ac"/>
    <w:rsid w:val="00E70A67"/>
    <w:rPr>
      <w:rFonts w:ascii="Times New Roman" w:eastAsia="仿宋_GB2312" w:hAnsi="Times New Roman" w:cs="Times New Roman"/>
      <w:sz w:val="32"/>
      <w:szCs w:val="24"/>
    </w:rPr>
  </w:style>
  <w:style w:type="paragraph" w:styleId="ad">
    <w:name w:val="annotation subject"/>
    <w:basedOn w:val="ac"/>
    <w:next w:val="ac"/>
    <w:link w:val="Char3"/>
    <w:rsid w:val="00E70A67"/>
    <w:rPr>
      <w:b/>
      <w:bCs/>
    </w:rPr>
  </w:style>
  <w:style w:type="character" w:customStyle="1" w:styleId="Char3">
    <w:name w:val="批注主题 Char"/>
    <w:basedOn w:val="Char2"/>
    <w:link w:val="ad"/>
    <w:rsid w:val="00E70A67"/>
    <w:rPr>
      <w:b/>
      <w:bCs/>
    </w:rPr>
  </w:style>
  <w:style w:type="paragraph" w:customStyle="1" w:styleId="ae">
    <w:name w:val="章标题"/>
    <w:next w:val="a1"/>
    <w:qFormat/>
    <w:rsid w:val="00E70A67"/>
    <w:pPr>
      <w:spacing w:beforeLines="100" w:afterLines="100"/>
      <w:jc w:val="both"/>
      <w:outlineLvl w:val="1"/>
    </w:pPr>
    <w:rPr>
      <w:rFonts w:ascii="黑体" w:eastAsia="黑体" w:hAnsi="Calibri" w:cs="Times New Roman"/>
      <w:kern w:val="0"/>
    </w:rPr>
  </w:style>
  <w:style w:type="paragraph" w:styleId="af">
    <w:name w:val="Body Text"/>
    <w:basedOn w:val="a1"/>
    <w:link w:val="Char4"/>
    <w:uiPriority w:val="1"/>
    <w:qFormat/>
    <w:rsid w:val="00E70A67"/>
    <w:pPr>
      <w:spacing w:before="29"/>
      <w:ind w:left="120" w:firstLine="559"/>
      <w:jc w:val="left"/>
    </w:pPr>
    <w:rPr>
      <w:rFonts w:ascii="宋体" w:eastAsia="宋体" w:hAnsi="宋体"/>
      <w:kern w:val="0"/>
      <w:sz w:val="28"/>
      <w:szCs w:val="28"/>
      <w:lang w:eastAsia="en-US"/>
    </w:rPr>
  </w:style>
  <w:style w:type="character" w:customStyle="1" w:styleId="Char4">
    <w:name w:val="正文文本 Char"/>
    <w:basedOn w:val="a3"/>
    <w:link w:val="af"/>
    <w:uiPriority w:val="1"/>
    <w:qFormat/>
    <w:rsid w:val="00E70A67"/>
    <w:rPr>
      <w:rFonts w:ascii="宋体" w:eastAsia="宋体" w:hAnsi="宋体" w:cs="Times New Roman"/>
      <w:kern w:val="0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BB6B3-5BE6-46F4-B302-994547350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25</Pages>
  <Words>1621</Words>
  <Characters>9246</Characters>
  <Application>Microsoft Office Word</Application>
  <DocSecurity>0</DocSecurity>
  <Lines>77</Lines>
  <Paragraphs>21</Paragraphs>
  <ScaleCrop>false</ScaleCrop>
  <Company/>
  <LinksUpToDate>false</LinksUpToDate>
  <CharactersWithSpaces>10846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29</cp:revision>
  <dcterms:created xsi:type="dcterms:W3CDTF">2021-12-17T10:12:00Z</dcterms:created>
  <dcterms:modified xsi:type="dcterms:W3CDTF">2021-12-20T03:14:00Z</dcterms:modified>
</cp:coreProperties>
</file>