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D7821">
      <w:pPr>
        <w:tabs>
          <w:tab w:val="left" w:pos="7560"/>
        </w:tabs>
        <w:snapToGrid w:val="0"/>
        <w:spacing w:line="520" w:lineRule="exact"/>
        <w:rPr>
          <w:rFonts w:eastAsia="黑体"/>
          <w:color w:val="000000" w:themeColor="text1"/>
          <w:sz w:val="32"/>
          <w:szCs w:val="32"/>
        </w:rPr>
      </w:pPr>
      <w:r>
        <w:rPr>
          <w:rFonts w:eastAsia="黑体"/>
          <w:color w:val="000000" w:themeColor="text1"/>
          <w:sz w:val="32"/>
          <w:szCs w:val="32"/>
        </w:rPr>
        <w:t>附件</w:t>
      </w:r>
    </w:p>
    <w:p w14:paraId="09431A22">
      <w:pPr>
        <w:snapToGrid w:val="0"/>
        <w:spacing w:line="520" w:lineRule="exact"/>
        <w:rPr>
          <w:rFonts w:eastAsia="仿宋_GB2312"/>
          <w:color w:val="000000" w:themeColor="text1"/>
          <w:sz w:val="32"/>
          <w:szCs w:val="32"/>
        </w:rPr>
      </w:pPr>
    </w:p>
    <w:p w14:paraId="23D54560">
      <w:pPr>
        <w:snapToGrid w:val="0"/>
        <w:spacing w:line="520" w:lineRule="exact"/>
        <w:jc w:val="center"/>
        <w:outlineLvl w:val="0"/>
        <w:rPr>
          <w:rFonts w:eastAsia="方正小标宋_GBK"/>
          <w:color w:val="000000" w:themeColor="text1"/>
          <w:sz w:val="44"/>
          <w:szCs w:val="44"/>
        </w:rPr>
      </w:pPr>
      <w:r>
        <w:rPr>
          <w:rFonts w:eastAsia="方正小标宋_GBK"/>
          <w:color w:val="000000" w:themeColor="text1"/>
          <w:sz w:val="44"/>
          <w:szCs w:val="44"/>
        </w:rPr>
        <w:t>医疗器械磁共振环境安全评价指导原则</w:t>
      </w:r>
      <w:r>
        <w:rPr>
          <w:rFonts w:eastAsia="方正小标宋_GBK"/>
          <w:color w:val="000000" w:themeColor="text1"/>
          <w:sz w:val="44"/>
          <w:szCs w:val="44"/>
        </w:rPr>
        <w:br w:type="textWrapping"/>
      </w:r>
      <w:r>
        <w:rPr>
          <w:rFonts w:eastAsia="方正小标宋简体"/>
          <w:b w:val="0"/>
          <w:bCs w:val="0"/>
          <w:color w:val="000000" w:themeColor="text1"/>
          <w:sz w:val="44"/>
          <w:szCs w:val="44"/>
        </w:rPr>
        <w:t>（征求意见稿）</w:t>
      </w:r>
    </w:p>
    <w:p w14:paraId="799E1254">
      <w:pPr>
        <w:pStyle w:val="27"/>
        <w:adjustRightInd/>
        <w:snapToGrid w:val="0"/>
        <w:spacing w:line="520" w:lineRule="exact"/>
        <w:jc w:val="both"/>
        <w:rPr>
          <w:rFonts w:ascii="Times New Roman" w:eastAsia="仿宋_GB2312" w:cs="Times New Roman"/>
          <w:color w:val="000000" w:themeColor="text1"/>
          <w:sz w:val="32"/>
          <w:szCs w:val="32"/>
        </w:rPr>
      </w:pPr>
    </w:p>
    <w:p w14:paraId="70EAB0B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本指导原则旨在指导注册申请人对医疗器械磁共振环境安全评价研究资料的准备及撰写，同时也为技术审评部门对注册申报资料的审评提供参考。</w:t>
      </w:r>
    </w:p>
    <w:p w14:paraId="6C75D4A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本指导原则是对产品注册申报资料的一般要求，注册申请人需依据产品的具体特性确定其中内容是否适用。若不适用，需具体阐述理由及相应的科学依据，并依据产品的具体特性对注册申报资料的内容进行充实和细化。</w:t>
      </w:r>
    </w:p>
    <w:p w14:paraId="5D348E6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本指导原则是对注册申请人和技术审评人员使用的指导性文件，但不包括注册审批所涉及的行政事项，亦不作为法规强制执行，需在遵循相关法规和现行有效的国家标准或行业标准的前提下使用本指导原则。如果有能够满足相关法规要求的其他方法，也可以采用，但是需提供详细的研究资料和验证资料。</w:t>
      </w:r>
    </w:p>
    <w:p w14:paraId="3D0970E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本指导原则是在现行法规和标准体系以及当前认知水平下制定的，随着法规和标准的不断更新与完善，以及科学技术的不断发展，相关内容也将适时进行调整。</w:t>
      </w:r>
    </w:p>
    <w:p w14:paraId="6221DF8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本指导原则是医疗器械磁共振环境安全评价的通用指导原则。其他涉及磁共振环境安全评价的医疗器械产品指导原则，可在本指导原则基础上进行针对性的调整、修改和完善。</w:t>
      </w:r>
    </w:p>
    <w:p w14:paraId="4853451F">
      <w:pPr>
        <w:numPr>
          <w:ilvl w:val="0"/>
          <w:numId w:val="1"/>
        </w:numPr>
        <w:overflowPunct w:val="0"/>
        <w:autoSpaceDE w:val="0"/>
        <w:autoSpaceDN w:val="0"/>
        <w:snapToGrid w:val="0"/>
        <w:spacing w:line="520" w:lineRule="exact"/>
        <w:ind w:left="0" w:firstLine="640" w:firstLineChars="200"/>
        <w:jc w:val="left"/>
        <w:outlineLvl w:val="1"/>
        <w:rPr>
          <w:rFonts w:eastAsia="黑体"/>
          <w:snapToGrid w:val="0"/>
          <w:color w:val="000000" w:themeColor="text1"/>
          <w:kern w:val="0"/>
          <w:sz w:val="32"/>
          <w:szCs w:val="32"/>
        </w:rPr>
      </w:pPr>
      <w:r>
        <w:rPr>
          <w:rFonts w:eastAsia="黑体"/>
          <w:snapToGrid w:val="0"/>
          <w:color w:val="000000" w:themeColor="text1"/>
          <w:kern w:val="0"/>
          <w:sz w:val="32"/>
          <w:szCs w:val="32"/>
        </w:rPr>
        <w:t>适用范围</w:t>
      </w:r>
    </w:p>
    <w:p w14:paraId="72E9AD78">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本指导原则适用于医疗器械的磁共振（MR）环境安全评价。</w:t>
      </w:r>
    </w:p>
    <w:p w14:paraId="37799EAF">
      <w:pPr>
        <w:snapToGrid w:val="0"/>
        <w:spacing w:line="520" w:lineRule="exact"/>
        <w:ind w:firstLine="640" w:firstLineChars="200"/>
        <w:rPr>
          <w:rFonts w:eastAsia="仿宋_GB2312"/>
          <w:color w:val="000000" w:themeColor="text1"/>
          <w:sz w:val="32"/>
          <w:szCs w:val="32"/>
        </w:rPr>
      </w:pPr>
      <w:r>
        <w:rPr>
          <w:rFonts w:hint="eastAsia" w:eastAsia="仿宋_GB2312"/>
          <w:color w:val="000000" w:themeColor="text1"/>
          <w:sz w:val="32"/>
          <w:szCs w:val="32"/>
          <w:lang w:val="en-US" w:eastAsia="zh-CN"/>
        </w:rPr>
        <w:t>参考YY/T 1928中第4节，</w:t>
      </w:r>
      <w:r>
        <w:rPr>
          <w:rFonts w:eastAsia="仿宋_GB2312"/>
          <w:color w:val="000000" w:themeColor="text1"/>
          <w:sz w:val="32"/>
          <w:szCs w:val="32"/>
        </w:rPr>
        <w:t>预期在MR环境中使用的申报产品，按照接触人体方式可分为：</w:t>
      </w:r>
    </w:p>
    <w:p w14:paraId="4866869D">
      <w:pPr>
        <w:numPr>
          <w:ilvl w:val="0"/>
          <w:numId w:val="2"/>
        </w:numPr>
        <w:overflowPunct w:val="0"/>
        <w:autoSpaceDE w:val="0"/>
        <w:autoSpaceDN w:val="0"/>
        <w:snapToGrid w:val="0"/>
        <w:spacing w:line="520" w:lineRule="exact"/>
        <w:ind w:left="0" w:firstLine="640" w:firstLineChars="200"/>
        <w:jc w:val="left"/>
        <w:outlineLvl w:val="3"/>
        <w:rPr>
          <w:rFonts w:eastAsia="仿宋_GB2312"/>
          <w:color w:val="000000" w:themeColor="text1"/>
          <w:sz w:val="32"/>
          <w:szCs w:val="32"/>
        </w:rPr>
      </w:pPr>
      <w:r>
        <w:rPr>
          <w:rFonts w:eastAsia="仿宋_GB2312"/>
          <w:color w:val="000000" w:themeColor="text1"/>
          <w:sz w:val="32"/>
          <w:szCs w:val="32"/>
        </w:rPr>
        <w:t>全植入式医疗器械，包括：</w:t>
      </w:r>
    </w:p>
    <w:p w14:paraId="3F768334">
      <w:pPr>
        <w:pStyle w:val="28"/>
        <w:numPr>
          <w:ilvl w:val="0"/>
          <w:numId w:val="3"/>
        </w:numPr>
        <w:snapToGrid w:val="0"/>
        <w:spacing w:line="520" w:lineRule="exact"/>
        <w:ind w:firstLine="640"/>
        <w:outlineLvl w:val="4"/>
        <w:rPr>
          <w:rFonts w:eastAsia="仿宋_GB2312"/>
          <w:color w:val="000000" w:themeColor="text1"/>
          <w:sz w:val="32"/>
          <w:szCs w:val="32"/>
        </w:rPr>
      </w:pPr>
      <w:r>
        <w:rPr>
          <w:rFonts w:eastAsia="仿宋_GB2312"/>
          <w:color w:val="000000" w:themeColor="text1"/>
          <w:sz w:val="32"/>
          <w:szCs w:val="32"/>
        </w:rPr>
        <w:t>全植入式无源医疗器械，例如：血管支架、动脉瘤夹、骨钉、骨板、心脏瓣膜、骨科关节植入物等。</w:t>
      </w:r>
    </w:p>
    <w:p w14:paraId="1BE8EFF8">
      <w:pPr>
        <w:pStyle w:val="28"/>
        <w:numPr>
          <w:ilvl w:val="0"/>
          <w:numId w:val="3"/>
        </w:numPr>
        <w:snapToGrid w:val="0"/>
        <w:spacing w:line="520" w:lineRule="exact"/>
        <w:ind w:firstLine="640"/>
        <w:outlineLvl w:val="4"/>
        <w:rPr>
          <w:rFonts w:eastAsia="仿宋_GB2312"/>
          <w:color w:val="000000" w:themeColor="text1"/>
          <w:sz w:val="32"/>
          <w:szCs w:val="32"/>
        </w:rPr>
      </w:pPr>
      <w:r>
        <w:rPr>
          <w:rFonts w:eastAsia="仿宋_GB2312"/>
          <w:color w:val="000000" w:themeColor="text1"/>
          <w:sz w:val="32"/>
          <w:szCs w:val="32"/>
        </w:rPr>
        <w:t>全植入式有源医疗器械，例如：植入式心脏起搏器、植入式神经刺激器、人工耳蜗植入体等。</w:t>
      </w:r>
    </w:p>
    <w:p w14:paraId="632F6C42">
      <w:pPr>
        <w:numPr>
          <w:ilvl w:val="0"/>
          <w:numId w:val="2"/>
        </w:numPr>
        <w:overflowPunct w:val="0"/>
        <w:autoSpaceDE w:val="0"/>
        <w:autoSpaceDN w:val="0"/>
        <w:snapToGrid w:val="0"/>
        <w:spacing w:line="520" w:lineRule="exact"/>
        <w:ind w:left="0" w:firstLine="640" w:firstLineChars="200"/>
        <w:outlineLvl w:val="3"/>
        <w:rPr>
          <w:rFonts w:eastAsia="仿宋_GB2312"/>
          <w:color w:val="000000" w:themeColor="text1"/>
          <w:sz w:val="32"/>
          <w:szCs w:val="32"/>
        </w:rPr>
      </w:pPr>
      <w:r>
        <w:rPr>
          <w:rFonts w:eastAsia="仿宋_GB2312"/>
          <w:color w:val="000000" w:themeColor="text1"/>
          <w:sz w:val="32"/>
          <w:szCs w:val="32"/>
        </w:rPr>
        <w:t>部分植入式医疗器械，例如：神经外科手术定位架、MR引导消融导管、骨科外固定器等。</w:t>
      </w:r>
    </w:p>
    <w:p w14:paraId="3C131990">
      <w:pPr>
        <w:numPr>
          <w:ilvl w:val="0"/>
          <w:numId w:val="2"/>
        </w:numPr>
        <w:overflowPunct w:val="0"/>
        <w:autoSpaceDE w:val="0"/>
        <w:autoSpaceDN w:val="0"/>
        <w:snapToGrid w:val="0"/>
        <w:spacing w:line="520" w:lineRule="exact"/>
        <w:ind w:left="0" w:firstLine="640" w:firstLineChars="200"/>
        <w:jc w:val="left"/>
        <w:outlineLvl w:val="3"/>
        <w:rPr>
          <w:rFonts w:eastAsia="仿宋_GB2312"/>
          <w:color w:val="000000" w:themeColor="text1"/>
          <w:sz w:val="32"/>
          <w:szCs w:val="32"/>
        </w:rPr>
      </w:pPr>
      <w:r>
        <w:rPr>
          <w:rFonts w:eastAsia="仿宋_GB2312"/>
          <w:color w:val="000000" w:themeColor="text1"/>
          <w:sz w:val="32"/>
          <w:szCs w:val="32"/>
        </w:rPr>
        <w:t>直接接触患者体表的医疗器械，包括：</w:t>
      </w:r>
    </w:p>
    <w:p w14:paraId="3F84CACF">
      <w:pPr>
        <w:pStyle w:val="28"/>
        <w:numPr>
          <w:ilvl w:val="0"/>
          <w:numId w:val="4"/>
        </w:numPr>
        <w:snapToGrid w:val="0"/>
        <w:spacing w:line="520" w:lineRule="exact"/>
        <w:ind w:firstLine="640"/>
        <w:outlineLvl w:val="4"/>
        <w:rPr>
          <w:rFonts w:eastAsia="仿宋_GB2312"/>
          <w:color w:val="000000" w:themeColor="text1"/>
          <w:sz w:val="32"/>
          <w:szCs w:val="32"/>
        </w:rPr>
      </w:pPr>
      <w:r>
        <w:rPr>
          <w:rFonts w:eastAsia="仿宋_GB2312"/>
          <w:color w:val="000000" w:themeColor="text1"/>
          <w:sz w:val="32"/>
          <w:szCs w:val="32"/>
        </w:rPr>
        <w:t>患者体表连接的导电医疗器械，例如：体表贴敷式电极等。</w:t>
      </w:r>
    </w:p>
    <w:p w14:paraId="583D4F92">
      <w:pPr>
        <w:pStyle w:val="28"/>
        <w:numPr>
          <w:ilvl w:val="0"/>
          <w:numId w:val="4"/>
        </w:numPr>
        <w:snapToGrid w:val="0"/>
        <w:spacing w:line="520" w:lineRule="exact"/>
        <w:ind w:firstLine="640"/>
        <w:outlineLvl w:val="4"/>
        <w:rPr>
          <w:rFonts w:eastAsia="仿宋_GB2312"/>
          <w:color w:val="000000" w:themeColor="text1"/>
          <w:sz w:val="32"/>
          <w:szCs w:val="32"/>
        </w:rPr>
      </w:pPr>
      <w:r>
        <w:rPr>
          <w:rFonts w:eastAsia="仿宋_GB2312"/>
          <w:color w:val="000000" w:themeColor="text1"/>
          <w:sz w:val="32"/>
          <w:szCs w:val="32"/>
        </w:rPr>
        <w:t>患者体表连接的非导电医疗器械，例如：脉搏血氧探头等。</w:t>
      </w:r>
    </w:p>
    <w:p w14:paraId="2CF1B8DB">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4. 非植入式医疗器械，与人体体表不直接接触的医疗器械，例如：高压注射器、电生理监护、呼吸麻醉设备、磁共振弹性成像设备等。</w:t>
      </w:r>
    </w:p>
    <w:p w14:paraId="7F8DB667">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预期在MR环境中使用的申报产品，按照使用场景，可分为：</w:t>
      </w:r>
    </w:p>
    <w:p w14:paraId="2DFA83CC">
      <w:pPr>
        <w:pStyle w:val="28"/>
        <w:numPr>
          <w:ilvl w:val="0"/>
          <w:numId w:val="5"/>
        </w:numPr>
        <w:snapToGrid w:val="0"/>
        <w:spacing w:line="520" w:lineRule="exact"/>
        <w:ind w:left="0" w:firstLine="640"/>
        <w:rPr>
          <w:rFonts w:eastAsia="仿宋_GB2312"/>
          <w:color w:val="000000" w:themeColor="text1"/>
          <w:sz w:val="32"/>
          <w:szCs w:val="32"/>
        </w:rPr>
      </w:pPr>
      <w:r>
        <w:rPr>
          <w:rFonts w:eastAsia="仿宋_GB2312"/>
          <w:color w:val="000000" w:themeColor="text1"/>
          <w:sz w:val="32"/>
          <w:szCs w:val="32"/>
        </w:rPr>
        <w:t>仅在MR环境中使用。此类产品可能采用固定安装方式，也可能采用移动方式。例如：磁共振高压注射器、磁共振弹性成像设备等。</w:t>
      </w:r>
    </w:p>
    <w:p w14:paraId="6B6E54F5">
      <w:pPr>
        <w:pStyle w:val="28"/>
        <w:numPr>
          <w:ilvl w:val="0"/>
          <w:numId w:val="5"/>
        </w:numPr>
        <w:snapToGrid w:val="0"/>
        <w:spacing w:line="520" w:lineRule="exact"/>
        <w:ind w:left="0" w:firstLine="640"/>
        <w:rPr>
          <w:rFonts w:eastAsia="仿宋_GB2312"/>
          <w:color w:val="000000" w:themeColor="text1"/>
          <w:sz w:val="32"/>
          <w:szCs w:val="32"/>
        </w:rPr>
      </w:pPr>
      <w:r>
        <w:rPr>
          <w:rFonts w:eastAsia="仿宋_GB2312"/>
          <w:color w:val="000000" w:themeColor="text1"/>
          <w:sz w:val="32"/>
          <w:szCs w:val="32"/>
        </w:rPr>
        <w:t>在MR环境和非MR环境中均可使用。此类产品一般为非固定安装方式。例如：生理监护仪、呼吸麻醉设备、婴儿保暖箱等。</w:t>
      </w:r>
    </w:p>
    <w:p w14:paraId="2A4CFCF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预期在MR环境中使用的申报产品，按照预期使用位置，可分为：</w:t>
      </w:r>
    </w:p>
    <w:p w14:paraId="333A7F23">
      <w:pPr>
        <w:pStyle w:val="28"/>
        <w:numPr>
          <w:ilvl w:val="0"/>
          <w:numId w:val="6"/>
        </w:numPr>
        <w:snapToGrid w:val="0"/>
        <w:spacing w:line="520" w:lineRule="exact"/>
        <w:ind w:firstLineChars="0"/>
        <w:rPr>
          <w:rFonts w:eastAsia="仿宋_GB2312"/>
          <w:color w:val="000000" w:themeColor="text1"/>
          <w:sz w:val="32"/>
          <w:szCs w:val="32"/>
        </w:rPr>
      </w:pPr>
      <w:r>
        <w:rPr>
          <w:rFonts w:eastAsia="仿宋_GB2312"/>
          <w:color w:val="000000" w:themeColor="text1"/>
          <w:sz w:val="32"/>
          <w:szCs w:val="32"/>
        </w:rPr>
        <w:t>预期置于磁体腔内，例如：便携式监护设备等。</w:t>
      </w:r>
    </w:p>
    <w:p w14:paraId="18CD2E61">
      <w:pPr>
        <w:pStyle w:val="28"/>
        <w:numPr>
          <w:ilvl w:val="0"/>
          <w:numId w:val="6"/>
        </w:numPr>
        <w:snapToGrid w:val="0"/>
        <w:spacing w:line="520" w:lineRule="exact"/>
        <w:ind w:firstLineChars="0"/>
        <w:rPr>
          <w:rFonts w:eastAsia="仿宋_GB2312"/>
          <w:color w:val="000000" w:themeColor="text1"/>
          <w:sz w:val="32"/>
          <w:szCs w:val="32"/>
        </w:rPr>
      </w:pPr>
      <w:r>
        <w:rPr>
          <w:rFonts w:eastAsia="仿宋_GB2312"/>
          <w:color w:val="000000" w:themeColor="text1"/>
          <w:sz w:val="32"/>
          <w:szCs w:val="32"/>
        </w:rPr>
        <w:t>预期置于磁体腔外，例如：呼吸机、麻醉机等。</w:t>
      </w:r>
    </w:p>
    <w:p w14:paraId="57473B2C">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本指导原则面向所有预期进入磁共振环境的医疗器械，包含磁共振环境风险分析、测试验证、产品说明书和标签等相关要求，适用于评估磁共振环境中的医疗器械的安全性和有效性。</w:t>
      </w:r>
    </w:p>
    <w:p w14:paraId="5F02EF19">
      <w:pPr>
        <w:numPr>
          <w:ilvl w:val="0"/>
          <w:numId w:val="1"/>
        </w:numPr>
        <w:overflowPunct w:val="0"/>
        <w:autoSpaceDE w:val="0"/>
        <w:autoSpaceDN w:val="0"/>
        <w:snapToGrid w:val="0"/>
        <w:spacing w:line="520" w:lineRule="exact"/>
        <w:ind w:left="0" w:firstLine="640" w:firstLineChars="200"/>
        <w:jc w:val="left"/>
        <w:outlineLvl w:val="1"/>
        <w:rPr>
          <w:rFonts w:eastAsia="黑体"/>
          <w:color w:val="000000" w:themeColor="text1"/>
          <w:sz w:val="32"/>
          <w:szCs w:val="32"/>
        </w:rPr>
      </w:pPr>
      <w:r>
        <w:rPr>
          <w:rFonts w:eastAsia="黑体"/>
          <w:snapToGrid w:val="0"/>
          <w:color w:val="000000" w:themeColor="text1"/>
          <w:kern w:val="0"/>
          <w:sz w:val="32"/>
          <w:szCs w:val="32"/>
        </w:rPr>
        <w:t>基本原则</w:t>
      </w:r>
    </w:p>
    <w:p w14:paraId="4BC49D6D">
      <w:pPr>
        <w:pStyle w:val="27"/>
        <w:adjustRightInd/>
        <w:snapToGrid w:val="0"/>
        <w:spacing w:line="520" w:lineRule="exact"/>
        <w:ind w:firstLine="640" w:firstLineChars="200"/>
        <w:jc w:val="both"/>
        <w:rPr>
          <w:rFonts w:ascii="Times New Roman" w:eastAsia="仿宋_GB2312" w:cs="Times New Roman"/>
          <w:color w:val="000000" w:themeColor="text1"/>
          <w:sz w:val="32"/>
          <w:szCs w:val="32"/>
        </w:rPr>
      </w:pPr>
      <w:r>
        <w:rPr>
          <w:rFonts w:ascii="Times New Roman" w:eastAsia="仿宋_GB2312" w:cs="Times New Roman"/>
          <w:color w:val="000000" w:themeColor="text1"/>
          <w:sz w:val="32"/>
          <w:szCs w:val="32"/>
        </w:rPr>
        <w:t>随着医疗技术的发展，不同类型的医疗器械在磁共振环境下使用的需求日益增多，共同维持患者健康水平。医疗器械的磁共振环境安全问题，可能严重影响磁共振成像设备，导致医疗器械非预期运行的风险，使患者和其他人员受到伤害或死亡。若申报产品预期用于磁共振环境，则磁共振环境安全是医疗器械安全性和有效性的重要组成部分。</w:t>
      </w:r>
    </w:p>
    <w:p w14:paraId="4D31790F">
      <w:pPr>
        <w:pStyle w:val="27"/>
        <w:adjustRightInd/>
        <w:snapToGrid w:val="0"/>
        <w:spacing w:line="520" w:lineRule="exact"/>
        <w:ind w:firstLine="640" w:firstLineChars="200"/>
        <w:jc w:val="both"/>
        <w:rPr>
          <w:rFonts w:ascii="Times New Roman" w:eastAsia="仿宋_GB2312" w:cs="Times New Roman"/>
          <w:color w:val="000000" w:themeColor="text1"/>
          <w:sz w:val="32"/>
          <w:szCs w:val="32"/>
        </w:rPr>
      </w:pPr>
      <w:r>
        <w:rPr>
          <w:rFonts w:ascii="Times New Roman" w:eastAsia="仿宋_GB2312" w:cs="Times New Roman"/>
          <w:color w:val="000000" w:themeColor="text1"/>
          <w:sz w:val="32"/>
          <w:szCs w:val="32"/>
        </w:rPr>
        <w:t>本指导原则关注的医疗器械磁共振环境安全，一般包括三个主要因素：</w:t>
      </w:r>
    </w:p>
    <w:p w14:paraId="6E0E8DAD">
      <w:pPr>
        <w:pStyle w:val="27"/>
        <w:numPr>
          <w:ilvl w:val="3"/>
          <w:numId w:val="7"/>
        </w:numPr>
        <w:adjustRightInd/>
        <w:snapToGrid w:val="0"/>
        <w:spacing w:line="520" w:lineRule="exact"/>
        <w:ind w:left="0" w:firstLine="640" w:firstLineChars="200"/>
        <w:jc w:val="both"/>
        <w:rPr>
          <w:rFonts w:ascii="Times New Roman" w:eastAsia="仿宋_GB2312" w:cs="Times New Roman"/>
          <w:color w:val="000000" w:themeColor="text1"/>
          <w:sz w:val="32"/>
          <w:szCs w:val="32"/>
        </w:rPr>
      </w:pPr>
      <w:r>
        <w:rPr>
          <w:rFonts w:ascii="Times New Roman" w:eastAsia="仿宋_GB2312" w:cs="Times New Roman"/>
          <w:color w:val="000000" w:themeColor="text1"/>
          <w:sz w:val="32"/>
          <w:szCs w:val="32"/>
        </w:rPr>
        <w:t>医疗器械</w:t>
      </w:r>
    </w:p>
    <w:p w14:paraId="380192F8">
      <w:pPr>
        <w:pStyle w:val="27"/>
        <w:adjustRightInd/>
        <w:snapToGrid w:val="0"/>
        <w:spacing w:line="520" w:lineRule="exact"/>
        <w:ind w:firstLine="640" w:firstLineChars="200"/>
        <w:jc w:val="both"/>
        <w:rPr>
          <w:rFonts w:ascii="Times New Roman" w:eastAsia="仿宋_GB2312" w:cs="Times New Roman"/>
          <w:color w:val="000000" w:themeColor="text1"/>
          <w:sz w:val="32"/>
          <w:szCs w:val="32"/>
        </w:rPr>
      </w:pPr>
      <w:r>
        <w:rPr>
          <w:rFonts w:ascii="Times New Roman" w:eastAsia="仿宋_GB2312" w:cs="Times New Roman"/>
          <w:color w:val="000000" w:themeColor="text1"/>
          <w:sz w:val="32"/>
          <w:szCs w:val="32"/>
        </w:rPr>
        <w:t>对于预期接触磁共振环境的医疗器械，首先需考虑其置于磁共振环境中对患者造成的可能危害，其次需考虑对磁共振成像设备造成的可能危害。</w:t>
      </w:r>
    </w:p>
    <w:p w14:paraId="66690FAE">
      <w:pPr>
        <w:pStyle w:val="27"/>
        <w:numPr>
          <w:ilvl w:val="3"/>
          <w:numId w:val="7"/>
        </w:numPr>
        <w:adjustRightInd/>
        <w:snapToGrid w:val="0"/>
        <w:spacing w:line="520" w:lineRule="exact"/>
        <w:ind w:left="0" w:firstLine="640" w:firstLineChars="200"/>
        <w:jc w:val="both"/>
        <w:rPr>
          <w:rFonts w:ascii="Times New Roman" w:eastAsia="仿宋_GB2312" w:cs="Times New Roman"/>
          <w:color w:val="000000" w:themeColor="text1"/>
          <w:sz w:val="32"/>
          <w:szCs w:val="32"/>
        </w:rPr>
      </w:pPr>
      <w:r>
        <w:rPr>
          <w:rFonts w:ascii="Times New Roman" w:eastAsia="仿宋_GB2312" w:cs="Times New Roman"/>
          <w:color w:val="000000" w:themeColor="text1"/>
          <w:sz w:val="32"/>
          <w:szCs w:val="32"/>
        </w:rPr>
        <w:t>患者</w:t>
      </w:r>
    </w:p>
    <w:p w14:paraId="6762BDB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预期接触磁共振环境，可能接触或不接触申报产品。</w:t>
      </w:r>
    </w:p>
    <w:p w14:paraId="627BF712">
      <w:pPr>
        <w:pStyle w:val="27"/>
        <w:numPr>
          <w:ilvl w:val="3"/>
          <w:numId w:val="7"/>
        </w:numPr>
        <w:adjustRightInd/>
        <w:snapToGrid w:val="0"/>
        <w:spacing w:line="520" w:lineRule="exact"/>
        <w:ind w:left="0" w:firstLine="640" w:firstLineChars="200"/>
        <w:jc w:val="both"/>
        <w:rPr>
          <w:rFonts w:ascii="Times New Roman" w:eastAsia="仿宋_GB2312" w:cs="Times New Roman"/>
          <w:color w:val="000000" w:themeColor="text1"/>
          <w:sz w:val="32"/>
          <w:szCs w:val="32"/>
        </w:rPr>
      </w:pPr>
      <w:r>
        <w:rPr>
          <w:rFonts w:ascii="Times New Roman" w:eastAsia="仿宋_GB2312" w:cs="Times New Roman"/>
          <w:color w:val="000000" w:themeColor="text1"/>
          <w:sz w:val="32"/>
          <w:szCs w:val="32"/>
        </w:rPr>
        <w:t>磁共振成像设备</w:t>
      </w:r>
    </w:p>
    <w:p w14:paraId="379C6B3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磁共振成像设备可能给患者和医疗器械带来危害，其成像性能也可能受医疗器械的影响。</w:t>
      </w:r>
    </w:p>
    <w:p w14:paraId="65F6F832">
      <w:pPr>
        <w:snapToGrid w:val="0"/>
        <w:spacing w:line="520" w:lineRule="exact"/>
        <w:ind w:firstLine="640" w:firstLineChars="200"/>
        <w:rPr>
          <w:rFonts w:eastAsia="仿宋_GB2312"/>
          <w:color w:val="000000" w:themeColor="text1"/>
          <w:sz w:val="30"/>
          <w:szCs w:val="30"/>
        </w:rPr>
      </w:pPr>
      <w:r>
        <w:rPr>
          <w:rFonts w:eastAsia="仿宋_GB2312"/>
          <w:color w:val="000000" w:themeColor="text1"/>
          <w:sz w:val="32"/>
          <w:szCs w:val="32"/>
        </w:rPr>
        <w:t>广义上，存在其他可以产生强静磁场、射频场、梯度场效应的类似设备，例如：磁控导航设备、磁控内窥镜设备、术中磁共振成像设备、正电子发射磁共振成像设备、磁共振导航设备等。上述设备或具有磁体部件，或集成完整的磁共振成像设备，若医疗器械预期在其周围环境中使用，亦可参考本指导原则。</w:t>
      </w:r>
    </w:p>
    <w:p w14:paraId="2DD3FDCC">
      <w:pPr>
        <w:pStyle w:val="28"/>
        <w:numPr>
          <w:ilvl w:val="0"/>
          <w:numId w:val="8"/>
        </w:numPr>
        <w:snapToGrid w:val="0"/>
        <w:spacing w:line="520" w:lineRule="exact"/>
        <w:ind w:left="0" w:firstLine="640"/>
        <w:outlineLvl w:val="2"/>
        <w:rPr>
          <w:rFonts w:eastAsia="楷体_GB2312"/>
          <w:color w:val="000000" w:themeColor="text1"/>
        </w:rPr>
      </w:pPr>
      <w:r>
        <w:rPr>
          <w:rFonts w:eastAsia="楷体_GB2312"/>
          <w:color w:val="000000" w:themeColor="text1"/>
          <w:sz w:val="32"/>
          <w:szCs w:val="32"/>
        </w:rPr>
        <w:t>安全等级</w:t>
      </w:r>
    </w:p>
    <w:p w14:paraId="0FD33B0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申请人开展医疗器械的MR环境安全性和有效性的评价工作时，需采用YY/T 1928标准规定的术语，描述医疗器械的MR环境安全等级。</w:t>
      </w:r>
    </w:p>
    <w:p w14:paraId="397F2309">
      <w:pPr>
        <w:pStyle w:val="28"/>
        <w:numPr>
          <w:ilvl w:val="0"/>
          <w:numId w:val="9"/>
        </w:numPr>
        <w:snapToGrid w:val="0"/>
        <w:spacing w:line="520" w:lineRule="exact"/>
        <w:ind w:firstLineChars="0"/>
        <w:rPr>
          <w:rFonts w:eastAsia="仿宋_GB2312"/>
          <w:color w:val="000000" w:themeColor="text1"/>
          <w:sz w:val="32"/>
          <w:szCs w:val="32"/>
        </w:rPr>
      </w:pPr>
      <w:r>
        <w:rPr>
          <w:rFonts w:eastAsia="仿宋_GB2312"/>
          <w:color w:val="000000" w:themeColor="text1"/>
          <w:sz w:val="32"/>
          <w:szCs w:val="32"/>
        </w:rPr>
        <w:t>MR安全</w:t>
      </w:r>
    </w:p>
    <w:p w14:paraId="502B49B8">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在所有磁共振环境中均不产生已知危险的医疗器械，应标记为MR安全。</w:t>
      </w:r>
    </w:p>
    <w:p w14:paraId="3533BE7F">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MR安全的医疗器械一般为无源器械，完全由非导电、非金属、非磁性的材料构成，例如：塑料、玻璃、棉织物等。上述情况的无源器械，申请人通过科学分析，以及必要的材料说明，无需测试验证即可判定为MR环境安全。</w:t>
      </w:r>
    </w:p>
    <w:p w14:paraId="3D0F3E9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若不属于上述情况，申请人需通过充分的科学分析和测试验证，判定申报产品是否属于MR安全的医疗器械。</w:t>
      </w:r>
    </w:p>
    <w:p w14:paraId="4EE0F9EA">
      <w:pPr>
        <w:snapToGrid w:val="0"/>
        <w:spacing w:line="520" w:lineRule="exact"/>
        <w:ind w:firstLine="640" w:firstLineChars="200"/>
        <w:rPr>
          <w:rFonts w:eastAsia="仿宋_GB2312"/>
          <w:color w:val="000000" w:themeColor="text1"/>
          <w:sz w:val="32"/>
          <w:szCs w:val="32"/>
        </w:rPr>
      </w:pPr>
      <w:r>
        <w:rPr>
          <w:rFonts w:eastAsia="仿宋_GB2312"/>
          <w:snapToGrid w:val="0"/>
          <w:color w:val="000000" w:themeColor="text1"/>
          <w:kern w:val="0"/>
          <w:sz w:val="32"/>
          <w:szCs w:val="32"/>
        </w:rPr>
        <w:t>根据</w:t>
      </w:r>
      <w:r>
        <w:rPr>
          <w:rFonts w:eastAsia="仿宋_GB2312"/>
          <w:color w:val="000000" w:themeColor="text1"/>
          <w:sz w:val="32"/>
          <w:szCs w:val="40"/>
        </w:rPr>
        <w:t>ASTM F2503</w:t>
      </w:r>
      <w:r>
        <w:rPr>
          <w:rFonts w:eastAsia="仿宋_GB2312"/>
          <w:color w:val="000000" w:themeColor="text1"/>
          <w:sz w:val="32"/>
          <w:szCs w:val="36"/>
        </w:rPr>
        <w:t>，电导率小于1 S/m可视为非导电。</w:t>
      </w:r>
      <w:r>
        <w:rPr>
          <w:rFonts w:eastAsia="仿宋_GB2312"/>
          <w:color w:val="000000" w:themeColor="text1"/>
          <w:sz w:val="32"/>
          <w:szCs w:val="32"/>
        </w:rPr>
        <w:t>使用电能的有源医疗器械包含导电部件，一般可以判定为MR不安全或MR条件安全，但是不应标记为MR安全的医疗器械。</w:t>
      </w:r>
    </w:p>
    <w:p w14:paraId="2FFC496E">
      <w:pPr>
        <w:pStyle w:val="28"/>
        <w:numPr>
          <w:ilvl w:val="0"/>
          <w:numId w:val="9"/>
        </w:numPr>
        <w:snapToGrid w:val="0"/>
        <w:spacing w:line="520" w:lineRule="exact"/>
        <w:ind w:left="0" w:firstLine="640"/>
        <w:rPr>
          <w:rFonts w:eastAsia="仿宋_GB2312"/>
          <w:color w:val="000000" w:themeColor="text1"/>
          <w:sz w:val="32"/>
          <w:szCs w:val="32"/>
        </w:rPr>
      </w:pPr>
      <w:r>
        <w:rPr>
          <w:rFonts w:eastAsia="仿宋_GB2312"/>
          <w:color w:val="000000" w:themeColor="text1"/>
          <w:sz w:val="32"/>
          <w:szCs w:val="32"/>
        </w:rPr>
        <w:t>MR不安全</w:t>
      </w:r>
    </w:p>
    <w:p w14:paraId="617E57FB">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在磁共振环境中对患者、医务人员或其他人员、磁共振设备产生不可接受风险的医疗器械，应标记为MR不安全。同理，申请人在某些情况下根据产品特性进行科学分析，无需开展试验即可将申报产品判定为MR不安全，例如：全部由铁磁性材料构成的医疗器械。</w:t>
      </w:r>
    </w:p>
    <w:p w14:paraId="573C1E64">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若申请人未对申报产品的MR环境安全问题进行任何分析和评价研究，则申报产品应视为MR不安全。</w:t>
      </w:r>
    </w:p>
    <w:p w14:paraId="02F5E9D5">
      <w:pPr>
        <w:pStyle w:val="28"/>
        <w:numPr>
          <w:ilvl w:val="0"/>
          <w:numId w:val="9"/>
        </w:numPr>
        <w:snapToGrid w:val="0"/>
        <w:spacing w:line="520" w:lineRule="exact"/>
        <w:ind w:left="0" w:firstLine="640"/>
        <w:rPr>
          <w:rFonts w:eastAsia="仿宋_GB2312"/>
          <w:color w:val="000000" w:themeColor="text1"/>
          <w:sz w:val="32"/>
          <w:szCs w:val="32"/>
        </w:rPr>
      </w:pPr>
      <w:r>
        <w:rPr>
          <w:rFonts w:eastAsia="仿宋_GB2312"/>
          <w:color w:val="000000" w:themeColor="text1"/>
          <w:sz w:val="32"/>
          <w:szCs w:val="32"/>
        </w:rPr>
        <w:t>MR条件安全</w:t>
      </w:r>
    </w:p>
    <w:p w14:paraId="2E3D33D0">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在规定条件（包括静磁场、梯度场、射频场）下，在磁共振环境中具有安全性的医疗器械，应标记为MR条件安全。</w:t>
      </w:r>
    </w:p>
    <w:p w14:paraId="36CD486B">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若申报产品判定为MR条件安全，申请人应依据产品特性，提供充分的科学分析和测试验证资料，并说明适用的MR环境的具体条件和要求。</w:t>
      </w:r>
    </w:p>
    <w:p w14:paraId="4CA21E4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其他关键概念、定义和术语，详见YY/T 1928标准。</w:t>
      </w:r>
    </w:p>
    <w:p w14:paraId="60D29082">
      <w:pPr>
        <w:pStyle w:val="28"/>
        <w:numPr>
          <w:ilvl w:val="0"/>
          <w:numId w:val="8"/>
        </w:numPr>
        <w:snapToGrid w:val="0"/>
        <w:spacing w:line="520" w:lineRule="exact"/>
        <w:ind w:left="0" w:firstLine="640"/>
        <w:outlineLvl w:val="2"/>
        <w:rPr>
          <w:rFonts w:eastAsia="楷体_GB2312"/>
          <w:color w:val="000000" w:themeColor="text1"/>
        </w:rPr>
      </w:pPr>
      <w:r>
        <w:rPr>
          <w:rFonts w:eastAsia="楷体_GB2312"/>
          <w:color w:val="000000" w:themeColor="text1"/>
          <w:sz w:val="32"/>
          <w:szCs w:val="32"/>
        </w:rPr>
        <w:t>评价分析</w:t>
      </w:r>
    </w:p>
    <w:p w14:paraId="3DD9ED9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依据医疗器械的产品特性、预期用途、磁共振环境要求等，确定磁共振环境安全等级。申请人需制定磁共振环境安全评价的合格判定的具体准则，提供充分的科学理由和测试验证资料，并在磁共振环境安全研究报告中进行详细说明。</w:t>
      </w:r>
    </w:p>
    <w:p w14:paraId="2010189F">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引用标准应执行国家标准、行业标准的现行有效版本。关于国际标准，应参考和引用已正式发布的有效版本。若存在引用标准的版本差异，以及适用标准的不适用条款，需在磁共振环境安全研究报告中说明合理理由。</w:t>
      </w:r>
      <w:bookmarkStart w:id="0" w:name="_Toc521089665"/>
    </w:p>
    <w:p w14:paraId="2B1B1477">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国际标准ISO/TS 10974包含有源植入式医疗器械的MR环境安全评价的详细信息，较为全面的描述MR环境中医疗器械危害类型，给出针对特定危害的评价方法。该标准的适用范围限定于有源植入式医疗器械和1.5T、3.0T磁共振成像设备，其他类型医疗器械需要进行MR环境安全评价时，建议参考该标准制定合理的评价策略，并针对不适用内容说明理由。</w:t>
      </w:r>
      <w:bookmarkEnd w:id="0"/>
    </w:p>
    <w:p w14:paraId="3DAE2793">
      <w:pPr>
        <w:pStyle w:val="28"/>
        <w:numPr>
          <w:ilvl w:val="0"/>
          <w:numId w:val="8"/>
        </w:numPr>
        <w:snapToGrid w:val="0"/>
        <w:spacing w:line="520" w:lineRule="exact"/>
        <w:ind w:left="0" w:firstLine="640"/>
        <w:outlineLvl w:val="2"/>
        <w:rPr>
          <w:rFonts w:eastAsia="仿宋_GB2312"/>
          <w:color w:val="000000" w:themeColor="text1"/>
          <w:sz w:val="32"/>
          <w:szCs w:val="32"/>
        </w:rPr>
      </w:pPr>
      <w:r>
        <w:rPr>
          <w:rFonts w:eastAsia="楷体_GB2312"/>
          <w:color w:val="000000" w:themeColor="text1"/>
          <w:sz w:val="32"/>
          <w:szCs w:val="32"/>
        </w:rPr>
        <w:t>综合考量</w:t>
      </w:r>
    </w:p>
    <w:p w14:paraId="4D1F4FD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申报产品置于MR环境中，可能发生与非预期的设备和系统相连接、同时使用等复杂情况，仅依靠申请人自身难以保证医疗器械磁共振环境安全，需要申请人、患者、临床机构、MR设备制造商的多方合作。申请人不</w:t>
      </w:r>
      <w:r>
        <w:rPr>
          <w:rFonts w:hint="eastAsia" w:eastAsia="仿宋_GB2312"/>
          <w:color w:val="000000" w:themeColor="text1"/>
          <w:sz w:val="32"/>
          <w:szCs w:val="32"/>
          <w:lang w:val="en-US" w:eastAsia="zh-CN"/>
        </w:rPr>
        <w:t>得</w:t>
      </w:r>
      <w:r>
        <w:rPr>
          <w:rFonts w:eastAsia="仿宋_GB2312"/>
          <w:color w:val="000000" w:themeColor="text1"/>
          <w:sz w:val="32"/>
          <w:szCs w:val="32"/>
        </w:rPr>
        <w:t>将医疗器械磁共振环境安全的相关责任推卸给临床机构、MR设备制造商</w:t>
      </w:r>
      <w:r>
        <w:rPr>
          <w:rFonts w:hint="eastAsia" w:eastAsia="仿宋_GB2312"/>
          <w:color w:val="000000" w:themeColor="text1"/>
          <w:sz w:val="32"/>
          <w:szCs w:val="32"/>
          <w:lang w:val="en-US" w:eastAsia="zh-CN"/>
        </w:rPr>
        <w:t>和</w:t>
      </w:r>
      <w:r>
        <w:rPr>
          <w:rFonts w:eastAsia="仿宋_GB2312"/>
          <w:color w:val="000000" w:themeColor="text1"/>
          <w:sz w:val="32"/>
          <w:szCs w:val="32"/>
        </w:rPr>
        <w:t>患者。</w:t>
      </w:r>
    </w:p>
    <w:p w14:paraId="4C025D0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综上，磁共振环境安全受多种因素影响，国际公认风险程度较高，因此本指导原则对于医疗器械磁共振环境安全的有关注册申报资料进行统一要求。</w:t>
      </w:r>
    </w:p>
    <w:p w14:paraId="038DC5B0">
      <w:pPr>
        <w:numPr>
          <w:ilvl w:val="0"/>
          <w:numId w:val="1"/>
        </w:numPr>
        <w:overflowPunct w:val="0"/>
        <w:autoSpaceDE w:val="0"/>
        <w:autoSpaceDN w:val="0"/>
        <w:snapToGrid w:val="0"/>
        <w:spacing w:line="520" w:lineRule="exact"/>
        <w:ind w:left="0" w:firstLine="640" w:firstLineChars="200"/>
        <w:jc w:val="left"/>
        <w:outlineLvl w:val="1"/>
        <w:rPr>
          <w:rFonts w:eastAsia="黑体"/>
          <w:color w:val="000000" w:themeColor="text1"/>
          <w:sz w:val="32"/>
          <w:szCs w:val="32"/>
        </w:rPr>
      </w:pPr>
      <w:r>
        <w:rPr>
          <w:rFonts w:eastAsia="黑体"/>
          <w:snapToGrid w:val="0"/>
          <w:color w:val="000000" w:themeColor="text1"/>
          <w:kern w:val="0"/>
          <w:sz w:val="32"/>
          <w:szCs w:val="32"/>
        </w:rPr>
        <w:t>磁共振</w:t>
      </w:r>
      <w:r>
        <w:rPr>
          <w:rFonts w:eastAsia="黑体"/>
          <w:color w:val="000000" w:themeColor="text1"/>
          <w:sz w:val="32"/>
          <w:szCs w:val="32"/>
        </w:rPr>
        <w:t>环境安全</w:t>
      </w:r>
    </w:p>
    <w:p w14:paraId="61E9809F">
      <w:pPr>
        <w:pStyle w:val="28"/>
        <w:numPr>
          <w:ilvl w:val="0"/>
          <w:numId w:val="10"/>
        </w:numPr>
        <w:snapToGrid w:val="0"/>
        <w:spacing w:line="520" w:lineRule="exact"/>
        <w:ind w:left="0" w:firstLine="640"/>
        <w:outlineLvl w:val="1"/>
        <w:rPr>
          <w:rFonts w:eastAsia="仿宋_GB2312"/>
          <w:color w:val="000000" w:themeColor="text1"/>
          <w:sz w:val="32"/>
          <w:szCs w:val="32"/>
        </w:rPr>
      </w:pPr>
      <w:r>
        <w:rPr>
          <w:rFonts w:eastAsia="楷体_GB2312"/>
          <w:color w:val="000000" w:themeColor="text1"/>
          <w:sz w:val="32"/>
          <w:szCs w:val="32"/>
        </w:rPr>
        <w:t>风险分析</w:t>
      </w:r>
    </w:p>
    <w:p w14:paraId="64120E23">
      <w:pPr>
        <w:snapToGrid w:val="0"/>
        <w:spacing w:line="520" w:lineRule="exact"/>
        <w:ind w:firstLine="640" w:firstLineChars="200"/>
        <w:rPr>
          <w:rFonts w:eastAsia="仿宋_GB2312"/>
          <w:color w:val="000000" w:themeColor="text1"/>
          <w:sz w:val="32"/>
          <w:szCs w:val="32"/>
        </w:rPr>
      </w:pPr>
      <w:r>
        <w:rPr>
          <w:rFonts w:hint="eastAsia" w:eastAsia="仿宋_GB2312"/>
          <w:color w:val="000000" w:themeColor="text1"/>
          <w:sz w:val="32"/>
          <w:szCs w:val="32"/>
          <w:lang w:val="en-US" w:eastAsia="zh-CN"/>
        </w:rPr>
        <w:t>在</w:t>
      </w:r>
      <w:r>
        <w:rPr>
          <w:rFonts w:eastAsia="仿宋_GB2312"/>
          <w:color w:val="000000" w:themeColor="text1"/>
          <w:sz w:val="32"/>
          <w:szCs w:val="32"/>
        </w:rPr>
        <w:t>MR环境中，</w:t>
      </w:r>
      <w:r>
        <w:rPr>
          <w:rFonts w:hint="eastAsia" w:eastAsia="仿宋_GB2312"/>
          <w:color w:val="000000" w:themeColor="text1"/>
          <w:sz w:val="32"/>
          <w:szCs w:val="32"/>
          <w:lang w:val="en-US" w:eastAsia="zh-CN"/>
        </w:rPr>
        <w:t>申报产品</w:t>
      </w:r>
      <w:r>
        <w:rPr>
          <w:rFonts w:eastAsia="仿宋_GB2312"/>
          <w:color w:val="000000" w:themeColor="text1"/>
          <w:sz w:val="32"/>
          <w:szCs w:val="32"/>
        </w:rPr>
        <w:t>与其他医疗器械</w:t>
      </w:r>
      <w:r>
        <w:rPr>
          <w:rFonts w:hint="eastAsia" w:eastAsia="仿宋_GB2312"/>
          <w:color w:val="000000" w:themeColor="text1"/>
          <w:sz w:val="32"/>
          <w:szCs w:val="32"/>
          <w:lang w:val="en-US" w:eastAsia="zh-CN"/>
        </w:rPr>
        <w:t>共存时</w:t>
      </w:r>
      <w:r>
        <w:rPr>
          <w:rFonts w:eastAsia="仿宋_GB2312"/>
          <w:color w:val="000000" w:themeColor="text1"/>
          <w:sz w:val="32"/>
          <w:szCs w:val="32"/>
        </w:rPr>
        <w:t>的安全性和有效性应作为医疗器械风险管理的必要组成部分。申请人应采用基于风险管理的方法来保证医疗器械磁共振环境安全，评估对于医疗器械和患者的影响和危害可能性，确定风险水平并采取适宜的风险控制措施，基于风险接受准则评估剩余风险。</w:t>
      </w:r>
    </w:p>
    <w:p w14:paraId="6A4FE12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进行全面的科学分析、测试检验、产品标识等工作，充分缓解申报产品在MR环境中的风险。申请人应分析MR环境中医疗器械对患者、其他人员、MR设备等造成的危害，详述针对特定危害的测试方法。若适用，申请人应采用针对特定危害的标准测试方法。</w:t>
      </w:r>
    </w:p>
    <w:p w14:paraId="55800DC6">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临床1.5T和3.0T磁共振成像设备均是国内常见设备，其静磁场、梯度场、射频场的特性显著不同，因此可能导致不同的风险特征。申请人应针对每个预期适用场强，逐一评估MR环境中医疗器械的安全性和有效性，高场测试</w:t>
      </w:r>
      <w:r>
        <w:rPr>
          <w:rFonts w:hint="eastAsia" w:eastAsia="仿宋_GB2312"/>
          <w:color w:val="000000" w:themeColor="text1"/>
          <w:sz w:val="32"/>
          <w:szCs w:val="32"/>
          <w:lang w:val="en-US" w:eastAsia="zh-CN"/>
        </w:rPr>
        <w:t>结果</w:t>
      </w:r>
      <w:r>
        <w:rPr>
          <w:rFonts w:eastAsia="仿宋_GB2312"/>
          <w:color w:val="000000" w:themeColor="text1"/>
          <w:sz w:val="32"/>
          <w:szCs w:val="32"/>
        </w:rPr>
        <w:t>不能</w:t>
      </w:r>
      <w:r>
        <w:rPr>
          <w:rFonts w:hint="eastAsia" w:eastAsia="仿宋_GB2312"/>
          <w:color w:val="000000" w:themeColor="text1"/>
          <w:sz w:val="32"/>
          <w:szCs w:val="32"/>
          <w:lang w:val="en-US" w:eastAsia="zh-CN"/>
        </w:rPr>
        <w:t>覆盖</w:t>
      </w:r>
      <w:r>
        <w:rPr>
          <w:rFonts w:eastAsia="仿宋_GB2312"/>
          <w:color w:val="000000" w:themeColor="text1"/>
          <w:sz w:val="32"/>
          <w:szCs w:val="32"/>
        </w:rPr>
        <w:t>其他场强</w:t>
      </w:r>
      <w:r>
        <w:rPr>
          <w:rFonts w:hint="eastAsia" w:eastAsia="仿宋_GB2312"/>
          <w:color w:val="000000" w:themeColor="text1"/>
          <w:sz w:val="32"/>
          <w:szCs w:val="32"/>
          <w:lang w:val="en-US" w:eastAsia="zh-CN"/>
        </w:rPr>
        <w:t>条件</w:t>
      </w:r>
      <w:r>
        <w:rPr>
          <w:rFonts w:eastAsia="仿宋_GB2312"/>
          <w:color w:val="000000" w:themeColor="text1"/>
          <w:sz w:val="32"/>
          <w:szCs w:val="32"/>
        </w:rPr>
        <w:t>。例如：</w:t>
      </w:r>
      <w:r>
        <w:rPr>
          <w:rFonts w:hint="eastAsia" w:eastAsia="仿宋_GB2312"/>
          <w:color w:val="000000" w:themeColor="text1"/>
          <w:sz w:val="32"/>
          <w:szCs w:val="32"/>
          <w:lang w:val="en-US" w:eastAsia="zh-CN"/>
        </w:rPr>
        <w:t>某一</w:t>
      </w:r>
      <w:r>
        <w:rPr>
          <w:rFonts w:eastAsia="仿宋_GB2312"/>
          <w:color w:val="000000" w:themeColor="text1"/>
          <w:sz w:val="32"/>
          <w:szCs w:val="32"/>
        </w:rPr>
        <w:t>1.5T</w:t>
      </w:r>
      <w:r>
        <w:rPr>
          <w:rFonts w:hint="eastAsia" w:eastAsia="仿宋_GB2312"/>
          <w:color w:val="000000" w:themeColor="text1"/>
          <w:sz w:val="32"/>
          <w:szCs w:val="32"/>
          <w:lang w:val="en-US" w:eastAsia="zh-CN"/>
        </w:rPr>
        <w:t>场强下视为</w:t>
      </w:r>
      <w:r>
        <w:rPr>
          <w:rFonts w:eastAsia="仿宋_GB2312"/>
          <w:color w:val="000000" w:themeColor="text1"/>
          <w:sz w:val="32"/>
          <w:szCs w:val="32"/>
        </w:rPr>
        <w:t>MR条件安全的医疗器械，在</w:t>
      </w:r>
      <w:r>
        <w:rPr>
          <w:rFonts w:hint="eastAsia" w:eastAsia="仿宋_GB2312"/>
          <w:color w:val="000000" w:themeColor="text1"/>
          <w:sz w:val="32"/>
          <w:szCs w:val="32"/>
          <w:lang w:val="en-US" w:eastAsia="zh-CN"/>
        </w:rPr>
        <w:t>高于或低于</w:t>
      </w:r>
      <w:r>
        <w:rPr>
          <w:rFonts w:eastAsia="仿宋_GB2312"/>
          <w:color w:val="000000" w:themeColor="text1"/>
          <w:sz w:val="32"/>
          <w:szCs w:val="32"/>
        </w:rPr>
        <w:t>1.5T场强的MR环境中，均可能</w:t>
      </w:r>
      <w:r>
        <w:rPr>
          <w:rFonts w:hint="eastAsia" w:eastAsia="仿宋_GB2312"/>
          <w:color w:val="000000" w:themeColor="text1"/>
          <w:sz w:val="32"/>
          <w:szCs w:val="32"/>
          <w:lang w:val="en-US" w:eastAsia="zh-CN"/>
        </w:rPr>
        <w:t>出现</w:t>
      </w:r>
      <w:r>
        <w:rPr>
          <w:rFonts w:eastAsia="仿宋_GB2312"/>
          <w:color w:val="000000" w:themeColor="text1"/>
          <w:sz w:val="32"/>
          <w:szCs w:val="32"/>
        </w:rPr>
        <w:t>不可接受的风险。</w:t>
      </w:r>
    </w:p>
    <w:p w14:paraId="188EDBD6">
      <w:pPr>
        <w:snapToGrid w:val="0"/>
        <w:spacing w:line="520" w:lineRule="exact"/>
        <w:ind w:firstLine="640" w:firstLineChars="200"/>
        <w:jc w:val="center"/>
        <w:rPr>
          <w:rFonts w:eastAsia="Heiti SC Medium"/>
          <w:color w:val="000000" w:themeColor="text1"/>
          <w:sz w:val="32"/>
          <w:szCs w:val="36"/>
        </w:rPr>
      </w:pPr>
      <w:r>
        <w:rPr>
          <w:rFonts w:eastAsia="Heiti SC Medium"/>
          <w:color w:val="000000" w:themeColor="text1"/>
          <w:sz w:val="32"/>
          <w:szCs w:val="36"/>
        </w:rPr>
        <w:t>表1. MR设备宣称场强与实际共振频率的可能示例</w:t>
      </w:r>
    </w:p>
    <w:tbl>
      <w:tblPr>
        <w:tblStyle w:val="16"/>
        <w:tblW w:w="6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08"/>
        <w:gridCol w:w="3455"/>
      </w:tblGrid>
      <w:tr w14:paraId="7927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6338FE0A">
            <w:pPr>
              <w:widowControl/>
              <w:snapToGrid w:val="0"/>
              <w:jc w:val="center"/>
              <w:textAlignment w:val="baseline"/>
              <w:rPr>
                <w:rFonts w:eastAsia="仿宋_GB2312"/>
                <w:color w:val="000000" w:themeColor="text1"/>
                <w:kern w:val="0"/>
                <w:sz w:val="28"/>
                <w:szCs w:val="28"/>
              </w:rPr>
            </w:pPr>
            <w:r>
              <w:rPr>
                <w:rFonts w:eastAsia="仿宋_GB2312"/>
                <w:color w:val="000000" w:themeColor="text1"/>
                <w:kern w:val="0"/>
                <w:sz w:val="28"/>
                <w:szCs w:val="28"/>
              </w:rPr>
              <w:t>静磁场宣称场强</w:t>
            </w:r>
          </w:p>
        </w:tc>
        <w:tc>
          <w:tcPr>
            <w:tcW w:w="3455" w:type="dxa"/>
            <w:shd w:val="clear" w:color="auto" w:fill="auto"/>
            <w:tcMar>
              <w:top w:w="15" w:type="dxa"/>
              <w:left w:w="108" w:type="dxa"/>
              <w:bottom w:w="0" w:type="dxa"/>
              <w:right w:w="108" w:type="dxa"/>
            </w:tcMar>
            <w:vAlign w:val="center"/>
          </w:tcPr>
          <w:p w14:paraId="46DBF5B8">
            <w:pPr>
              <w:widowControl/>
              <w:snapToGrid w:val="0"/>
              <w:jc w:val="center"/>
              <w:textAlignment w:val="baseline"/>
              <w:rPr>
                <w:rFonts w:eastAsia="仿宋_GB2312"/>
                <w:color w:val="000000" w:themeColor="text1"/>
                <w:kern w:val="0"/>
                <w:sz w:val="28"/>
                <w:szCs w:val="28"/>
              </w:rPr>
            </w:pPr>
            <w:r>
              <w:rPr>
                <w:rFonts w:eastAsia="仿宋_GB2312"/>
                <w:color w:val="000000" w:themeColor="text1"/>
                <w:kern w:val="0"/>
                <w:sz w:val="28"/>
                <w:szCs w:val="28"/>
              </w:rPr>
              <w:t>共振频率</w:t>
            </w:r>
          </w:p>
        </w:tc>
      </w:tr>
      <w:tr w14:paraId="0E0C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1EA3D58A">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3.0T（制造商A）</w:t>
            </w:r>
          </w:p>
        </w:tc>
        <w:tc>
          <w:tcPr>
            <w:tcW w:w="3455" w:type="dxa"/>
            <w:shd w:val="clear" w:color="auto" w:fill="auto"/>
            <w:tcMar>
              <w:top w:w="15" w:type="dxa"/>
              <w:left w:w="108" w:type="dxa"/>
              <w:bottom w:w="0" w:type="dxa"/>
              <w:right w:w="108" w:type="dxa"/>
            </w:tcMar>
            <w:vAlign w:val="center"/>
          </w:tcPr>
          <w:p w14:paraId="197A484B">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127.2 - 128.3 MHz</w:t>
            </w:r>
          </w:p>
        </w:tc>
      </w:tr>
      <w:tr w14:paraId="1495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060B6868">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3.0T（制造商B）</w:t>
            </w:r>
          </w:p>
        </w:tc>
        <w:tc>
          <w:tcPr>
            <w:tcW w:w="3455" w:type="dxa"/>
            <w:shd w:val="clear" w:color="auto" w:fill="auto"/>
            <w:tcMar>
              <w:top w:w="15" w:type="dxa"/>
              <w:left w:w="108" w:type="dxa"/>
              <w:bottom w:w="0" w:type="dxa"/>
              <w:right w:w="108" w:type="dxa"/>
            </w:tcMar>
            <w:vAlign w:val="center"/>
          </w:tcPr>
          <w:p w14:paraId="03C4579C">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122.5 - 123.9 MHz</w:t>
            </w:r>
          </w:p>
        </w:tc>
      </w:tr>
      <w:tr w14:paraId="032A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11A9F1DA">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1.5T</w:t>
            </w:r>
          </w:p>
        </w:tc>
        <w:tc>
          <w:tcPr>
            <w:tcW w:w="3455" w:type="dxa"/>
            <w:shd w:val="clear" w:color="auto" w:fill="auto"/>
            <w:tcMar>
              <w:top w:w="15" w:type="dxa"/>
              <w:left w:w="108" w:type="dxa"/>
              <w:bottom w:w="0" w:type="dxa"/>
              <w:right w:w="108" w:type="dxa"/>
            </w:tcMar>
            <w:vAlign w:val="center"/>
          </w:tcPr>
          <w:p w14:paraId="50150E91">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62.9 - 64.5 MHz</w:t>
            </w:r>
          </w:p>
        </w:tc>
      </w:tr>
      <w:tr w14:paraId="2E94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426E9824">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1.2T</w:t>
            </w:r>
          </w:p>
        </w:tc>
        <w:tc>
          <w:tcPr>
            <w:tcW w:w="3455" w:type="dxa"/>
            <w:shd w:val="clear" w:color="auto" w:fill="auto"/>
            <w:tcMar>
              <w:top w:w="15" w:type="dxa"/>
              <w:left w:w="108" w:type="dxa"/>
              <w:bottom w:w="0" w:type="dxa"/>
              <w:right w:w="108" w:type="dxa"/>
            </w:tcMar>
            <w:vAlign w:val="center"/>
          </w:tcPr>
          <w:p w14:paraId="67B95190">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49.0 - 49.8 MHz</w:t>
            </w:r>
          </w:p>
        </w:tc>
      </w:tr>
      <w:tr w14:paraId="4AB8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72C706EF">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1.0T（制造商A）</w:t>
            </w:r>
          </w:p>
        </w:tc>
        <w:tc>
          <w:tcPr>
            <w:tcW w:w="3455" w:type="dxa"/>
            <w:shd w:val="clear" w:color="auto" w:fill="auto"/>
            <w:tcMar>
              <w:top w:w="15" w:type="dxa"/>
              <w:left w:w="108" w:type="dxa"/>
              <w:bottom w:w="0" w:type="dxa"/>
              <w:right w:w="108" w:type="dxa"/>
            </w:tcMar>
            <w:vAlign w:val="center"/>
          </w:tcPr>
          <w:p w14:paraId="24AB20A2">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42.2 - 43.2 MHz</w:t>
            </w:r>
          </w:p>
        </w:tc>
      </w:tr>
      <w:tr w14:paraId="2B77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6436FD50">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1.0T（制造商B）</w:t>
            </w:r>
          </w:p>
        </w:tc>
        <w:tc>
          <w:tcPr>
            <w:tcW w:w="3455" w:type="dxa"/>
            <w:shd w:val="clear" w:color="auto" w:fill="auto"/>
            <w:tcMar>
              <w:top w:w="15" w:type="dxa"/>
              <w:left w:w="108" w:type="dxa"/>
              <w:bottom w:w="0" w:type="dxa"/>
              <w:right w:w="108" w:type="dxa"/>
            </w:tcMar>
            <w:vAlign w:val="center"/>
          </w:tcPr>
          <w:p w14:paraId="7DBEDCB8">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 xml:space="preserve">40.0 </w:t>
            </w:r>
            <w:r>
              <w:rPr>
                <w:rFonts w:hint="eastAsia" w:eastAsia="仿宋_GB2312"/>
                <w:color w:val="000000" w:themeColor="text1"/>
                <w:kern w:val="24"/>
                <w:sz w:val="28"/>
                <w:szCs w:val="28"/>
                <w:lang w:val="en-US" w:eastAsia="zh-CN"/>
              </w:rPr>
              <w:t>-</w:t>
            </w:r>
            <w:r>
              <w:rPr>
                <w:rFonts w:eastAsia="仿宋_GB2312"/>
                <w:color w:val="000000" w:themeColor="text1"/>
                <w:kern w:val="24"/>
                <w:sz w:val="28"/>
                <w:szCs w:val="28"/>
              </w:rPr>
              <w:t>41.0 MHz</w:t>
            </w:r>
          </w:p>
        </w:tc>
      </w:tr>
      <w:tr w14:paraId="357B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8" w:type="dxa"/>
            <w:shd w:val="clear" w:color="auto" w:fill="auto"/>
            <w:tcMar>
              <w:top w:w="15" w:type="dxa"/>
              <w:left w:w="108" w:type="dxa"/>
              <w:bottom w:w="0" w:type="dxa"/>
              <w:right w:w="108" w:type="dxa"/>
            </w:tcMar>
            <w:vAlign w:val="center"/>
          </w:tcPr>
          <w:p w14:paraId="11B0EB2E">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0.7T</w:t>
            </w:r>
          </w:p>
        </w:tc>
        <w:tc>
          <w:tcPr>
            <w:tcW w:w="3455" w:type="dxa"/>
            <w:shd w:val="clear" w:color="auto" w:fill="auto"/>
            <w:tcMar>
              <w:top w:w="15" w:type="dxa"/>
              <w:left w:w="108" w:type="dxa"/>
              <w:bottom w:w="0" w:type="dxa"/>
              <w:right w:w="108" w:type="dxa"/>
            </w:tcMar>
            <w:vAlign w:val="center"/>
          </w:tcPr>
          <w:p w14:paraId="0032126D">
            <w:pPr>
              <w:widowControl/>
              <w:snapToGrid w:val="0"/>
              <w:ind w:firstLine="560" w:firstLineChars="200"/>
              <w:textAlignment w:val="baseline"/>
              <w:rPr>
                <w:rFonts w:eastAsia="仿宋_GB2312"/>
                <w:color w:val="000000" w:themeColor="text1"/>
                <w:kern w:val="0"/>
                <w:sz w:val="28"/>
                <w:szCs w:val="28"/>
              </w:rPr>
            </w:pPr>
            <w:r>
              <w:rPr>
                <w:rFonts w:eastAsia="仿宋_GB2312"/>
                <w:color w:val="000000" w:themeColor="text1"/>
                <w:kern w:val="24"/>
                <w:sz w:val="28"/>
                <w:szCs w:val="28"/>
              </w:rPr>
              <w:t xml:space="preserve">29.3 </w:t>
            </w:r>
            <w:r>
              <w:rPr>
                <w:rFonts w:hint="eastAsia" w:eastAsia="仿宋_GB2312"/>
                <w:color w:val="000000" w:themeColor="text1"/>
                <w:kern w:val="24"/>
                <w:sz w:val="28"/>
                <w:szCs w:val="28"/>
                <w:lang w:eastAsia="zh-CN"/>
              </w:rPr>
              <w:t>-</w:t>
            </w:r>
            <w:r>
              <w:rPr>
                <w:rFonts w:eastAsia="仿宋_GB2312"/>
                <w:color w:val="000000" w:themeColor="text1"/>
                <w:kern w:val="24"/>
                <w:sz w:val="28"/>
                <w:szCs w:val="28"/>
              </w:rPr>
              <w:t xml:space="preserve"> 30.0 MHz</w:t>
            </w:r>
          </w:p>
        </w:tc>
      </w:tr>
    </w:tbl>
    <w:p w14:paraId="4F390E09">
      <w:pPr>
        <w:snapToGrid w:val="0"/>
        <w:spacing w:line="520" w:lineRule="exact"/>
        <w:ind w:firstLine="640" w:firstLineChars="200"/>
        <w:rPr>
          <w:rFonts w:eastAsia="仿宋_GB2312"/>
          <w:color w:val="000000" w:themeColor="text1"/>
          <w:sz w:val="32"/>
          <w:szCs w:val="32"/>
        </w:rPr>
      </w:pPr>
    </w:p>
    <w:p w14:paraId="6174F655">
      <w:pPr>
        <w:pStyle w:val="28"/>
        <w:numPr>
          <w:ilvl w:val="0"/>
          <w:numId w:val="10"/>
        </w:numPr>
        <w:snapToGrid w:val="0"/>
        <w:spacing w:line="520" w:lineRule="exact"/>
        <w:ind w:left="0" w:firstLine="640"/>
        <w:outlineLvl w:val="1"/>
        <w:rPr>
          <w:rFonts w:eastAsia="仿宋_GB2312"/>
          <w:color w:val="000000" w:themeColor="text1"/>
          <w:szCs w:val="22"/>
        </w:rPr>
      </w:pPr>
      <w:r>
        <w:rPr>
          <w:rFonts w:eastAsia="楷体_GB2312"/>
          <w:color w:val="000000" w:themeColor="text1"/>
          <w:sz w:val="32"/>
          <w:szCs w:val="32"/>
        </w:rPr>
        <w:t>风险类型</w:t>
      </w:r>
    </w:p>
    <w:p w14:paraId="1FDECB7F">
      <w:pPr>
        <w:snapToGrid w:val="0"/>
        <w:spacing w:line="520" w:lineRule="exact"/>
        <w:ind w:firstLine="640" w:firstLineChars="200"/>
        <w:rPr>
          <w:rFonts w:eastAsia="仿宋_GB2312"/>
          <w:color w:val="000000" w:themeColor="text1"/>
          <w:sz w:val="32"/>
          <w:szCs w:val="36"/>
        </w:rPr>
      </w:pPr>
      <w:bookmarkStart w:id="1" w:name="_Hlk25665313"/>
      <w:r>
        <w:rPr>
          <w:rFonts w:eastAsia="仿宋_GB2312"/>
          <w:color w:val="000000" w:themeColor="text1"/>
          <w:sz w:val="32"/>
          <w:szCs w:val="36"/>
        </w:rPr>
        <w:t>申请人应依据产品特性，逐项分析和评价MR环境安全风险</w:t>
      </w:r>
      <w:bookmarkEnd w:id="1"/>
      <w:r>
        <w:rPr>
          <w:rFonts w:eastAsia="仿宋_GB2312"/>
          <w:color w:val="000000" w:themeColor="text1"/>
          <w:sz w:val="32"/>
          <w:szCs w:val="36"/>
        </w:rPr>
        <w:t>，详述评价过程和结果，提供评价方法的科学依据、最恶劣的测试情况的选取理由等。</w:t>
      </w:r>
    </w:p>
    <w:p w14:paraId="0787C18D">
      <w:pPr>
        <w:snapToGrid w:val="0"/>
        <w:spacing w:line="520" w:lineRule="exact"/>
        <w:ind w:firstLine="640" w:firstLineChars="200"/>
        <w:rPr>
          <w:rFonts w:eastAsia="仿宋_GB2312"/>
          <w:color w:val="000000" w:themeColor="text1"/>
          <w:sz w:val="32"/>
          <w:szCs w:val="36"/>
        </w:rPr>
      </w:pPr>
      <w:r>
        <w:rPr>
          <w:rFonts w:eastAsia="仿宋_GB2312"/>
          <w:color w:val="000000" w:themeColor="text1"/>
          <w:sz w:val="32"/>
          <w:szCs w:val="36"/>
        </w:rPr>
        <w:t>例如：依据YY/T 0987.1，植入式无源产品的评价应至少考虑磁致位移力、磁致扭矩、射频致热、图像伪影。</w:t>
      </w:r>
    </w:p>
    <w:p w14:paraId="70B4CBBD">
      <w:pPr>
        <w:snapToGrid w:val="0"/>
        <w:spacing w:line="520" w:lineRule="exact"/>
        <w:ind w:firstLine="640" w:firstLineChars="200"/>
        <w:jc w:val="center"/>
        <w:rPr>
          <w:rFonts w:eastAsia="Heiti SC Medium"/>
          <w:color w:val="000000" w:themeColor="text1"/>
          <w:sz w:val="32"/>
          <w:szCs w:val="36"/>
        </w:rPr>
      </w:pPr>
      <w:r>
        <w:rPr>
          <w:rFonts w:eastAsia="Heiti SC Medium"/>
          <w:color w:val="000000" w:themeColor="text1"/>
          <w:sz w:val="32"/>
          <w:szCs w:val="36"/>
        </w:rPr>
        <w:t>表2. 已知危害类型的评价方法</w:t>
      </w:r>
    </w:p>
    <w:tbl>
      <w:tblPr>
        <w:tblStyle w:val="17"/>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8"/>
        <w:gridCol w:w="3377"/>
        <w:gridCol w:w="3378"/>
      </w:tblGrid>
      <w:tr w14:paraId="11E4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tcPr>
          <w:p w14:paraId="3293137E">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危害类型</w:t>
            </w:r>
          </w:p>
        </w:tc>
        <w:tc>
          <w:tcPr>
            <w:tcW w:w="1986" w:type="pct"/>
          </w:tcPr>
          <w:p w14:paraId="572747DF">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测试方法</w:t>
            </w:r>
          </w:p>
        </w:tc>
        <w:tc>
          <w:tcPr>
            <w:tcW w:w="1986" w:type="pct"/>
          </w:tcPr>
          <w:p w14:paraId="42DC8C67">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分析</w:t>
            </w:r>
          </w:p>
        </w:tc>
      </w:tr>
      <w:tr w14:paraId="50E3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tcPr>
          <w:p w14:paraId="0103910C">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力</w:t>
            </w:r>
          </w:p>
        </w:tc>
        <w:tc>
          <w:tcPr>
            <w:tcW w:w="1986" w:type="pct"/>
            <w:vAlign w:val="center"/>
          </w:tcPr>
          <w:p w14:paraId="69B0C6F8">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静磁场导致位移力</w:t>
            </w:r>
          </w:p>
        </w:tc>
        <w:tc>
          <w:tcPr>
            <w:tcW w:w="1986" w:type="pct"/>
          </w:tcPr>
          <w:p w14:paraId="54EADDA5">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527A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tcPr>
          <w:p w14:paraId="63334FF6">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扭矩</w:t>
            </w:r>
          </w:p>
        </w:tc>
        <w:tc>
          <w:tcPr>
            <w:tcW w:w="1986" w:type="pct"/>
            <w:vAlign w:val="center"/>
          </w:tcPr>
          <w:p w14:paraId="3EB41FC7">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静磁场导致扭矩</w:t>
            </w:r>
          </w:p>
        </w:tc>
        <w:tc>
          <w:tcPr>
            <w:tcW w:w="1986" w:type="pct"/>
          </w:tcPr>
          <w:p w14:paraId="21C90B5B">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426F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restart"/>
            <w:vAlign w:val="center"/>
          </w:tcPr>
          <w:p w14:paraId="11374958">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发热</w:t>
            </w:r>
          </w:p>
        </w:tc>
        <w:tc>
          <w:tcPr>
            <w:tcW w:w="1986" w:type="pct"/>
            <w:vAlign w:val="center"/>
          </w:tcPr>
          <w:p w14:paraId="4F19EB76">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射频场导致器械发热</w:t>
            </w:r>
          </w:p>
        </w:tc>
        <w:tc>
          <w:tcPr>
            <w:tcW w:w="1986" w:type="pct"/>
          </w:tcPr>
          <w:p w14:paraId="2F20D214">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5F31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continue"/>
          </w:tcPr>
          <w:p w14:paraId="20E9D534">
            <w:pPr>
              <w:autoSpaceDE w:val="0"/>
              <w:autoSpaceDN w:val="0"/>
              <w:adjustRightInd w:val="0"/>
              <w:snapToGrid w:val="0"/>
              <w:jc w:val="center"/>
              <w:rPr>
                <w:rFonts w:eastAsia="仿宋_GB2312"/>
                <w:snapToGrid w:val="0"/>
                <w:color w:val="000000" w:themeColor="text1"/>
                <w:kern w:val="0"/>
                <w:sz w:val="28"/>
                <w:szCs w:val="28"/>
              </w:rPr>
            </w:pPr>
          </w:p>
        </w:tc>
        <w:tc>
          <w:tcPr>
            <w:tcW w:w="1986" w:type="pct"/>
            <w:vAlign w:val="center"/>
          </w:tcPr>
          <w:p w14:paraId="345E78DE">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梯度场导致器械发热</w:t>
            </w:r>
          </w:p>
        </w:tc>
        <w:tc>
          <w:tcPr>
            <w:tcW w:w="1986" w:type="pct"/>
          </w:tcPr>
          <w:p w14:paraId="191FAC1B">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2AC0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tcPr>
          <w:p w14:paraId="60FC6448">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振动</w:t>
            </w:r>
          </w:p>
        </w:tc>
        <w:tc>
          <w:tcPr>
            <w:tcW w:w="1986" w:type="pct"/>
            <w:vAlign w:val="center"/>
          </w:tcPr>
          <w:p w14:paraId="1FFB2891">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梯度场导致振动</w:t>
            </w:r>
          </w:p>
        </w:tc>
        <w:tc>
          <w:tcPr>
            <w:tcW w:w="1986" w:type="pct"/>
          </w:tcPr>
          <w:p w14:paraId="56B9E542">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19FB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restart"/>
            <w:vAlign w:val="center"/>
          </w:tcPr>
          <w:p w14:paraId="241A3E17">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意外刺激</w:t>
            </w:r>
          </w:p>
        </w:tc>
        <w:tc>
          <w:tcPr>
            <w:tcW w:w="1986" w:type="pct"/>
            <w:vAlign w:val="center"/>
          </w:tcPr>
          <w:p w14:paraId="711A65CA">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梯度场感应涡流</w:t>
            </w:r>
          </w:p>
        </w:tc>
        <w:tc>
          <w:tcPr>
            <w:tcW w:w="1986" w:type="pct"/>
          </w:tcPr>
          <w:p w14:paraId="1CDDD49F">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器械故障测试</w:t>
            </w:r>
          </w:p>
        </w:tc>
      </w:tr>
      <w:tr w14:paraId="2E51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continue"/>
          </w:tcPr>
          <w:p w14:paraId="436A9A21">
            <w:pPr>
              <w:autoSpaceDE w:val="0"/>
              <w:autoSpaceDN w:val="0"/>
              <w:adjustRightInd w:val="0"/>
              <w:snapToGrid w:val="0"/>
              <w:jc w:val="center"/>
              <w:rPr>
                <w:rFonts w:eastAsia="仿宋_GB2312"/>
                <w:snapToGrid w:val="0"/>
                <w:color w:val="000000" w:themeColor="text1"/>
                <w:kern w:val="0"/>
                <w:sz w:val="28"/>
                <w:szCs w:val="28"/>
              </w:rPr>
            </w:pPr>
          </w:p>
        </w:tc>
        <w:tc>
          <w:tcPr>
            <w:tcW w:w="1986" w:type="pct"/>
            <w:vAlign w:val="center"/>
          </w:tcPr>
          <w:p w14:paraId="02B37DFE">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射频场感应整流</w:t>
            </w:r>
          </w:p>
        </w:tc>
        <w:tc>
          <w:tcPr>
            <w:tcW w:w="1986" w:type="pct"/>
          </w:tcPr>
          <w:p w14:paraId="24C7C7F9">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器械故障测试</w:t>
            </w:r>
          </w:p>
        </w:tc>
      </w:tr>
      <w:tr w14:paraId="2822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restart"/>
            <w:vAlign w:val="center"/>
          </w:tcPr>
          <w:p w14:paraId="37023765">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器械</w:t>
            </w:r>
          </w:p>
          <w:p w14:paraId="4B2FF576">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故障</w:t>
            </w:r>
          </w:p>
        </w:tc>
        <w:tc>
          <w:tcPr>
            <w:tcW w:w="1986" w:type="pct"/>
            <w:vAlign w:val="center"/>
          </w:tcPr>
          <w:p w14:paraId="27BA061F">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B0场导致器械故障</w:t>
            </w:r>
          </w:p>
        </w:tc>
        <w:tc>
          <w:tcPr>
            <w:tcW w:w="1986" w:type="pct"/>
          </w:tcPr>
          <w:p w14:paraId="2FE40203">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385B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continue"/>
          </w:tcPr>
          <w:p w14:paraId="02F3E068">
            <w:pPr>
              <w:autoSpaceDE w:val="0"/>
              <w:autoSpaceDN w:val="0"/>
              <w:adjustRightInd w:val="0"/>
              <w:snapToGrid w:val="0"/>
              <w:rPr>
                <w:rFonts w:eastAsia="仿宋_GB2312"/>
                <w:snapToGrid w:val="0"/>
                <w:color w:val="000000" w:themeColor="text1"/>
                <w:kern w:val="0"/>
                <w:sz w:val="28"/>
                <w:szCs w:val="28"/>
              </w:rPr>
            </w:pPr>
          </w:p>
        </w:tc>
        <w:tc>
          <w:tcPr>
            <w:tcW w:w="1986" w:type="pct"/>
            <w:vAlign w:val="center"/>
          </w:tcPr>
          <w:p w14:paraId="29D50E16">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射频场导致器械故障</w:t>
            </w:r>
          </w:p>
        </w:tc>
        <w:tc>
          <w:tcPr>
            <w:tcW w:w="1986" w:type="pct"/>
          </w:tcPr>
          <w:p w14:paraId="145F0512">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00C5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continue"/>
          </w:tcPr>
          <w:p w14:paraId="58C90AFD">
            <w:pPr>
              <w:autoSpaceDE w:val="0"/>
              <w:autoSpaceDN w:val="0"/>
              <w:adjustRightInd w:val="0"/>
              <w:snapToGrid w:val="0"/>
              <w:rPr>
                <w:rFonts w:eastAsia="仿宋_GB2312"/>
                <w:snapToGrid w:val="0"/>
                <w:color w:val="000000" w:themeColor="text1"/>
                <w:kern w:val="0"/>
                <w:sz w:val="28"/>
                <w:szCs w:val="28"/>
              </w:rPr>
            </w:pPr>
          </w:p>
        </w:tc>
        <w:tc>
          <w:tcPr>
            <w:tcW w:w="1986" w:type="pct"/>
            <w:vAlign w:val="center"/>
          </w:tcPr>
          <w:p w14:paraId="018A30ED">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梯度场导致器械故障</w:t>
            </w:r>
          </w:p>
        </w:tc>
        <w:tc>
          <w:tcPr>
            <w:tcW w:w="1986" w:type="pct"/>
          </w:tcPr>
          <w:p w14:paraId="6DC625D5">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r w14:paraId="3F54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8" w:type="pct"/>
            <w:vMerge w:val="continue"/>
          </w:tcPr>
          <w:p w14:paraId="32CC9F40">
            <w:pPr>
              <w:autoSpaceDE w:val="0"/>
              <w:autoSpaceDN w:val="0"/>
              <w:adjustRightInd w:val="0"/>
              <w:snapToGrid w:val="0"/>
              <w:rPr>
                <w:rFonts w:eastAsia="仿宋_GB2312"/>
                <w:snapToGrid w:val="0"/>
                <w:color w:val="000000" w:themeColor="text1"/>
                <w:kern w:val="0"/>
                <w:sz w:val="28"/>
                <w:szCs w:val="28"/>
              </w:rPr>
            </w:pPr>
          </w:p>
        </w:tc>
        <w:tc>
          <w:tcPr>
            <w:tcW w:w="1986" w:type="pct"/>
            <w:vAlign w:val="center"/>
          </w:tcPr>
          <w:p w14:paraId="20B10F35">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复合场测试</w:t>
            </w:r>
          </w:p>
        </w:tc>
        <w:tc>
          <w:tcPr>
            <w:tcW w:w="1986" w:type="pct"/>
          </w:tcPr>
          <w:p w14:paraId="5DDB3456">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主要与预期位置相关</w:t>
            </w:r>
          </w:p>
        </w:tc>
      </w:tr>
    </w:tbl>
    <w:p w14:paraId="14E7098A">
      <w:pPr>
        <w:snapToGrid w:val="0"/>
        <w:spacing w:line="520" w:lineRule="exact"/>
        <w:ind w:firstLine="640" w:firstLineChars="200"/>
        <w:rPr>
          <w:rFonts w:eastAsia="仿宋_GB2312"/>
          <w:color w:val="000000" w:themeColor="text1"/>
          <w:sz w:val="32"/>
          <w:szCs w:val="36"/>
        </w:rPr>
      </w:pPr>
    </w:p>
    <w:p w14:paraId="0C5C4ACB">
      <w:pPr>
        <w:snapToGrid w:val="0"/>
        <w:spacing w:line="520" w:lineRule="exact"/>
        <w:ind w:firstLine="640" w:firstLineChars="200"/>
        <w:jc w:val="center"/>
        <w:rPr>
          <w:rFonts w:eastAsia="Heiti SC Medium"/>
          <w:color w:val="000000" w:themeColor="text1"/>
          <w:sz w:val="32"/>
          <w:szCs w:val="36"/>
        </w:rPr>
      </w:pPr>
      <w:r>
        <w:rPr>
          <w:rFonts w:eastAsia="Heiti SC Medium"/>
          <w:color w:val="000000" w:themeColor="text1"/>
          <w:sz w:val="32"/>
          <w:szCs w:val="36"/>
        </w:rPr>
        <w:t>表3. ISO/TS 10974 推荐的评价方法</w:t>
      </w:r>
    </w:p>
    <w:tbl>
      <w:tblPr>
        <w:tblStyle w:val="17"/>
        <w:tblW w:w="49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9"/>
        <w:gridCol w:w="3847"/>
        <w:gridCol w:w="1165"/>
        <w:gridCol w:w="1630"/>
      </w:tblGrid>
      <w:tr w14:paraId="5C9B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tcPr>
          <w:p w14:paraId="33CD9041">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危害类型</w:t>
            </w:r>
          </w:p>
        </w:tc>
        <w:tc>
          <w:tcPr>
            <w:tcW w:w="2292" w:type="pct"/>
          </w:tcPr>
          <w:p w14:paraId="192272E2">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测试方法</w:t>
            </w:r>
          </w:p>
        </w:tc>
        <w:tc>
          <w:tcPr>
            <w:tcW w:w="694" w:type="pct"/>
            <w:vAlign w:val="center"/>
          </w:tcPr>
          <w:p w14:paraId="31BD3D00">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条款</w:t>
            </w:r>
          </w:p>
        </w:tc>
        <w:tc>
          <w:tcPr>
            <w:tcW w:w="971" w:type="pct"/>
          </w:tcPr>
          <w:p w14:paraId="471D644C">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测试层级</w:t>
            </w:r>
          </w:p>
        </w:tc>
      </w:tr>
      <w:tr w14:paraId="4D98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restart"/>
          </w:tcPr>
          <w:p w14:paraId="015706AD">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发热</w:t>
            </w:r>
          </w:p>
        </w:tc>
        <w:tc>
          <w:tcPr>
            <w:tcW w:w="2292" w:type="pct"/>
            <w:vAlign w:val="center"/>
          </w:tcPr>
          <w:p w14:paraId="656FFFE2">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射频场导致器械发热</w:t>
            </w:r>
          </w:p>
        </w:tc>
        <w:tc>
          <w:tcPr>
            <w:tcW w:w="694" w:type="pct"/>
            <w:vAlign w:val="center"/>
          </w:tcPr>
          <w:p w14:paraId="6FB74CDE">
            <w:pPr>
              <w:autoSpaceDE w:val="0"/>
              <w:autoSpaceDN w:val="0"/>
              <w:adjustRightInd w:val="0"/>
              <w:snapToGrid w:val="0"/>
              <w:jc w:val="center"/>
              <w:rPr>
                <w:rFonts w:hint="eastAsia" w:eastAsia="仿宋_GB2312"/>
                <w:snapToGrid w:val="0"/>
                <w:color w:val="000000" w:themeColor="text1"/>
                <w:kern w:val="0"/>
                <w:sz w:val="28"/>
                <w:szCs w:val="28"/>
                <w:lang w:eastAsia="zh-CN"/>
              </w:rPr>
            </w:pPr>
            <w:r>
              <w:rPr>
                <w:rFonts w:hint="eastAsia" w:eastAsia="仿宋_GB2312"/>
                <w:sz w:val="28"/>
                <w:szCs w:val="28"/>
                <w:lang w:val="en-US" w:eastAsia="zh-CN"/>
              </w:rPr>
              <w:t>8</w:t>
            </w:r>
          </w:p>
        </w:tc>
        <w:tc>
          <w:tcPr>
            <w:tcW w:w="971" w:type="pct"/>
          </w:tcPr>
          <w:p w14:paraId="65AE2327">
            <w:pPr>
              <w:autoSpaceDE w:val="0"/>
              <w:autoSpaceDN w:val="0"/>
              <w:adjustRightInd w:val="0"/>
              <w:snapToGrid w:val="0"/>
              <w:jc w:val="center"/>
              <w:rPr>
                <w:color w:val="000000" w:themeColor="text1"/>
                <w:kern w:val="0"/>
                <w:sz w:val="28"/>
                <w:szCs w:val="28"/>
              </w:rPr>
            </w:pPr>
            <w:r>
              <w:rPr>
                <w:color w:val="000000" w:themeColor="text1"/>
                <w:kern w:val="0"/>
                <w:sz w:val="28"/>
                <w:szCs w:val="28"/>
              </w:rPr>
              <w:t>4</w:t>
            </w:r>
          </w:p>
        </w:tc>
      </w:tr>
      <w:tr w14:paraId="1860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continue"/>
          </w:tcPr>
          <w:p w14:paraId="5A45565A">
            <w:pPr>
              <w:autoSpaceDE w:val="0"/>
              <w:autoSpaceDN w:val="0"/>
              <w:adjustRightInd w:val="0"/>
              <w:snapToGrid w:val="0"/>
              <w:jc w:val="center"/>
              <w:rPr>
                <w:rFonts w:eastAsia="仿宋_GB2312"/>
                <w:snapToGrid w:val="0"/>
                <w:color w:val="000000" w:themeColor="text1"/>
                <w:kern w:val="0"/>
                <w:sz w:val="28"/>
                <w:szCs w:val="28"/>
              </w:rPr>
            </w:pPr>
          </w:p>
        </w:tc>
        <w:tc>
          <w:tcPr>
            <w:tcW w:w="2292" w:type="pct"/>
            <w:vAlign w:val="center"/>
          </w:tcPr>
          <w:p w14:paraId="05C6640D">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梯度场导致器械发热</w:t>
            </w:r>
          </w:p>
        </w:tc>
        <w:tc>
          <w:tcPr>
            <w:tcW w:w="694" w:type="pct"/>
            <w:vAlign w:val="center"/>
          </w:tcPr>
          <w:p w14:paraId="50DC6DB6">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9</w:t>
            </w:r>
          </w:p>
        </w:tc>
        <w:tc>
          <w:tcPr>
            <w:tcW w:w="971" w:type="pct"/>
          </w:tcPr>
          <w:p w14:paraId="23FDF75F">
            <w:pPr>
              <w:autoSpaceDE w:val="0"/>
              <w:autoSpaceDN w:val="0"/>
              <w:adjustRightInd w:val="0"/>
              <w:snapToGrid w:val="0"/>
              <w:jc w:val="center"/>
              <w:rPr>
                <w:color w:val="000000" w:themeColor="text1"/>
                <w:kern w:val="0"/>
                <w:sz w:val="28"/>
                <w:szCs w:val="28"/>
              </w:rPr>
            </w:pPr>
            <w:r>
              <w:rPr>
                <w:color w:val="000000" w:themeColor="text1"/>
                <w:kern w:val="0"/>
                <w:sz w:val="28"/>
                <w:szCs w:val="28"/>
              </w:rPr>
              <w:t>4</w:t>
            </w:r>
          </w:p>
        </w:tc>
      </w:tr>
      <w:tr w14:paraId="61C6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tcPr>
          <w:p w14:paraId="26A8E440">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振动</w:t>
            </w:r>
          </w:p>
        </w:tc>
        <w:tc>
          <w:tcPr>
            <w:tcW w:w="2292" w:type="pct"/>
            <w:vAlign w:val="center"/>
          </w:tcPr>
          <w:p w14:paraId="2DDC008A">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梯度场导致振动</w:t>
            </w:r>
          </w:p>
        </w:tc>
        <w:tc>
          <w:tcPr>
            <w:tcW w:w="694" w:type="pct"/>
            <w:vAlign w:val="center"/>
          </w:tcPr>
          <w:p w14:paraId="60186CD2">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10</w:t>
            </w:r>
          </w:p>
        </w:tc>
        <w:tc>
          <w:tcPr>
            <w:tcW w:w="971" w:type="pct"/>
          </w:tcPr>
          <w:p w14:paraId="285B8F5E">
            <w:pPr>
              <w:autoSpaceDE w:val="0"/>
              <w:autoSpaceDN w:val="0"/>
              <w:adjustRightInd w:val="0"/>
              <w:snapToGrid w:val="0"/>
              <w:jc w:val="center"/>
              <w:rPr>
                <w:color w:val="000000" w:themeColor="text1"/>
                <w:kern w:val="0"/>
                <w:sz w:val="28"/>
                <w:szCs w:val="28"/>
              </w:rPr>
            </w:pPr>
            <w:r>
              <w:rPr>
                <w:color w:val="000000" w:themeColor="text1"/>
                <w:kern w:val="0"/>
                <w:sz w:val="28"/>
                <w:szCs w:val="28"/>
              </w:rPr>
              <w:t>4</w:t>
            </w:r>
          </w:p>
        </w:tc>
      </w:tr>
      <w:tr w14:paraId="6A16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tcPr>
          <w:p w14:paraId="33F6085F">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力</w:t>
            </w:r>
          </w:p>
        </w:tc>
        <w:tc>
          <w:tcPr>
            <w:tcW w:w="2292" w:type="pct"/>
            <w:vAlign w:val="center"/>
          </w:tcPr>
          <w:p w14:paraId="7335E3DC">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B0感应力</w:t>
            </w:r>
          </w:p>
        </w:tc>
        <w:tc>
          <w:tcPr>
            <w:tcW w:w="694" w:type="pct"/>
            <w:vAlign w:val="center"/>
          </w:tcPr>
          <w:p w14:paraId="6EC0C086">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11</w:t>
            </w:r>
          </w:p>
        </w:tc>
        <w:tc>
          <w:tcPr>
            <w:tcW w:w="971" w:type="pct"/>
          </w:tcPr>
          <w:p w14:paraId="4AB70ED2">
            <w:pPr>
              <w:autoSpaceDE w:val="0"/>
              <w:autoSpaceDN w:val="0"/>
              <w:adjustRightInd w:val="0"/>
              <w:snapToGrid w:val="0"/>
              <w:jc w:val="center"/>
              <w:rPr>
                <w:color w:val="000000" w:themeColor="text1"/>
                <w:kern w:val="0"/>
                <w:sz w:val="28"/>
                <w:szCs w:val="28"/>
              </w:rPr>
            </w:pPr>
            <w:r>
              <w:rPr>
                <w:color w:val="000000" w:themeColor="text1"/>
                <w:kern w:val="0"/>
                <w:sz w:val="28"/>
                <w:szCs w:val="28"/>
              </w:rPr>
              <w:t>×</w:t>
            </w:r>
          </w:p>
        </w:tc>
      </w:tr>
      <w:tr w14:paraId="5F69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tcPr>
          <w:p w14:paraId="2C6CF932">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扭矩</w:t>
            </w:r>
          </w:p>
        </w:tc>
        <w:tc>
          <w:tcPr>
            <w:tcW w:w="2292" w:type="pct"/>
            <w:vAlign w:val="center"/>
          </w:tcPr>
          <w:p w14:paraId="1E42262E">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B0感应扭矩</w:t>
            </w:r>
          </w:p>
        </w:tc>
        <w:tc>
          <w:tcPr>
            <w:tcW w:w="694" w:type="pct"/>
            <w:vAlign w:val="center"/>
          </w:tcPr>
          <w:p w14:paraId="00979E52">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12</w:t>
            </w:r>
          </w:p>
        </w:tc>
        <w:tc>
          <w:tcPr>
            <w:tcW w:w="971" w:type="pct"/>
          </w:tcPr>
          <w:p w14:paraId="42042C20">
            <w:pPr>
              <w:autoSpaceDE w:val="0"/>
              <w:autoSpaceDN w:val="0"/>
              <w:adjustRightInd w:val="0"/>
              <w:snapToGrid w:val="0"/>
              <w:jc w:val="center"/>
              <w:rPr>
                <w:color w:val="000000" w:themeColor="text1"/>
                <w:kern w:val="0"/>
                <w:sz w:val="28"/>
                <w:szCs w:val="28"/>
              </w:rPr>
            </w:pPr>
            <w:r>
              <w:rPr>
                <w:color w:val="000000" w:themeColor="text1"/>
                <w:kern w:val="0"/>
                <w:sz w:val="28"/>
                <w:szCs w:val="28"/>
              </w:rPr>
              <w:t>×</w:t>
            </w:r>
          </w:p>
        </w:tc>
      </w:tr>
      <w:tr w14:paraId="4A88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restart"/>
            <w:vAlign w:val="center"/>
          </w:tcPr>
          <w:p w14:paraId="324D7F05">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意外刺激</w:t>
            </w:r>
          </w:p>
        </w:tc>
        <w:tc>
          <w:tcPr>
            <w:tcW w:w="2292" w:type="pct"/>
            <w:vAlign w:val="center"/>
          </w:tcPr>
          <w:p w14:paraId="2F291B6D">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梯度场感应外部电势</w:t>
            </w:r>
          </w:p>
        </w:tc>
        <w:tc>
          <w:tcPr>
            <w:tcW w:w="694" w:type="pct"/>
            <w:vAlign w:val="center"/>
          </w:tcPr>
          <w:p w14:paraId="32E89C66">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13</w:t>
            </w:r>
          </w:p>
        </w:tc>
        <w:tc>
          <w:tcPr>
            <w:tcW w:w="971" w:type="pct"/>
          </w:tcPr>
          <w:p w14:paraId="395F9164">
            <w:pPr>
              <w:autoSpaceDE w:val="0"/>
              <w:autoSpaceDN w:val="0"/>
              <w:adjustRightInd w:val="0"/>
              <w:snapToGrid w:val="0"/>
              <w:jc w:val="center"/>
              <w:rPr>
                <w:color w:val="000000" w:themeColor="text1"/>
                <w:kern w:val="0"/>
                <w:sz w:val="28"/>
                <w:szCs w:val="28"/>
              </w:rPr>
            </w:pPr>
            <w:r>
              <w:rPr>
                <w:color w:val="000000" w:themeColor="text1"/>
                <w:kern w:val="0"/>
                <w:sz w:val="28"/>
                <w:szCs w:val="28"/>
              </w:rPr>
              <w:t>4</w:t>
            </w:r>
          </w:p>
        </w:tc>
      </w:tr>
      <w:tr w14:paraId="353E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continue"/>
          </w:tcPr>
          <w:p w14:paraId="15A12A3F">
            <w:pPr>
              <w:autoSpaceDE w:val="0"/>
              <w:autoSpaceDN w:val="0"/>
              <w:adjustRightInd w:val="0"/>
              <w:snapToGrid w:val="0"/>
              <w:jc w:val="center"/>
              <w:rPr>
                <w:rFonts w:eastAsia="仿宋_GB2312"/>
                <w:snapToGrid w:val="0"/>
                <w:color w:val="000000" w:themeColor="text1"/>
                <w:kern w:val="0"/>
                <w:sz w:val="28"/>
                <w:szCs w:val="28"/>
              </w:rPr>
            </w:pPr>
          </w:p>
        </w:tc>
        <w:tc>
          <w:tcPr>
            <w:tcW w:w="2292" w:type="pct"/>
            <w:vAlign w:val="center"/>
          </w:tcPr>
          <w:p w14:paraId="39827327">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射频场感应整流导联电压</w:t>
            </w:r>
          </w:p>
        </w:tc>
        <w:tc>
          <w:tcPr>
            <w:tcW w:w="694" w:type="pct"/>
            <w:vAlign w:val="center"/>
          </w:tcPr>
          <w:p w14:paraId="4660C569">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15</w:t>
            </w:r>
          </w:p>
        </w:tc>
        <w:tc>
          <w:tcPr>
            <w:tcW w:w="971" w:type="pct"/>
          </w:tcPr>
          <w:p w14:paraId="6017CF38">
            <w:pPr>
              <w:autoSpaceDE w:val="0"/>
              <w:autoSpaceDN w:val="0"/>
              <w:adjustRightInd w:val="0"/>
              <w:snapToGrid w:val="0"/>
              <w:jc w:val="center"/>
              <w:rPr>
                <w:color w:val="000000" w:themeColor="text1"/>
                <w:kern w:val="0"/>
                <w:sz w:val="28"/>
                <w:szCs w:val="28"/>
              </w:rPr>
            </w:pPr>
            <w:r>
              <w:rPr>
                <w:color w:val="000000" w:themeColor="text1"/>
                <w:kern w:val="0"/>
                <w:sz w:val="28"/>
                <w:szCs w:val="28"/>
              </w:rPr>
              <w:t>4</w:t>
            </w:r>
          </w:p>
        </w:tc>
      </w:tr>
      <w:tr w14:paraId="7675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restart"/>
          </w:tcPr>
          <w:p w14:paraId="3A6BF1FE">
            <w:pPr>
              <w:autoSpaceDE w:val="0"/>
              <w:autoSpaceDN w:val="0"/>
              <w:adjustRightInd w:val="0"/>
              <w:snapToGrid w:val="0"/>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故障</w:t>
            </w:r>
          </w:p>
        </w:tc>
        <w:tc>
          <w:tcPr>
            <w:tcW w:w="2292" w:type="pct"/>
            <w:vAlign w:val="center"/>
          </w:tcPr>
          <w:p w14:paraId="3E5EED03">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B0场导致器械故障</w:t>
            </w:r>
          </w:p>
        </w:tc>
        <w:tc>
          <w:tcPr>
            <w:tcW w:w="694" w:type="pct"/>
            <w:vAlign w:val="center"/>
          </w:tcPr>
          <w:p w14:paraId="2AA8A409">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14</w:t>
            </w:r>
          </w:p>
        </w:tc>
        <w:tc>
          <w:tcPr>
            <w:tcW w:w="971" w:type="pct"/>
          </w:tcPr>
          <w:p w14:paraId="616FB6B7">
            <w:pPr>
              <w:autoSpaceDE w:val="0"/>
              <w:autoSpaceDN w:val="0"/>
              <w:adjustRightInd w:val="0"/>
              <w:snapToGrid w:val="0"/>
              <w:jc w:val="center"/>
              <w:rPr>
                <w:color w:val="000000" w:themeColor="text1"/>
                <w:kern w:val="0"/>
                <w:sz w:val="28"/>
                <w:szCs w:val="28"/>
              </w:rPr>
            </w:pPr>
            <w:r>
              <w:rPr>
                <w:color w:val="000000" w:themeColor="text1"/>
                <w:kern w:val="0"/>
                <w:sz w:val="28"/>
                <w:szCs w:val="28"/>
              </w:rPr>
              <w:t>×</w:t>
            </w:r>
          </w:p>
        </w:tc>
      </w:tr>
      <w:tr w14:paraId="629C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continue"/>
          </w:tcPr>
          <w:p w14:paraId="5B6E8E99">
            <w:pPr>
              <w:autoSpaceDE w:val="0"/>
              <w:autoSpaceDN w:val="0"/>
              <w:adjustRightInd w:val="0"/>
              <w:snapToGrid w:val="0"/>
              <w:rPr>
                <w:rFonts w:eastAsia="仿宋_GB2312"/>
                <w:snapToGrid w:val="0"/>
                <w:color w:val="000000" w:themeColor="text1"/>
                <w:kern w:val="0"/>
                <w:sz w:val="28"/>
                <w:szCs w:val="28"/>
              </w:rPr>
            </w:pPr>
          </w:p>
        </w:tc>
        <w:tc>
          <w:tcPr>
            <w:tcW w:w="2292" w:type="pct"/>
            <w:vAlign w:val="center"/>
          </w:tcPr>
          <w:p w14:paraId="6347F5E0">
            <w:pPr>
              <w:autoSpaceDE w:val="0"/>
              <w:autoSpaceDN w:val="0"/>
              <w:adjustRightInd w:val="0"/>
              <w:snapToGrid w:val="0"/>
              <w:rPr>
                <w:rFonts w:eastAsia="仿宋_GB2312"/>
                <w:snapToGrid w:val="0"/>
                <w:color w:val="000000" w:themeColor="text1"/>
                <w:kern w:val="0"/>
                <w:sz w:val="28"/>
                <w:szCs w:val="28"/>
              </w:rPr>
            </w:pPr>
            <w:bookmarkStart w:id="2" w:name="_Hlk80094646"/>
            <w:r>
              <w:rPr>
                <w:rFonts w:eastAsia="仿宋_GB2312"/>
                <w:snapToGrid w:val="0"/>
                <w:color w:val="000000" w:themeColor="text1"/>
                <w:kern w:val="0"/>
                <w:sz w:val="28"/>
                <w:szCs w:val="28"/>
              </w:rPr>
              <w:t>射频场导致器械故障</w:t>
            </w:r>
            <w:bookmarkEnd w:id="2"/>
          </w:p>
        </w:tc>
        <w:tc>
          <w:tcPr>
            <w:tcW w:w="694" w:type="pct"/>
            <w:vAlign w:val="center"/>
          </w:tcPr>
          <w:p w14:paraId="7FDAF1D2">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15</w:t>
            </w:r>
          </w:p>
        </w:tc>
        <w:tc>
          <w:tcPr>
            <w:tcW w:w="971" w:type="pct"/>
          </w:tcPr>
          <w:p w14:paraId="2A910DB7">
            <w:pPr>
              <w:autoSpaceDE w:val="0"/>
              <w:autoSpaceDN w:val="0"/>
              <w:adjustRightInd w:val="0"/>
              <w:snapToGrid w:val="0"/>
              <w:jc w:val="center"/>
              <w:rPr>
                <w:color w:val="000000" w:themeColor="text1"/>
                <w:kern w:val="0"/>
                <w:sz w:val="28"/>
                <w:szCs w:val="28"/>
              </w:rPr>
            </w:pPr>
            <w:r>
              <w:rPr>
                <w:color w:val="000000" w:themeColor="text1"/>
                <w:kern w:val="0"/>
                <w:sz w:val="28"/>
                <w:szCs w:val="28"/>
              </w:rPr>
              <w:t>×</w:t>
            </w:r>
          </w:p>
        </w:tc>
      </w:tr>
      <w:tr w14:paraId="670E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continue"/>
          </w:tcPr>
          <w:p w14:paraId="3D59CB7E">
            <w:pPr>
              <w:autoSpaceDE w:val="0"/>
              <w:autoSpaceDN w:val="0"/>
              <w:adjustRightInd w:val="0"/>
              <w:snapToGrid w:val="0"/>
              <w:rPr>
                <w:rFonts w:eastAsia="仿宋_GB2312"/>
                <w:snapToGrid w:val="0"/>
                <w:color w:val="000000" w:themeColor="text1"/>
                <w:kern w:val="0"/>
                <w:sz w:val="28"/>
                <w:szCs w:val="28"/>
              </w:rPr>
            </w:pPr>
          </w:p>
        </w:tc>
        <w:tc>
          <w:tcPr>
            <w:tcW w:w="2292" w:type="pct"/>
            <w:vAlign w:val="center"/>
          </w:tcPr>
          <w:p w14:paraId="11C76655">
            <w:pPr>
              <w:autoSpaceDE w:val="0"/>
              <w:autoSpaceDN w:val="0"/>
              <w:adjustRightInd w:val="0"/>
              <w:snapToGrid w:val="0"/>
              <w:rPr>
                <w:rFonts w:eastAsia="仿宋_GB2312"/>
                <w:snapToGrid w:val="0"/>
                <w:color w:val="000000" w:themeColor="text1"/>
                <w:kern w:val="0"/>
                <w:sz w:val="28"/>
                <w:szCs w:val="28"/>
              </w:rPr>
            </w:pPr>
            <w:bookmarkStart w:id="3" w:name="_Hlk80094670"/>
            <w:r>
              <w:rPr>
                <w:rFonts w:eastAsia="仿宋_GB2312"/>
                <w:snapToGrid w:val="0"/>
                <w:color w:val="000000" w:themeColor="text1"/>
                <w:kern w:val="0"/>
                <w:sz w:val="28"/>
                <w:szCs w:val="28"/>
              </w:rPr>
              <w:t>梯度场导致器械故障</w:t>
            </w:r>
            <w:bookmarkEnd w:id="3"/>
          </w:p>
        </w:tc>
        <w:tc>
          <w:tcPr>
            <w:tcW w:w="694" w:type="pct"/>
            <w:vAlign w:val="center"/>
          </w:tcPr>
          <w:p w14:paraId="40961015">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16</w:t>
            </w:r>
          </w:p>
        </w:tc>
        <w:tc>
          <w:tcPr>
            <w:tcW w:w="971" w:type="pct"/>
          </w:tcPr>
          <w:p w14:paraId="6FD225E4">
            <w:pPr>
              <w:autoSpaceDE w:val="0"/>
              <w:autoSpaceDN w:val="0"/>
              <w:adjustRightInd w:val="0"/>
              <w:snapToGrid w:val="0"/>
              <w:jc w:val="center"/>
              <w:rPr>
                <w:color w:val="000000" w:themeColor="text1"/>
                <w:kern w:val="0"/>
                <w:sz w:val="28"/>
                <w:szCs w:val="28"/>
              </w:rPr>
            </w:pPr>
            <w:r>
              <w:rPr>
                <w:color w:val="000000" w:themeColor="text1"/>
                <w:kern w:val="0"/>
                <w:sz w:val="28"/>
                <w:szCs w:val="28"/>
              </w:rPr>
              <w:t>4</w:t>
            </w:r>
          </w:p>
        </w:tc>
      </w:tr>
      <w:tr w14:paraId="4F77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2" w:type="pct"/>
            <w:vMerge w:val="continue"/>
          </w:tcPr>
          <w:p w14:paraId="6E6D7D06">
            <w:pPr>
              <w:autoSpaceDE w:val="0"/>
              <w:autoSpaceDN w:val="0"/>
              <w:adjustRightInd w:val="0"/>
              <w:snapToGrid w:val="0"/>
              <w:rPr>
                <w:rFonts w:eastAsia="仿宋_GB2312"/>
                <w:snapToGrid w:val="0"/>
                <w:color w:val="000000" w:themeColor="text1"/>
                <w:kern w:val="0"/>
                <w:sz w:val="28"/>
                <w:szCs w:val="28"/>
              </w:rPr>
            </w:pPr>
          </w:p>
        </w:tc>
        <w:tc>
          <w:tcPr>
            <w:tcW w:w="2292" w:type="pct"/>
            <w:vAlign w:val="center"/>
          </w:tcPr>
          <w:p w14:paraId="07451434">
            <w:pPr>
              <w:autoSpaceDE w:val="0"/>
              <w:autoSpaceDN w:val="0"/>
              <w:adjustRightInd w:val="0"/>
              <w:snapToGrid w:val="0"/>
              <w:rPr>
                <w:rFonts w:eastAsia="仿宋_GB2312"/>
                <w:snapToGrid w:val="0"/>
                <w:color w:val="000000" w:themeColor="text1"/>
                <w:kern w:val="0"/>
                <w:sz w:val="28"/>
                <w:szCs w:val="28"/>
              </w:rPr>
            </w:pPr>
            <w:r>
              <w:rPr>
                <w:rFonts w:eastAsia="仿宋_GB2312"/>
                <w:snapToGrid w:val="0"/>
                <w:color w:val="000000" w:themeColor="text1"/>
                <w:kern w:val="0"/>
                <w:sz w:val="28"/>
                <w:szCs w:val="28"/>
              </w:rPr>
              <w:t>合成场测试</w:t>
            </w:r>
          </w:p>
        </w:tc>
        <w:tc>
          <w:tcPr>
            <w:tcW w:w="694" w:type="pct"/>
            <w:vAlign w:val="center"/>
          </w:tcPr>
          <w:p w14:paraId="5B2063B9">
            <w:pPr>
              <w:autoSpaceDE w:val="0"/>
              <w:autoSpaceDN w:val="0"/>
              <w:adjustRightInd w:val="0"/>
              <w:snapToGrid w:val="0"/>
              <w:jc w:val="center"/>
              <w:rPr>
                <w:rFonts w:eastAsia="仿宋_GB2312"/>
                <w:snapToGrid w:val="0"/>
                <w:color w:val="000000" w:themeColor="text1"/>
                <w:kern w:val="0"/>
                <w:sz w:val="28"/>
                <w:szCs w:val="28"/>
              </w:rPr>
            </w:pPr>
            <w:r>
              <w:rPr>
                <w:rFonts w:hint="eastAsia"/>
                <w:sz w:val="28"/>
                <w:szCs w:val="28"/>
                <w:lang w:val="en-US" w:eastAsia="zh-CN"/>
              </w:rPr>
              <w:t>17</w:t>
            </w:r>
          </w:p>
        </w:tc>
        <w:tc>
          <w:tcPr>
            <w:tcW w:w="971" w:type="pct"/>
          </w:tcPr>
          <w:p w14:paraId="56251A8E">
            <w:pPr>
              <w:autoSpaceDE w:val="0"/>
              <w:autoSpaceDN w:val="0"/>
              <w:adjustRightInd w:val="0"/>
              <w:snapToGrid w:val="0"/>
              <w:jc w:val="center"/>
              <w:rPr>
                <w:color w:val="000000" w:themeColor="text1"/>
                <w:kern w:val="0"/>
                <w:sz w:val="28"/>
                <w:szCs w:val="28"/>
              </w:rPr>
            </w:pPr>
            <w:r>
              <w:rPr>
                <w:color w:val="000000" w:themeColor="text1"/>
                <w:kern w:val="0"/>
                <w:sz w:val="28"/>
                <w:szCs w:val="28"/>
              </w:rPr>
              <w:t>×</w:t>
            </w:r>
          </w:p>
        </w:tc>
      </w:tr>
    </w:tbl>
    <w:p w14:paraId="1E7F3FA8">
      <w:pPr>
        <w:overflowPunct w:val="0"/>
        <w:autoSpaceDE w:val="0"/>
        <w:autoSpaceDN w:val="0"/>
        <w:snapToGrid w:val="0"/>
        <w:spacing w:line="520" w:lineRule="exact"/>
        <w:jc w:val="left"/>
        <w:outlineLvl w:val="2"/>
        <w:rPr>
          <w:rFonts w:eastAsia="仿宋_GB2312"/>
          <w:color w:val="000000" w:themeColor="text1"/>
          <w:kern w:val="0"/>
          <w:sz w:val="32"/>
          <w:szCs w:val="32"/>
        </w:rPr>
      </w:pPr>
    </w:p>
    <w:p w14:paraId="664A732F">
      <w:pPr>
        <w:numPr>
          <w:ilvl w:val="0"/>
          <w:numId w:val="11"/>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磁致位移力</w:t>
      </w:r>
    </w:p>
    <w:p w14:paraId="4E32309A">
      <w:pPr>
        <w:numPr>
          <w:ilvl w:val="1"/>
          <w:numId w:val="11"/>
        </w:numPr>
        <w:overflowPunct w:val="0"/>
        <w:autoSpaceDE w:val="0"/>
        <w:autoSpaceDN w:val="0"/>
        <w:snapToGrid w:val="0"/>
        <w:spacing w:line="520" w:lineRule="exact"/>
        <w:ind w:firstLine="640" w:firstLineChars="200"/>
        <w:jc w:val="left"/>
        <w:outlineLvl w:val="3"/>
        <w:rPr>
          <w:rFonts w:eastAsia="仿宋_GB2312"/>
          <w:color w:val="000000" w:themeColor="text1"/>
          <w:kern w:val="0"/>
          <w:sz w:val="32"/>
          <w:szCs w:val="32"/>
        </w:rPr>
      </w:pPr>
      <w:r>
        <w:rPr>
          <w:rFonts w:eastAsia="仿宋_GB2312"/>
          <w:color w:val="000000" w:themeColor="text1"/>
          <w:kern w:val="0"/>
          <w:sz w:val="32"/>
          <w:szCs w:val="32"/>
        </w:rPr>
        <w:t>危害分析</w:t>
      </w:r>
    </w:p>
    <w:p w14:paraId="36F8B6E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所有预期置于MR环境中的医疗器械，均需考虑磁致位移力的影响，并进行安全评价。</w:t>
      </w:r>
    </w:p>
    <w:p w14:paraId="6F61C61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MR设备的磁体产生持续的静磁场，由于静磁场的空间分布变化，进一步产生空间磁场梯度。静磁场及其空间磁场梯度，对器械所含的磁性材料产生一定的力学效应，磁致位移力可能导致申报产品的非预期运动，造成人体组织损伤。</w:t>
      </w:r>
    </w:p>
    <w:p w14:paraId="57DF1F36">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植入物产品，其所用材料，特别是磁性材料，对测试结果影响较大。在磁性材料含量相同的情况下，一般选取重量最小的器械作为最恶劣情况进行测试。磁致位移效应是磁场引力和重力的共同作用效果，磁性材料含量相同但是重量较小的植入物可能导致更大的位移效应。</w:t>
      </w:r>
    </w:p>
    <w:p w14:paraId="71B7AAC2">
      <w:pPr>
        <w:numPr>
          <w:ilvl w:val="1"/>
          <w:numId w:val="11"/>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w:t>
      </w:r>
      <w:r>
        <w:rPr>
          <w:rFonts w:eastAsia="仿宋_GB2312"/>
          <w:color w:val="000000" w:themeColor="text1"/>
          <w:kern w:val="0"/>
          <w:sz w:val="32"/>
          <w:szCs w:val="32"/>
        </w:rPr>
        <w:t>方法</w:t>
      </w:r>
    </w:p>
    <w:p w14:paraId="70D33D67">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若申报产品为小型医疗器械，可悬挂在绳上并通过相对于垂线方向的偏移量来测量磁致位移力，相关测试方法可以参考ASTM F2052。</w:t>
      </w:r>
    </w:p>
    <w:p w14:paraId="16B25B0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若申报产品尺寸较大，不适用悬绳法测试的情况，申请人需结合产品特性，另行制定测试方法，并说明其合理性。</w:t>
      </w:r>
    </w:p>
    <w:p w14:paraId="3BCA2C9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存在多种型号/配置，注册单元包含多种尺寸、体积的医疗器械，一般需考虑采用质量最大或磁性材料占总质量比例最大的产品配置，作为磁致位移力的最恶劣情况进行检测。若无法选取最恶劣情况，申请人需对所有产品配置进行检测。</w:t>
      </w:r>
    </w:p>
    <w:p w14:paraId="182EFBF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预期在MR扫描室内但在磁体腔外使用的医疗器械（例如：呼吸麻醉设备、高压注射器等），为避免发生抛射等不良事件，申请人需采取必要的产品设计措施（例如：永久固定医疗器械等），使其无法进入危险区域。</w:t>
      </w:r>
    </w:p>
    <w:p w14:paraId="3A00F06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若存在器械移动的可能，申请人需采取更多的安全措施，例如：采用永久固定安装；移动台车配备刹车和压力闸、安全绳；器械配置高斯计和场强超限警报装置。</w:t>
      </w:r>
    </w:p>
    <w:p w14:paraId="11FB2762">
      <w:pPr>
        <w:numPr>
          <w:ilvl w:val="1"/>
          <w:numId w:val="11"/>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kern w:val="0"/>
          <w:sz w:val="32"/>
          <w:szCs w:val="32"/>
        </w:rPr>
        <w:t>验收标准</w:t>
      </w:r>
    </w:p>
    <w:p w14:paraId="3DD96D1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申请人需说明磁致位移力的验收标准，并提供科学依据。一般使用小于或等于医疗器械重力的磁致位移力数值作为较为保守的验收标准。</w:t>
      </w:r>
    </w:p>
    <w:p w14:paraId="1BF8E66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固定于患者身体的植入式、部分植入式或接触式医疗器械，可接受较大的磁致位移力，取决于器械本身、器械附近组织特性、固定方法等因素。</w:t>
      </w:r>
    </w:p>
    <w:p w14:paraId="57B8935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固定于患者身体的佩戴式医疗器械，可接受较大的磁致位移力，取决于器械本身和固定方法。</w:t>
      </w:r>
      <w:bookmarkStart w:id="4" w:name="_Hlk25785173"/>
      <w:r>
        <w:rPr>
          <w:rFonts w:eastAsia="仿宋_GB2312"/>
          <w:color w:val="000000" w:themeColor="text1"/>
          <w:sz w:val="32"/>
          <w:szCs w:val="32"/>
        </w:rPr>
        <w:t>若申请人已采取防止器械出现抛射事件的风险缓解措施，且提供合理理由，则验收阈值也可大于器械重力。</w:t>
      </w:r>
      <w:bookmarkEnd w:id="4"/>
    </w:p>
    <w:p w14:paraId="34F2B5A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验收标准不限于重力的倍数关系，申请人需说明具体数值。例如：申请人宣称3.0T场强的验收标准为8倍重力，需提供科学依据，包括限值估算方法、参考文献等。</w:t>
      </w:r>
    </w:p>
    <w:p w14:paraId="06C21B46">
      <w:pPr>
        <w:numPr>
          <w:ilvl w:val="0"/>
          <w:numId w:val="11"/>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磁致扭矩</w:t>
      </w:r>
    </w:p>
    <w:p w14:paraId="37EA5DF0">
      <w:pPr>
        <w:numPr>
          <w:ilvl w:val="1"/>
          <w:numId w:val="12"/>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6061635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所有预期置于MR环境的医疗器械，均需考虑磁致扭矩的影响，并进行安全评价。</w:t>
      </w:r>
    </w:p>
    <w:p w14:paraId="4EFFA74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若申报产品采用磁性材料，将在静磁场中受力并产生扭矩效应。磁致扭矩可能导致医疗器械的非预期运动，造成人体组织损伤。</w:t>
      </w:r>
    </w:p>
    <w:p w14:paraId="1C0890B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例如：对于植入物产品，在磁性材料含量相同的情况下，一般选择重量最小的器械作为最恶劣情况进行测试，</w:t>
      </w:r>
      <w:r>
        <w:rPr>
          <w:rFonts w:eastAsia="仿宋_GB2312"/>
          <w:color w:val="000000" w:themeColor="text1"/>
          <w:kern w:val="0"/>
          <w:sz w:val="32"/>
          <w:szCs w:val="32"/>
        </w:rPr>
        <w:t>磁致扭矩</w:t>
      </w:r>
      <w:r>
        <w:rPr>
          <w:rFonts w:hint="eastAsia" w:eastAsia="仿宋_GB2312"/>
          <w:color w:val="000000" w:themeColor="text1"/>
          <w:kern w:val="0"/>
          <w:sz w:val="32"/>
          <w:szCs w:val="32"/>
          <w:lang w:val="en-US" w:eastAsia="zh-CN"/>
        </w:rPr>
        <w:t>效应</w:t>
      </w:r>
      <w:r>
        <w:rPr>
          <w:rFonts w:eastAsia="仿宋_GB2312"/>
          <w:color w:val="000000" w:themeColor="text1"/>
          <w:sz w:val="32"/>
          <w:szCs w:val="32"/>
        </w:rPr>
        <w:t>是磁场引力和重力的共同作用效果，磁性材料含量相同但是重量较小的植入物可能导致更大的扭矩效应。</w:t>
      </w:r>
    </w:p>
    <w:p w14:paraId="1B18C547">
      <w:pPr>
        <w:numPr>
          <w:ilvl w:val="1"/>
          <w:numId w:val="12"/>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55804826">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磁致扭矩的评价策略与磁致位移力类似。</w:t>
      </w:r>
    </w:p>
    <w:p w14:paraId="2A2EC67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针对预期进入磁体腔内的医疗器械，可参考ASTM F2213提供的磁致扭矩的测量方法。若申报产品包含多种尺寸，通常选取长轴最长的产品作为最恶劣测试情况进行磁致扭矩评价。</w:t>
      </w:r>
    </w:p>
    <w:p w14:paraId="1994ED38">
      <w:pPr>
        <w:numPr>
          <w:ilvl w:val="1"/>
          <w:numId w:val="12"/>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68C57FB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申请人应详述磁致扭矩的验收标准，提供科学理由。一般采用小于或等于器械本身重力产生的扭矩数值作为较为保守的验收标准。</w:t>
      </w:r>
    </w:p>
    <w:p w14:paraId="7C9C976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固定于患者身体的植入式、部分植入式或接触式医疗器械，可接受较大的磁致扭矩，取决于器械本身、附件组织特性、固定方法等因素。</w:t>
      </w:r>
    </w:p>
    <w:p w14:paraId="4AFE577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固定于患者体表的佩戴式医疗器械，可接受较大的磁致扭矩，取决于器械本身、固定方法。若申请人采取了防止器械出现在磁体腔内移动的措施，且提供合理理由，验收阈值可大于器械重力。</w:t>
      </w:r>
    </w:p>
    <w:p w14:paraId="4CE166C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验收标准不限于重力扭矩的倍数关系，申请人需说明具体数值。</w:t>
      </w:r>
    </w:p>
    <w:p w14:paraId="48B62AE4">
      <w:pPr>
        <w:numPr>
          <w:ilvl w:val="0"/>
          <w:numId w:val="12"/>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器械发热</w:t>
      </w:r>
    </w:p>
    <w:p w14:paraId="1FF4BE73">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MR环境的射频场和梯度场可引起医疗器械自身发热、附近组织发热等温升效应，例如：扫描过程中射频脉冲感应电流在患者体内产生射频致热，可能导致患者被烧伤。所有预期置于MR环境的医疗器械，特别是置于磁体腔内、或靠近磁体腔开口处，均需考虑器械发热的影响，并进行安全评价。</w:t>
      </w:r>
    </w:p>
    <w:p w14:paraId="2D9CFB1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关于器械发热的安全评价，测试方法和验收标准尚未完全明确，例如：接触患者体表但未植入、或部分植入的医疗器械的热效应评价。申请人需在科学分析的基础上，合理选取评价方法，制定验收标准。</w:t>
      </w:r>
    </w:p>
    <w:p w14:paraId="1BA7C326">
      <w:pPr>
        <w:numPr>
          <w:ilvl w:val="1"/>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射频场致热</w:t>
      </w:r>
    </w:p>
    <w:p w14:paraId="63587F6F">
      <w:pPr>
        <w:numPr>
          <w:ilvl w:val="2"/>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6378DA5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射频场诱导器械和人体组织发热是一个复杂过程，涉及多个变量相互作用，例如：射频线圈类型、射频发射模式、患者解剖结构、人体组织特性、患者体位、成像目标位置等。</w:t>
      </w:r>
    </w:p>
    <w:p w14:paraId="1EF21F4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例如：对于配套长电极导线的植入式心脏起搏器，其输入网络和连接头端设计可能对MR测试评价结果产生较大影响。单根电极导线的产品配置一般视为最恶劣情况。</w:t>
      </w:r>
    </w:p>
    <w:p w14:paraId="17A7697D">
      <w:pPr>
        <w:numPr>
          <w:ilvl w:val="2"/>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0E76DF9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射频致热需考虑器械自身特性、相对磁体中心点的位置，以及器械处于患者体内、体表的位置。射频致热需结合临床实际，选取最恶劣的致热情况进行评价。</w:t>
      </w:r>
    </w:p>
    <w:p w14:paraId="280FC893">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对于产品在体内、体表的不同位置，分析可能的最大温升位置，并进行全面测试。若申报产品存在多个配置，需针对所有产品配置的致热情况进行差异分析，并选取代表最恶劣情况的产品配置进</w:t>
      </w:r>
      <w:r>
        <w:rPr>
          <w:rFonts w:hint="eastAsia" w:eastAsia="仿宋_GB2312"/>
          <w:color w:val="000000" w:themeColor="text1"/>
          <w:sz w:val="32"/>
          <w:szCs w:val="32"/>
          <w:lang w:val="en-US" w:eastAsia="zh-CN"/>
        </w:rPr>
        <w:t>行</w:t>
      </w:r>
      <w:r>
        <w:rPr>
          <w:rFonts w:eastAsia="仿宋_GB2312"/>
          <w:color w:val="000000" w:themeColor="text1"/>
          <w:sz w:val="32"/>
          <w:szCs w:val="32"/>
        </w:rPr>
        <w:t>射频致热评价。例如：由于产品配置不同，在场强较高或较低的MR环境中，器械发热可能较大或较小。申请人开展的评价工作不应局限于型式检验或台架测试，一般需包含科学分析、实验测量、建模仿真（虚拟人体电磁模型）等，以及公开发表的科学文献证据等。</w:t>
      </w:r>
    </w:p>
    <w:p w14:paraId="20C8A12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关于全植入式无源医疗器械，ASTM F2182提供基于体模的射频致热测量方法。若申请人将上述方法拓展至其他类型器械，需提供充分的科学依据和理由。</w:t>
      </w:r>
    </w:p>
    <w:p w14:paraId="2BC8962C">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关于全植入式有源医疗器械，ISO/TS 10974提供射频致热的分层评估方法。对于部分植入、接触患者体表的医疗器械，尚缺乏评估射频致热的标准方法。</w:t>
      </w:r>
    </w:p>
    <w:p w14:paraId="645D0A75">
      <w:pPr>
        <w:numPr>
          <w:ilvl w:val="2"/>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bookmarkStart w:id="5" w:name="_Hlk25670431"/>
      <w:r>
        <w:rPr>
          <w:rFonts w:eastAsia="仿宋_GB2312"/>
          <w:color w:val="000000" w:themeColor="text1"/>
          <w:sz w:val="32"/>
          <w:szCs w:val="32"/>
        </w:rPr>
        <w:t>验收标准</w:t>
      </w:r>
      <w:bookmarkEnd w:id="5"/>
    </w:p>
    <w:p w14:paraId="3B415EF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提供确定器械发热的验收标准。通常采用温度/时间剂量作为验收指标，需结合申报产品在患者体内、体表的具体位置，基于科学原理、权威文献资料等，合理设定验收阈值。若温升小于或等于2℃，多数情况下无需提供进一步的依据。</w:t>
      </w:r>
    </w:p>
    <w:p w14:paraId="3C44710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射频致热量值取决于器械特性、MR设备特征、预置扫描条件等。若采用建模仿真方法评价最恶劣情况的射频致热，需将申报产品置于局部特异吸收率（SAR）的最恶劣区域。试验中需定量局部SAR值，并与MR扫描中可能出现的患者最大局部SAR值进行比较。</w:t>
      </w:r>
    </w:p>
    <w:p w14:paraId="461D5FB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计算机模型关于植入物解剖位置的初步仿真结果，通常不能准确预测患者真实射频致热情况，仿真结果一般需采用标准测量方法进行验证，提供详细的不确定性分析。SAR值的准确性是判别最恶劣致热情况的关键因素，一般需通过测量进行确定，并注意避免使用临床MR设备的显示数值。</w:t>
      </w:r>
    </w:p>
    <w:p w14:paraId="788A2202">
      <w:pPr>
        <w:numPr>
          <w:ilvl w:val="1"/>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梯度场致热</w:t>
      </w:r>
    </w:p>
    <w:p w14:paraId="2553BBEB">
      <w:pPr>
        <w:numPr>
          <w:ilvl w:val="2"/>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3358726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成像过程中，梯度场的快速切变在器械金属部件的导电表面，以及磁共振环境中的导电环路中产生涡流。成像序列的梯度波形脉冲导致的功率沉积，主要取决于导体的表面积和厚度、梯度切换率、电导率、导电环路相对磁场的方向。</w:t>
      </w:r>
    </w:p>
    <w:p w14:paraId="2E0A711B">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例如：植入物的金属外壳将对梯度场致热产生较大影响。</w:t>
      </w:r>
    </w:p>
    <w:p w14:paraId="634456C4">
      <w:pPr>
        <w:pStyle w:val="28"/>
        <w:numPr>
          <w:ilvl w:val="0"/>
          <w:numId w:val="14"/>
        </w:numPr>
        <w:snapToGrid w:val="0"/>
        <w:spacing w:line="520" w:lineRule="exact"/>
        <w:ind w:left="0" w:firstLine="640"/>
        <w:rPr>
          <w:rFonts w:eastAsia="仿宋_GB2312"/>
          <w:color w:val="000000" w:themeColor="text1"/>
          <w:sz w:val="32"/>
          <w:szCs w:val="32"/>
        </w:rPr>
      </w:pPr>
      <w:r>
        <w:rPr>
          <w:rFonts w:eastAsia="仿宋_GB2312"/>
          <w:color w:val="000000" w:themeColor="text1"/>
          <w:sz w:val="32"/>
          <w:szCs w:val="32"/>
        </w:rPr>
        <w:t>若不同植入物的金属外壳表面积相同，在相同测试条件下，一般具有相似的梯度场致热的测试结果。</w:t>
      </w:r>
    </w:p>
    <w:p w14:paraId="7F815D96">
      <w:pPr>
        <w:pStyle w:val="28"/>
        <w:numPr>
          <w:ilvl w:val="0"/>
          <w:numId w:val="14"/>
        </w:numPr>
        <w:snapToGrid w:val="0"/>
        <w:spacing w:line="520" w:lineRule="exact"/>
        <w:ind w:left="0" w:firstLine="640"/>
        <w:rPr>
          <w:rFonts w:eastAsia="仿宋_GB2312"/>
          <w:color w:val="000000" w:themeColor="text1"/>
          <w:sz w:val="32"/>
          <w:szCs w:val="32"/>
        </w:rPr>
      </w:pPr>
      <w:r>
        <w:rPr>
          <w:rFonts w:eastAsia="仿宋_GB2312"/>
          <w:color w:val="000000" w:themeColor="text1"/>
          <w:sz w:val="32"/>
          <w:szCs w:val="32"/>
        </w:rPr>
        <w:t>若不同植入物的金属外壳表面积相同，但是外壳厚度不同，较厚的外壳尺寸一般产生较大的涡流，导致较大的功率沉积，从而温升情况更恶劣。</w:t>
      </w:r>
    </w:p>
    <w:p w14:paraId="23BBCFFA">
      <w:pPr>
        <w:numPr>
          <w:ilvl w:val="2"/>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61FE04F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ISO/TS 10974包含评估有源植入物的梯度场致热的测试方法。</w:t>
      </w:r>
    </w:p>
    <w:p w14:paraId="0796654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无源医疗器械、非植入医疗器械等其他类型器械的梯度场致热，目前缺少标准试验方法，申请人可参考ISO/TS 10974，依据产品特性，制定合理的试验方法。</w:t>
      </w:r>
    </w:p>
    <w:p w14:paraId="5F5A23DD">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梯度场在磁体腔外快速衰减，梯度场致热一般不会对磁体腔外的医疗器械造成较大危害。</w:t>
      </w:r>
    </w:p>
    <w:p w14:paraId="199780C8">
      <w:pPr>
        <w:numPr>
          <w:ilvl w:val="2"/>
          <w:numId w:val="13"/>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7260640C">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梯度场致热的验收标准和相关考量类似于射频致热。</w:t>
      </w:r>
    </w:p>
    <w:p w14:paraId="35EB2E09">
      <w:pPr>
        <w:numPr>
          <w:ilvl w:val="0"/>
          <w:numId w:val="13"/>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梯度场感应振动</w:t>
      </w:r>
    </w:p>
    <w:p w14:paraId="17C099C6">
      <w:pPr>
        <w:numPr>
          <w:ilvl w:val="1"/>
          <w:numId w:val="15"/>
        </w:numPr>
        <w:overflowPunct w:val="0"/>
        <w:autoSpaceDE w:val="0"/>
        <w:autoSpaceDN w:val="0"/>
        <w:snapToGrid w:val="0"/>
        <w:spacing w:line="520" w:lineRule="exact"/>
        <w:ind w:firstLine="640" w:firstLineChars="200"/>
        <w:jc w:val="left"/>
        <w:outlineLvl w:val="3"/>
        <w:rPr>
          <w:rFonts w:eastAsia="仿宋_GB2312"/>
          <w:color w:val="000000" w:themeColor="text1"/>
          <w:kern w:val="0"/>
          <w:sz w:val="32"/>
          <w:szCs w:val="32"/>
        </w:rPr>
      </w:pPr>
      <w:r>
        <w:rPr>
          <w:rFonts w:eastAsia="仿宋_GB2312"/>
          <w:color w:val="000000" w:themeColor="text1"/>
          <w:sz w:val="32"/>
          <w:szCs w:val="32"/>
        </w:rPr>
        <w:t>危害分析</w:t>
      </w:r>
    </w:p>
    <w:p w14:paraId="00D4657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磁共振成像过程中，梯度场快速切变，对器械金属材料/部件产生交变作用力，导致器械产生振动。梯度场导致的器械振动，可能诱发器械故障，或组织损伤。</w:t>
      </w:r>
    </w:p>
    <w:p w14:paraId="7DF3249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植入式有源医疗器械、全金属材料的植入式器械均需考虑上述风险，特别是含有磁性金属的器械。对于无源医疗器械，若器械表面平滑且面积较小，梯度场感应振动一般不会导致组织损伤或器械故障。</w:t>
      </w:r>
    </w:p>
    <w:p w14:paraId="356DECA6">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例如：对于植入物而言，</w:t>
      </w:r>
    </w:p>
    <w:p w14:paraId="3007B36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（1）器械故障。对于相同体积、重量的植入物，产品材料中的金属含量对梯度振动效应的影响最大。在相同的加速度下，较大的金属含量（重量较大）导致作用在植入物上的力更大，因此视为更恶劣的情况。</w:t>
      </w:r>
    </w:p>
    <w:p w14:paraId="1BB91B6B">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一般植入式电极导线的金属表面积较小，从而涡流导致的梯度振动效应也较弱。</w:t>
      </w:r>
    </w:p>
    <w:p w14:paraId="210D475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（2）组织损伤。梯度场感应振动受到植入物外壳的尺寸和形状的影响，一般需选取测试单元中重量最小的植入物作为最恶劣情况进行测试。</w:t>
      </w:r>
      <w:r>
        <w:rPr>
          <w:rFonts w:hint="eastAsia" w:eastAsia="仿宋_GB2312"/>
          <w:color w:val="000000" w:themeColor="text1"/>
          <w:sz w:val="32"/>
          <w:szCs w:val="32"/>
          <w:lang w:val="en-US" w:eastAsia="zh-CN"/>
        </w:rPr>
        <w:t>评估</w:t>
      </w:r>
      <w:r>
        <w:rPr>
          <w:rFonts w:eastAsia="仿宋_GB2312"/>
          <w:color w:val="000000" w:themeColor="text1"/>
          <w:sz w:val="32"/>
          <w:szCs w:val="32"/>
        </w:rPr>
        <w:t>振动效应需</w:t>
      </w:r>
      <w:r>
        <w:rPr>
          <w:rFonts w:hint="eastAsia" w:eastAsia="仿宋_GB2312"/>
          <w:color w:val="000000" w:themeColor="text1"/>
          <w:sz w:val="32"/>
          <w:szCs w:val="32"/>
          <w:lang w:val="en-US" w:eastAsia="zh-CN"/>
        </w:rPr>
        <w:t>考量</w:t>
      </w:r>
      <w:r>
        <w:rPr>
          <w:rFonts w:eastAsia="仿宋_GB2312"/>
          <w:color w:val="000000" w:themeColor="text1"/>
          <w:sz w:val="32"/>
          <w:szCs w:val="32"/>
        </w:rPr>
        <w:t>器械重量的影响，相对而言，重量越小的器械的振动幅度越大。</w:t>
      </w:r>
    </w:p>
    <w:p w14:paraId="7F9D4CB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预期处于磁体腔内、或靠近磁体腔开口处的非植入器械需考虑梯度场感应振动的相关风险，特别是含有磁性材料的器械。若器械距离磁体相对较远，梯度场感应振动通常不会引起器械故障。</w:t>
      </w:r>
    </w:p>
    <w:p w14:paraId="37292880">
      <w:pPr>
        <w:numPr>
          <w:ilvl w:val="1"/>
          <w:numId w:val="15"/>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28C6CF6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申请人需分别提供不同典型场强、典型磁体类型的MR环境的梯度场特征分析，说明测试选取的梯度场指标的典型性。ISO/TS 10974包含植入式有源医疗器械的梯度场感应振动的测试方法。此外，需考虑MR设备的磁体孔径，例如：现有测试结果能否涵盖临床70cm孔径磁体情况。</w:t>
      </w:r>
    </w:p>
    <w:p w14:paraId="39391051">
      <w:pPr>
        <w:numPr>
          <w:ilvl w:val="1"/>
          <w:numId w:val="15"/>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349C2A8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申请人需依据产品特性，结合产品置于MR环境中的位置，以及在患者体内、体表的位置，合理确定验收标准。</w:t>
      </w:r>
    </w:p>
    <w:p w14:paraId="576AA535">
      <w:pPr>
        <w:numPr>
          <w:ilvl w:val="0"/>
          <w:numId w:val="15"/>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梯度场感应电压</w:t>
      </w:r>
    </w:p>
    <w:p w14:paraId="700EB8AA">
      <w:pPr>
        <w:numPr>
          <w:ilvl w:val="1"/>
          <w:numId w:val="16"/>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1F34F32B">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成像过程中，由于梯度场的快速切换，器械金属外壳、导电材料环路可能产生涡流，诱发器械温升和器械故障。例如：在电极导线的电极位置产生感应电势（包括单导线电极、多导线电极、金属外壳之间）。</w:t>
      </w:r>
    </w:p>
    <w:p w14:paraId="67E23FF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梯度场感应电压可能导致产生刺激电流，引入非预期刺激、器械故障等危害。全植入式和部分植入式有源医疗器械需重点关注上述风险，特别是高场MR环境，以及器械接触神经、肌肉组织的情况。</w:t>
      </w:r>
    </w:p>
    <w:p w14:paraId="7B5143F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同一注册单元的植入物一般具有相同或相似的硬件结构，典型规格/型号产品的测试结果可能具有覆盖性。此外，申请人需重点考虑输入保护电路（EMI电容器和保护二极管）等硬件结构，若所有型号产品基本相同，一般可选取典型型号进行测试和评价。</w:t>
      </w:r>
    </w:p>
    <w:p w14:paraId="0EB7127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电极导线本身的梯度场感应电压较小，但是对有源植入物系统整体进行评价时，必须考虑电极导线的影响因素。不同长度的导线，可能引入不同的测试系数加权。</w:t>
      </w:r>
    </w:p>
    <w:p w14:paraId="3286DEAC">
      <w:pPr>
        <w:numPr>
          <w:ilvl w:val="1"/>
          <w:numId w:val="16"/>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4562815D">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申请人需分别提供不同典型场强、典型磁体类型的MR环境的梯度场特征分析，说明测试选取的梯度指标的典型性。ISO/TS 10974包含植入式有源医疗器械的梯度场感应电压的测试方法，用于测量梯度脉冲导致的非预期的电荷量和电流值。</w:t>
      </w:r>
    </w:p>
    <w:p w14:paraId="11ED1756">
      <w:pPr>
        <w:numPr>
          <w:ilvl w:val="1"/>
          <w:numId w:val="16"/>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0346AA3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申请人需依据产品特性，结合MR场强和申报产品置于MR环境中的位置，以及在患者体内、体表的位置，基于科学原理、权威文献资料等，合理确定验收标准。</w:t>
      </w:r>
    </w:p>
    <w:p w14:paraId="1795F5BA">
      <w:pPr>
        <w:numPr>
          <w:ilvl w:val="0"/>
          <w:numId w:val="16"/>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射频场整流电压</w:t>
      </w:r>
    </w:p>
    <w:p w14:paraId="24D26405">
      <w:pPr>
        <w:numPr>
          <w:ilvl w:val="1"/>
          <w:numId w:val="17"/>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5C2CE32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磁共振成像过程中，射频脉冲可能在器械导体上产生缓慢波动的电压，称为射频整流效应。器械电极头端的整流电压可能导致非预期刺激，造成患者损伤、器械故障等危害。</w:t>
      </w:r>
    </w:p>
    <w:p w14:paraId="158B9BB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关于有源植入式医疗器械、接触神经和肌肉组织的部分植入式医疗器械（例如：延伸导线头端接触）、非植入式有源医疗器械，需重点关注上述风险。</w:t>
      </w:r>
    </w:p>
    <w:p w14:paraId="6E736A1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例如：对于有源植入物，连接头端设计和输入网络是测试中的主要影响因素。若同一注册单元中的所有产品型号均具有相同的硬件结构，可以选取典型性型号进行测试。</w:t>
      </w:r>
    </w:p>
    <w:p w14:paraId="0ADA302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对于不直接或间接接触人体的医疗器械，一般不需要考虑射频场整流电压的影响。</w:t>
      </w:r>
    </w:p>
    <w:p w14:paraId="48E1230E">
      <w:pPr>
        <w:numPr>
          <w:ilvl w:val="1"/>
          <w:numId w:val="17"/>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0ED0537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ISO/TS 10974包含评估有源植入物的射频场整流电压的测试方法。</w:t>
      </w:r>
    </w:p>
    <w:p w14:paraId="6590661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部分植入式医疗器械等其他类型器械的射频场整流电压，目前缺少标准试验方法，申请人可参考ISO/TS 10974，依据产品特性，制定合理的试验方法。</w:t>
      </w:r>
    </w:p>
    <w:p w14:paraId="03351CAB">
      <w:pPr>
        <w:numPr>
          <w:ilvl w:val="1"/>
          <w:numId w:val="17"/>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5BBB6B26">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申请人需依据产品特性，结合器械在患者体内、体表的位置，基于科学原理、权威文献资料等，合理确定验收标准。</w:t>
      </w:r>
    </w:p>
    <w:p w14:paraId="611ED044">
      <w:pPr>
        <w:numPr>
          <w:ilvl w:val="0"/>
          <w:numId w:val="17"/>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器械故障</w:t>
      </w:r>
    </w:p>
    <w:p w14:paraId="002DE467">
      <w:pPr>
        <w:numPr>
          <w:ilvl w:val="1"/>
          <w:numId w:val="18"/>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1789A3B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依靠电能的有源医疗器械，以及具有磁性部件、磁控或热控部件的无源医疗器械，置于MR环境中可能导致器械故障。此类故障可能是仅存在于MR环境中的暂时故障，也可能是永久性故障。</w:t>
      </w:r>
    </w:p>
    <w:p w14:paraId="2651A742">
      <w:pPr>
        <w:numPr>
          <w:ilvl w:val="1"/>
          <w:numId w:val="18"/>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5F9E59C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关于有源医疗器械，申请人需证明静磁场、梯度场和射频场不会影响产品性能，广义上属于MR环境中电磁兼容性（EMC）/电磁干扰（EMI）抗扰度的范畴。</w:t>
      </w:r>
    </w:p>
    <w:p w14:paraId="2CE1B88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关于有源植入物，ISO/TS 10974包含评估器械故障的标准测试方法，包括：静磁场、射频场、梯度场、复合场。</w:t>
      </w:r>
    </w:p>
    <w:p w14:paraId="257F946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关于磁共振环境中近场使用的医疗设备，目前缺少明确的国际标准定义射频场强的抗扰度水平或射频场发射强度，申请人需按预期适用的MR环境特征，合理制定检验标准。</w:t>
      </w:r>
    </w:p>
    <w:p w14:paraId="53B87ECD">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ISO/TS 10974提供的测试方法中，采用模拟MR设备和真实MR设备，针对不同类型的场进行专项测试。</w:t>
      </w:r>
    </w:p>
    <w:p w14:paraId="73AC544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临床MR检查过程中，器械同时受到静磁场、射频场、梯度场的共同作用，需采用符合临床实际的典型MR成像协议进行复合场测试。复合场测试需采用已经确认合格的医疗器械。在扫描过程中，申请人需持续监测器械故障情况，并在扫描结束后立即进行检测。复合场测试的目的是通过模拟临床MR检查来验证申报产品的安全性和有效性。考虑到医疗器械可能发生暂时性或永久性故障，申请人需合理安排复合场测试与其他测试项目的时间顺序，并说明科学理由。</w:t>
      </w:r>
    </w:p>
    <w:p w14:paraId="2E59C06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非植入式有源医疗器械，或预期在MR环境中带电运行的非植入医疗器械，需证明MR设备不会影响或降低置于预期使用位置的器械性能。例如：预期用于MR环境中的患者监护仪，产品说明书规定了该产品应置于200 gauss范围外使用，则需提供充分资料，以证明在预期使用位置该产品能够满足要求。</w:t>
      </w:r>
    </w:p>
    <w:p w14:paraId="53D4B4C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无源医疗器械一般不需考虑MR环境导致的器械故障，但也可能存在例外情况，例如：体温触发的无源药物输注泵，以及含有电感线圈或磁控开关等易感元件的医疗器械。</w:t>
      </w:r>
    </w:p>
    <w:p w14:paraId="16764E47">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对于复合场测试，需分析适用的典型MR设备类型，明确测试用MR设备的具体型号，包括不同的磁场强度、制造商等。</w:t>
      </w:r>
    </w:p>
    <w:p w14:paraId="3F2C20EB">
      <w:pPr>
        <w:numPr>
          <w:ilvl w:val="1"/>
          <w:numId w:val="18"/>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3D7DE00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验收标准需考量MR环境下医疗器械的安全性和有效性，依据产品预期用途和风险受益分析进行确定。申请人需评估申报产品是否导致MR设备产生不可接受的不良影响。例如：通过对比MR环境中放置申报产品之前、移除之后的图像质量，参考YY/T 1933等相关行业标准的试验方法，进行定性和定量评价。</w:t>
      </w:r>
    </w:p>
    <w:p w14:paraId="113210BC">
      <w:pPr>
        <w:numPr>
          <w:ilvl w:val="0"/>
          <w:numId w:val="18"/>
        </w:numPr>
        <w:overflowPunct w:val="0"/>
        <w:autoSpaceDE w:val="0"/>
        <w:autoSpaceDN w:val="0"/>
        <w:snapToGrid w:val="0"/>
        <w:spacing w:line="520" w:lineRule="exact"/>
        <w:ind w:firstLine="640" w:firstLineChars="200"/>
        <w:jc w:val="left"/>
        <w:outlineLvl w:val="2"/>
        <w:rPr>
          <w:rFonts w:eastAsia="仿宋_GB2312"/>
          <w:color w:val="000000" w:themeColor="text1"/>
          <w:kern w:val="0"/>
          <w:sz w:val="32"/>
          <w:szCs w:val="32"/>
        </w:rPr>
      </w:pPr>
      <w:r>
        <w:rPr>
          <w:rFonts w:eastAsia="仿宋_GB2312"/>
          <w:color w:val="000000" w:themeColor="text1"/>
          <w:kern w:val="0"/>
          <w:sz w:val="32"/>
          <w:szCs w:val="32"/>
        </w:rPr>
        <w:t>图像质量</w:t>
      </w:r>
    </w:p>
    <w:p w14:paraId="1305B58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申报产品一般应尽量避免或减小对磁共振设备图像质量的不良影响。图像质量需参考适用的磁共振成像设备的正常性能指标进行考量。</w:t>
      </w:r>
    </w:p>
    <w:p w14:paraId="2FBB635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例如：参考引用磁共振成像设备的产品技术要求的条款，图像质量指标包括但不限于均匀性、信噪比、对比度、失真等。</w:t>
      </w:r>
    </w:p>
    <w:p w14:paraId="3A875F1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例如：对于植入式医疗器械，需提供推荐的MR扫描方案，以尽量减小图像伪影和失真的不良影响。</w:t>
      </w:r>
    </w:p>
    <w:p w14:paraId="6B0C8903">
      <w:pPr>
        <w:numPr>
          <w:ilvl w:val="1"/>
          <w:numId w:val="19"/>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危害分析</w:t>
      </w:r>
    </w:p>
    <w:p w14:paraId="0B0D852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预期置于MR环境的所有医疗器械均应讨论该危害。</w:t>
      </w:r>
    </w:p>
    <w:p w14:paraId="18F13A6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成像过程中，金属植入物或其他器械可能会导致图像出现磁化伪影。有源医疗器械不但可能导致图像出现伪影，还可能造成图像信号缺失。相关图像伪影和失真可能导致图像失去诊断价值，引起误诊等危害。</w:t>
      </w:r>
    </w:p>
    <w:p w14:paraId="6DC639E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若MR环境中存在非植入式医疗器械，同样可能会导致MR设备采集的图像质量下降，损害MR图像诊断价值。</w:t>
      </w:r>
    </w:p>
    <w:p w14:paraId="55B24492">
      <w:pPr>
        <w:numPr>
          <w:ilvl w:val="1"/>
          <w:numId w:val="19"/>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评价方法</w:t>
      </w:r>
    </w:p>
    <w:p w14:paraId="5985E6D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若申报产品具有多种配置，需考虑临床MR环境中可能使用的所有产品配置进行评价，并选取最恶劣情况进行图像质量评价。</w:t>
      </w:r>
    </w:p>
    <w:p w14:paraId="5402757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ASTM F2119包含评估图像磁化伪影的标准测试方法。该标准面向无源植入式医疗器械，相关试验方法也可用于预期置于磁体腔内的有源植入物、部分植入式医疗器械等。</w:t>
      </w:r>
    </w:p>
    <w:p w14:paraId="3B52C7B6">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例如：对于植入式医疗器械，选取尺寸维度最大或磁性材料占比最高的产品，一般可视为最恶劣情况进行图像伪影评价。</w:t>
      </w:r>
    </w:p>
    <w:p w14:paraId="412172F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例如：需考虑结合有源产品的特殊运行模式，包括打开或关闭刺激器输出等，全面评价图像质量。</w:t>
      </w:r>
    </w:p>
    <w:p w14:paraId="64EB7D8A">
      <w:pPr>
        <w:numPr>
          <w:ilvl w:val="1"/>
          <w:numId w:val="19"/>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sz w:val="32"/>
          <w:szCs w:val="32"/>
        </w:rPr>
        <w:t>验收标准</w:t>
      </w:r>
    </w:p>
    <w:p w14:paraId="10EC45D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图像质量评价应按MR设备的要求和相关标准执行。若申请人宣称采集的MR图像满足临床诊断要求，需提交充分的证明资料。</w:t>
      </w:r>
    </w:p>
    <w:p w14:paraId="65B4C4D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图像伪影目前尚无强制性的定量验收标准，但是在患者MR检查时提供必要的图像伪影信息，有利于患者是否接受MR检查的受益/风险决策。若某些植入式医疗器械需要开展MR检查形式的随访，则可能需要更为详细的图像伪影信息。若宣称在规定距离范围内采集的MR图像能够满足临床诊断要求，需提交充分的证明资料。</w:t>
      </w:r>
    </w:p>
    <w:p w14:paraId="280ADCF3">
      <w:pPr>
        <w:numPr>
          <w:ilvl w:val="0"/>
          <w:numId w:val="18"/>
        </w:numPr>
        <w:overflowPunct w:val="0"/>
        <w:autoSpaceDE w:val="0"/>
        <w:autoSpaceDN w:val="0"/>
        <w:snapToGrid w:val="0"/>
        <w:spacing w:line="520" w:lineRule="exact"/>
        <w:ind w:firstLine="640" w:firstLineChars="200"/>
        <w:jc w:val="left"/>
        <w:outlineLvl w:val="2"/>
        <w:rPr>
          <w:rFonts w:eastAsia="仿宋_GB2312"/>
          <w:color w:val="000000" w:themeColor="text1"/>
          <w:sz w:val="32"/>
          <w:szCs w:val="32"/>
        </w:rPr>
      </w:pPr>
      <w:r>
        <w:rPr>
          <w:rFonts w:eastAsia="仿宋_GB2312"/>
          <w:color w:val="000000" w:themeColor="text1"/>
          <w:sz w:val="32"/>
          <w:szCs w:val="32"/>
        </w:rPr>
        <w:t>关于</w:t>
      </w:r>
      <w:r>
        <w:rPr>
          <w:rFonts w:eastAsia="仿宋_GB2312"/>
          <w:color w:val="000000" w:themeColor="text1"/>
          <w:kern w:val="0"/>
          <w:sz w:val="32"/>
          <w:szCs w:val="32"/>
        </w:rPr>
        <w:t>验收标准</w:t>
      </w:r>
      <w:r>
        <w:rPr>
          <w:rFonts w:eastAsia="仿宋_GB2312"/>
          <w:color w:val="000000" w:themeColor="text1"/>
          <w:sz w:val="32"/>
          <w:szCs w:val="32"/>
        </w:rPr>
        <w:t>的</w:t>
      </w:r>
      <w:bookmarkStart w:id="6" w:name="_bookmark0"/>
      <w:bookmarkEnd w:id="6"/>
      <w:r>
        <w:rPr>
          <w:rFonts w:eastAsia="仿宋_GB2312"/>
          <w:color w:val="000000" w:themeColor="text1"/>
          <w:sz w:val="32"/>
          <w:szCs w:val="32"/>
        </w:rPr>
        <w:t>示例</w:t>
      </w:r>
    </w:p>
    <w:p w14:paraId="5E7ABAE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关于MR条件安全的植入式神经刺激器，YY/T 0989.3给出在充电条件下和MR环境中器械发热的验收标准。</w:t>
      </w:r>
    </w:p>
    <w:p w14:paraId="3AC8500C">
      <w:pPr>
        <w:numPr>
          <w:ilvl w:val="1"/>
          <w:numId w:val="20"/>
        </w:numPr>
        <w:overflowPunct w:val="0"/>
        <w:autoSpaceDE w:val="0"/>
        <w:autoSpaceDN w:val="0"/>
        <w:snapToGrid w:val="0"/>
        <w:spacing w:line="520" w:lineRule="exact"/>
        <w:ind w:firstLine="640" w:firstLineChars="200"/>
        <w:jc w:val="left"/>
        <w:outlineLvl w:val="3"/>
        <w:rPr>
          <w:rFonts w:eastAsia="仿宋_GB2312"/>
          <w:color w:val="000000" w:themeColor="text1"/>
          <w:sz w:val="32"/>
          <w:szCs w:val="32"/>
        </w:rPr>
      </w:pPr>
      <w:r>
        <w:rPr>
          <w:rFonts w:eastAsia="仿宋_GB2312"/>
          <w:color w:val="000000" w:themeColor="text1"/>
          <w:kern w:val="0"/>
          <w:sz w:val="32"/>
          <w:szCs w:val="32"/>
        </w:rPr>
        <w:t>危害分析</w:t>
      </w:r>
    </w:p>
    <w:p w14:paraId="41F41A97">
      <w:pPr>
        <w:snapToGrid w:val="0"/>
        <w:spacing w:line="520" w:lineRule="exact"/>
        <w:ind w:firstLine="640" w:firstLineChars="200"/>
        <w:rPr>
          <w:rFonts w:eastAsia="仿宋_GB2312"/>
          <w:color w:val="000000" w:themeColor="text1"/>
          <w:kern w:val="0"/>
          <w:sz w:val="32"/>
          <w:szCs w:val="32"/>
        </w:rPr>
      </w:pPr>
      <w:r>
        <w:rPr>
          <w:rFonts w:eastAsia="仿宋_GB2312"/>
          <w:color w:val="000000" w:themeColor="text1"/>
          <w:kern w:val="0"/>
          <w:sz w:val="32"/>
          <w:szCs w:val="32"/>
        </w:rPr>
        <w:t>MR条件安全的植入式神经刺激器的植入部件、非植入的配件和附件的设计和构造，应确保产品置于MR环境中不会对设备造成不可逆损害，不会给患者带来不可接受的风险。</w:t>
      </w:r>
    </w:p>
    <w:p w14:paraId="362BAE8A">
      <w:pPr>
        <w:numPr>
          <w:ilvl w:val="1"/>
          <w:numId w:val="20"/>
        </w:numPr>
        <w:overflowPunct w:val="0"/>
        <w:autoSpaceDE w:val="0"/>
        <w:autoSpaceDN w:val="0"/>
        <w:snapToGrid w:val="0"/>
        <w:spacing w:line="520" w:lineRule="exact"/>
        <w:ind w:firstLine="640" w:firstLineChars="200"/>
        <w:jc w:val="left"/>
        <w:outlineLvl w:val="3"/>
        <w:rPr>
          <w:rFonts w:eastAsia="仿宋_GB2312"/>
          <w:color w:val="000000" w:themeColor="text1"/>
          <w:kern w:val="0"/>
          <w:sz w:val="32"/>
          <w:szCs w:val="32"/>
        </w:rPr>
      </w:pPr>
      <w:r>
        <w:rPr>
          <w:rFonts w:eastAsia="仿宋_GB2312"/>
          <w:color w:val="000000" w:themeColor="text1"/>
          <w:kern w:val="0"/>
          <w:sz w:val="32"/>
          <w:szCs w:val="32"/>
        </w:rPr>
        <w:t>评价方法</w:t>
      </w:r>
    </w:p>
    <w:p w14:paraId="669D1FD3">
      <w:pPr>
        <w:snapToGrid w:val="0"/>
        <w:spacing w:line="520" w:lineRule="exact"/>
        <w:ind w:firstLine="640" w:firstLineChars="200"/>
        <w:rPr>
          <w:rFonts w:eastAsia="仿宋_GB2312"/>
          <w:color w:val="000000" w:themeColor="text1"/>
          <w:kern w:val="0"/>
          <w:sz w:val="32"/>
          <w:szCs w:val="32"/>
        </w:rPr>
      </w:pPr>
      <w:r>
        <w:rPr>
          <w:rFonts w:eastAsia="仿宋_GB2312"/>
          <w:color w:val="000000" w:themeColor="text1"/>
          <w:kern w:val="0"/>
          <w:sz w:val="32"/>
          <w:szCs w:val="32"/>
        </w:rPr>
        <w:t>患者接受1.5T、水平放置的圆筒型磁体、全身MR设备进行检查时，关于神经刺激器的</w:t>
      </w:r>
      <w:r>
        <w:rPr>
          <w:rFonts w:eastAsia="仿宋_GB2312"/>
          <w:color w:val="000000" w:themeColor="text1"/>
          <w:sz w:val="32"/>
          <w:szCs w:val="32"/>
        </w:rPr>
        <w:t>植入</w:t>
      </w:r>
      <w:r>
        <w:rPr>
          <w:rFonts w:eastAsia="仿宋_GB2312"/>
          <w:color w:val="000000" w:themeColor="text1"/>
          <w:kern w:val="0"/>
          <w:sz w:val="32"/>
          <w:szCs w:val="32"/>
        </w:rPr>
        <w:t>部分，可采用ISO/TS 10974进行评价相关风险。关于非植入式配件和附件，或植入式部件替代品的MR环境安全评价，ISO/TS 10974可能不适用，需采用实质等同的方法证明其安全性，并提供充分的科学理由。其他MR环境条件（扫描设备类型、场强等），需同上考量。</w:t>
      </w:r>
    </w:p>
    <w:p w14:paraId="1714A7C9">
      <w:pPr>
        <w:numPr>
          <w:ilvl w:val="1"/>
          <w:numId w:val="20"/>
        </w:numPr>
        <w:overflowPunct w:val="0"/>
        <w:autoSpaceDE w:val="0"/>
        <w:autoSpaceDN w:val="0"/>
        <w:snapToGrid w:val="0"/>
        <w:spacing w:line="520" w:lineRule="exact"/>
        <w:ind w:firstLine="640" w:firstLineChars="200"/>
        <w:jc w:val="left"/>
        <w:outlineLvl w:val="3"/>
        <w:rPr>
          <w:rFonts w:eastAsia="仿宋_GB2312"/>
          <w:color w:val="000000" w:themeColor="text1"/>
          <w:kern w:val="0"/>
          <w:sz w:val="32"/>
          <w:szCs w:val="32"/>
        </w:rPr>
      </w:pPr>
      <w:r>
        <w:rPr>
          <w:rFonts w:eastAsia="仿宋_GB2312"/>
          <w:color w:val="000000" w:themeColor="text1"/>
          <w:kern w:val="0"/>
          <w:sz w:val="32"/>
          <w:szCs w:val="32"/>
        </w:rPr>
        <w:t>验收标准</w:t>
      </w:r>
    </w:p>
    <w:p w14:paraId="2EB45CC6">
      <w:pPr>
        <w:snapToGrid w:val="0"/>
        <w:spacing w:line="520" w:lineRule="exact"/>
        <w:ind w:firstLine="640" w:firstLineChars="200"/>
        <w:rPr>
          <w:rFonts w:eastAsia="仿宋_GB2312"/>
          <w:color w:val="000000" w:themeColor="text1"/>
          <w:kern w:val="0"/>
          <w:sz w:val="32"/>
          <w:szCs w:val="32"/>
        </w:rPr>
      </w:pPr>
      <w:r>
        <w:rPr>
          <w:rFonts w:eastAsia="仿宋_GB2312"/>
          <w:color w:val="000000" w:themeColor="text1"/>
          <w:kern w:val="0"/>
          <w:sz w:val="32"/>
          <w:szCs w:val="32"/>
        </w:rPr>
        <w:t>申请人需按产品特性，进行统计学分析，开展多次测试评价，且每次测试的结果均不应给</w:t>
      </w:r>
      <w:r>
        <w:rPr>
          <w:rFonts w:eastAsia="仿宋_GB2312"/>
          <w:color w:val="000000" w:themeColor="text1"/>
          <w:sz w:val="32"/>
          <w:szCs w:val="32"/>
        </w:rPr>
        <w:t>患者</w:t>
      </w:r>
      <w:r>
        <w:rPr>
          <w:rFonts w:eastAsia="仿宋_GB2312"/>
          <w:color w:val="000000" w:themeColor="text1"/>
          <w:kern w:val="0"/>
          <w:sz w:val="32"/>
          <w:szCs w:val="32"/>
        </w:rPr>
        <w:t>带来不可接受的风险，相关验收标准参见下表。</w:t>
      </w:r>
    </w:p>
    <w:p w14:paraId="378524F3">
      <w:pPr>
        <w:snapToGrid w:val="0"/>
        <w:spacing w:line="520" w:lineRule="exact"/>
        <w:ind w:firstLine="640" w:firstLineChars="200"/>
        <w:rPr>
          <w:rFonts w:eastAsia="仿宋_GB2312"/>
          <w:color w:val="000000" w:themeColor="text1"/>
          <w:kern w:val="0"/>
          <w:sz w:val="32"/>
          <w:szCs w:val="32"/>
        </w:rPr>
      </w:pPr>
      <w:r>
        <w:rPr>
          <w:rFonts w:eastAsia="仿宋_GB2312"/>
          <w:color w:val="000000" w:themeColor="text1"/>
          <w:kern w:val="0"/>
          <w:sz w:val="32"/>
          <w:szCs w:val="32"/>
        </w:rPr>
        <w:t>选取用于MR环境安全测试的所有器械</w:t>
      </w:r>
      <w:r>
        <w:rPr>
          <w:rFonts w:eastAsia="仿宋_GB2312"/>
          <w:color w:val="000000" w:themeColor="text1"/>
          <w:sz w:val="32"/>
          <w:szCs w:val="32"/>
        </w:rPr>
        <w:t>样品</w:t>
      </w:r>
      <w:r>
        <w:rPr>
          <w:rFonts w:eastAsia="仿宋_GB2312"/>
          <w:color w:val="000000" w:themeColor="text1"/>
          <w:kern w:val="0"/>
          <w:sz w:val="32"/>
          <w:szCs w:val="32"/>
        </w:rPr>
        <w:t>，在测试完成后均应满足合格品的要求。</w:t>
      </w:r>
    </w:p>
    <w:p w14:paraId="29AD860B">
      <w:pPr>
        <w:snapToGrid w:val="0"/>
        <w:spacing w:line="520" w:lineRule="exact"/>
        <w:ind w:firstLine="640" w:firstLineChars="200"/>
        <w:jc w:val="center"/>
        <w:rPr>
          <w:rFonts w:eastAsia="Heiti SC Medium"/>
          <w:color w:val="000000" w:themeColor="text1"/>
          <w:kern w:val="0"/>
          <w:sz w:val="32"/>
          <w:szCs w:val="32"/>
        </w:rPr>
      </w:pPr>
      <w:r>
        <w:rPr>
          <w:rFonts w:eastAsia="Heiti SC Medium"/>
          <w:color w:val="000000" w:themeColor="text1"/>
          <w:kern w:val="0"/>
          <w:sz w:val="32"/>
          <w:szCs w:val="32"/>
        </w:rPr>
        <w:t>表</w:t>
      </w:r>
      <w:bookmarkStart w:id="7" w:name="_bookmark2"/>
      <w:bookmarkEnd w:id="7"/>
      <w:r>
        <w:rPr>
          <w:rFonts w:eastAsia="Heiti SC Medium"/>
          <w:color w:val="000000" w:themeColor="text1"/>
          <w:kern w:val="0"/>
          <w:sz w:val="32"/>
          <w:szCs w:val="32"/>
        </w:rPr>
        <w:t>4. 采用ISO/TS 10974测试方法的验收标准</w:t>
      </w:r>
    </w:p>
    <w:tbl>
      <w:tblPr>
        <w:tblStyle w:val="16"/>
        <w:tblW w:w="8495" w:type="dxa"/>
        <w:jc w:val="center"/>
        <w:tblLayout w:type="autofit"/>
        <w:tblCellMar>
          <w:top w:w="28" w:type="dxa"/>
          <w:left w:w="28" w:type="dxa"/>
          <w:bottom w:w="28" w:type="dxa"/>
          <w:right w:w="28" w:type="dxa"/>
        </w:tblCellMar>
      </w:tblPr>
      <w:tblGrid>
        <w:gridCol w:w="1587"/>
        <w:gridCol w:w="1862"/>
        <w:gridCol w:w="5046"/>
      </w:tblGrid>
      <w:tr w14:paraId="495C4F28">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400DB0BD">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测试</w:t>
            </w:r>
          </w:p>
        </w:tc>
        <w:tc>
          <w:tcPr>
            <w:tcW w:w="1862" w:type="dxa"/>
            <w:tcBorders>
              <w:top w:val="single" w:color="231F20" w:sz="4" w:space="0"/>
              <w:left w:val="single" w:color="231F20" w:sz="4" w:space="0"/>
              <w:bottom w:val="single" w:color="231F20" w:sz="4" w:space="0"/>
              <w:right w:val="single" w:color="231F20" w:sz="4" w:space="0"/>
            </w:tcBorders>
            <w:vAlign w:val="center"/>
          </w:tcPr>
          <w:p w14:paraId="644BCBF9">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ISO/TS 10974</w:t>
            </w:r>
          </w:p>
          <w:p w14:paraId="4CF2FFE9">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条款</w:t>
            </w:r>
          </w:p>
        </w:tc>
        <w:tc>
          <w:tcPr>
            <w:tcW w:w="5046" w:type="dxa"/>
            <w:tcBorders>
              <w:top w:val="single" w:color="231F20" w:sz="4" w:space="0"/>
              <w:left w:val="single" w:color="231F20" w:sz="4" w:space="0"/>
              <w:bottom w:val="single" w:color="231F20" w:sz="4" w:space="0"/>
              <w:right w:val="single" w:color="231F20" w:sz="4" w:space="0"/>
            </w:tcBorders>
            <w:vAlign w:val="center"/>
          </w:tcPr>
          <w:p w14:paraId="19DF13C1">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验收标准</w:t>
            </w:r>
          </w:p>
        </w:tc>
      </w:tr>
      <w:tr w14:paraId="24B86619">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634FEE65">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射频致热</w:t>
            </w:r>
          </w:p>
        </w:tc>
        <w:tc>
          <w:tcPr>
            <w:tcW w:w="1862" w:type="dxa"/>
            <w:tcBorders>
              <w:top w:val="single" w:color="231F20" w:sz="4" w:space="0"/>
              <w:left w:val="single" w:color="231F20" w:sz="4" w:space="0"/>
              <w:bottom w:val="single" w:color="231F20" w:sz="4" w:space="0"/>
              <w:right w:val="single" w:color="231F20" w:sz="4" w:space="0"/>
            </w:tcBorders>
            <w:vAlign w:val="center"/>
          </w:tcPr>
          <w:p w14:paraId="5D42DBF2">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8</w:t>
            </w:r>
          </w:p>
        </w:tc>
        <w:tc>
          <w:tcPr>
            <w:tcW w:w="5046" w:type="dxa"/>
            <w:tcBorders>
              <w:top w:val="single" w:color="231F20" w:sz="4" w:space="0"/>
              <w:left w:val="single" w:color="231F20" w:sz="4" w:space="0"/>
              <w:bottom w:val="single" w:color="231F20" w:sz="4" w:space="0"/>
              <w:right w:val="single" w:color="231F20" w:sz="4" w:space="0"/>
            </w:tcBorders>
            <w:vAlign w:val="center"/>
          </w:tcPr>
          <w:p w14:paraId="3D24D6D6">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器械附近组织的射频致热不应导致不可接受的风险。致热量应小于附近组织的临床限值（提供科学依据支持）。CEM43值可用于致热的评估（以及射频功率、温度等定量参数）。</w:t>
            </w:r>
          </w:p>
          <w:p w14:paraId="1B92FF14">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若温升 ≤ 2℃，一般无需提供进一步的科学依据</w:t>
            </w:r>
          </w:p>
        </w:tc>
      </w:tr>
      <w:tr w14:paraId="19053073">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4AEF7FC8">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梯度场</w:t>
            </w:r>
          </w:p>
          <w:p w14:paraId="055808CA">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致热</w:t>
            </w:r>
          </w:p>
        </w:tc>
        <w:tc>
          <w:tcPr>
            <w:tcW w:w="1862" w:type="dxa"/>
            <w:tcBorders>
              <w:top w:val="single" w:color="231F20" w:sz="4" w:space="0"/>
              <w:left w:val="single" w:color="231F20" w:sz="4" w:space="0"/>
              <w:bottom w:val="single" w:color="231F20" w:sz="4" w:space="0"/>
              <w:right w:val="single" w:color="231F20" w:sz="4" w:space="0"/>
            </w:tcBorders>
            <w:vAlign w:val="center"/>
          </w:tcPr>
          <w:p w14:paraId="419F8F27">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9</w:t>
            </w:r>
          </w:p>
        </w:tc>
        <w:tc>
          <w:tcPr>
            <w:tcW w:w="5046" w:type="dxa"/>
            <w:tcBorders>
              <w:top w:val="single" w:color="231F20" w:sz="4" w:space="0"/>
              <w:left w:val="single" w:color="231F20" w:sz="4" w:space="0"/>
              <w:bottom w:val="single" w:color="231F20" w:sz="4" w:space="0"/>
              <w:right w:val="single" w:color="231F20" w:sz="4" w:space="0"/>
            </w:tcBorders>
            <w:vAlign w:val="center"/>
          </w:tcPr>
          <w:p w14:paraId="774DAF49">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器械附近组织的梯度场致热不应导致不可接受的风险。梯度场致热量应小于附近组织的临床限值（提供科学依据支持）。CEM43值可用于梯度场致热的评估。</w:t>
            </w:r>
          </w:p>
          <w:p w14:paraId="3EA9D27C">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若温升 ≤ 2℃，一般无需提供进一步的科学依据</w:t>
            </w:r>
          </w:p>
        </w:tc>
      </w:tr>
      <w:tr w14:paraId="57D6F0FC">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191D8B08">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梯度振动</w:t>
            </w:r>
          </w:p>
        </w:tc>
        <w:tc>
          <w:tcPr>
            <w:tcW w:w="1862" w:type="dxa"/>
            <w:tcBorders>
              <w:top w:val="single" w:color="231F20" w:sz="4" w:space="0"/>
              <w:left w:val="single" w:color="231F20" w:sz="4" w:space="0"/>
              <w:bottom w:val="single" w:color="231F20" w:sz="4" w:space="0"/>
              <w:right w:val="single" w:color="231F20" w:sz="4" w:space="0"/>
            </w:tcBorders>
            <w:vAlign w:val="center"/>
          </w:tcPr>
          <w:p w14:paraId="55115165">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10</w:t>
            </w:r>
          </w:p>
        </w:tc>
        <w:tc>
          <w:tcPr>
            <w:tcW w:w="5046" w:type="dxa"/>
            <w:tcBorders>
              <w:top w:val="single" w:color="231F20" w:sz="4" w:space="0"/>
              <w:left w:val="single" w:color="231F20" w:sz="4" w:space="0"/>
              <w:bottom w:val="single" w:color="231F20" w:sz="4" w:space="0"/>
              <w:right w:val="single" w:color="231F20" w:sz="4" w:space="0"/>
            </w:tcBorders>
            <w:vAlign w:val="center"/>
          </w:tcPr>
          <w:p w14:paraId="6E0C9595">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梯度振动不应导致不可接受的风险</w:t>
            </w:r>
          </w:p>
        </w:tc>
      </w:tr>
      <w:tr w14:paraId="72CE41C5">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2B36689C">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B</w:t>
            </w:r>
            <w:r>
              <w:rPr>
                <w:rFonts w:eastAsia="仿宋_GB2312"/>
                <w:color w:val="000000" w:themeColor="text1"/>
                <w:kern w:val="0"/>
                <w:position w:val="-3"/>
                <w:sz w:val="28"/>
                <w:szCs w:val="28"/>
              </w:rPr>
              <w:t>0</w:t>
            </w:r>
            <w:r>
              <w:rPr>
                <w:rFonts w:eastAsia="仿宋_GB2312"/>
                <w:color w:val="000000" w:themeColor="text1"/>
                <w:kern w:val="0"/>
                <w:sz w:val="28"/>
                <w:szCs w:val="28"/>
              </w:rPr>
              <w:t>位移力</w:t>
            </w:r>
          </w:p>
        </w:tc>
        <w:tc>
          <w:tcPr>
            <w:tcW w:w="1862" w:type="dxa"/>
            <w:tcBorders>
              <w:top w:val="single" w:color="231F20" w:sz="4" w:space="0"/>
              <w:left w:val="single" w:color="231F20" w:sz="4" w:space="0"/>
              <w:bottom w:val="single" w:color="231F20" w:sz="4" w:space="0"/>
              <w:right w:val="single" w:color="231F20" w:sz="4" w:space="0"/>
            </w:tcBorders>
            <w:vAlign w:val="center"/>
          </w:tcPr>
          <w:p w14:paraId="28A194DD">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11</w:t>
            </w:r>
          </w:p>
        </w:tc>
        <w:tc>
          <w:tcPr>
            <w:tcW w:w="5046" w:type="dxa"/>
            <w:tcBorders>
              <w:top w:val="single" w:color="231F20" w:sz="4" w:space="0"/>
              <w:left w:val="single" w:color="231F20" w:sz="4" w:space="0"/>
              <w:bottom w:val="single" w:color="231F20" w:sz="4" w:space="0"/>
              <w:right w:val="single" w:color="231F20" w:sz="4" w:space="0"/>
            </w:tcBorders>
            <w:vAlign w:val="center"/>
          </w:tcPr>
          <w:p w14:paraId="1EACFCFD">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应小于器械重力，或小于一个更大的阈值，需提供充分的科学理由，以证明该阈值不应导致不可接受的风险</w:t>
            </w:r>
          </w:p>
        </w:tc>
      </w:tr>
      <w:tr w14:paraId="179FE396">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618A8A76">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B</w:t>
            </w:r>
            <w:r>
              <w:rPr>
                <w:rFonts w:eastAsia="仿宋_GB2312"/>
                <w:color w:val="000000" w:themeColor="text1"/>
                <w:kern w:val="0"/>
                <w:position w:val="-3"/>
                <w:sz w:val="28"/>
                <w:szCs w:val="28"/>
              </w:rPr>
              <w:t>0</w:t>
            </w:r>
            <w:r>
              <w:rPr>
                <w:rFonts w:eastAsia="仿宋_GB2312"/>
                <w:color w:val="000000" w:themeColor="text1"/>
                <w:kern w:val="0"/>
                <w:sz w:val="28"/>
                <w:szCs w:val="28"/>
              </w:rPr>
              <w:t>扭矩</w:t>
            </w:r>
          </w:p>
        </w:tc>
        <w:tc>
          <w:tcPr>
            <w:tcW w:w="1862" w:type="dxa"/>
            <w:tcBorders>
              <w:top w:val="single" w:color="231F20" w:sz="4" w:space="0"/>
              <w:left w:val="single" w:color="231F20" w:sz="4" w:space="0"/>
              <w:bottom w:val="single" w:color="231F20" w:sz="4" w:space="0"/>
              <w:right w:val="single" w:color="231F20" w:sz="4" w:space="0"/>
            </w:tcBorders>
            <w:vAlign w:val="center"/>
          </w:tcPr>
          <w:p w14:paraId="69DC7DA9">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12</w:t>
            </w:r>
          </w:p>
        </w:tc>
        <w:tc>
          <w:tcPr>
            <w:tcW w:w="5046" w:type="dxa"/>
            <w:tcBorders>
              <w:top w:val="single" w:color="231F20" w:sz="4" w:space="0"/>
              <w:left w:val="single" w:color="231F20" w:sz="4" w:space="0"/>
              <w:bottom w:val="single" w:color="231F20" w:sz="4" w:space="0"/>
              <w:right w:val="single" w:color="231F20" w:sz="4" w:space="0"/>
            </w:tcBorders>
            <w:vAlign w:val="center"/>
          </w:tcPr>
          <w:p w14:paraId="039E7617">
            <w:pPr>
              <w:kinsoku w:val="0"/>
              <w:overflowPunct w:val="0"/>
              <w:autoSpaceDE w:val="0"/>
              <w:autoSpaceDN w:val="0"/>
              <w:adjustRightInd w:val="0"/>
              <w:snapToGrid w:val="0"/>
              <w:rPr>
                <w:rFonts w:eastAsia="仿宋_GB2312"/>
                <w:color w:val="000000" w:themeColor="text1"/>
                <w:spacing w:val="3"/>
                <w:kern w:val="0"/>
                <w:sz w:val="28"/>
                <w:szCs w:val="28"/>
              </w:rPr>
            </w:pPr>
            <w:r>
              <w:rPr>
                <w:rFonts w:eastAsia="仿宋_GB2312"/>
                <w:color w:val="000000" w:themeColor="text1"/>
                <w:kern w:val="0"/>
                <w:sz w:val="28"/>
                <w:szCs w:val="28"/>
              </w:rPr>
              <w:t>磁致扭矩应小于最恶劣情况的重力扭矩（器械重量和自身最长轴的乘积），或小于一个更大的阈值，需提供充分的科学理由，以证明该阈值不应导致不可接受的风险</w:t>
            </w:r>
          </w:p>
        </w:tc>
      </w:tr>
      <w:tr w14:paraId="7D641674">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4D744986">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梯度感应导线电压</w:t>
            </w:r>
          </w:p>
        </w:tc>
        <w:tc>
          <w:tcPr>
            <w:tcW w:w="1862" w:type="dxa"/>
            <w:tcBorders>
              <w:top w:val="single" w:color="231F20" w:sz="4" w:space="0"/>
              <w:left w:val="single" w:color="231F20" w:sz="4" w:space="0"/>
              <w:bottom w:val="single" w:color="231F20" w:sz="4" w:space="0"/>
              <w:right w:val="single" w:color="231F20" w:sz="4" w:space="0"/>
            </w:tcBorders>
            <w:vAlign w:val="center"/>
          </w:tcPr>
          <w:p w14:paraId="049064B5">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13</w:t>
            </w:r>
          </w:p>
        </w:tc>
        <w:tc>
          <w:tcPr>
            <w:tcW w:w="5046" w:type="dxa"/>
            <w:tcBorders>
              <w:top w:val="single" w:color="231F20" w:sz="4" w:space="0"/>
              <w:left w:val="single" w:color="231F20" w:sz="4" w:space="0"/>
              <w:bottom w:val="single" w:color="231F20" w:sz="4" w:space="0"/>
              <w:right w:val="single" w:color="231F20" w:sz="4" w:space="0"/>
            </w:tcBorders>
            <w:vAlign w:val="center"/>
          </w:tcPr>
          <w:p w14:paraId="20011016">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导线感应电压不应导致不可接受的风险</w:t>
            </w:r>
          </w:p>
        </w:tc>
      </w:tr>
      <w:tr w14:paraId="26C8984E">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07102331">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静磁场</w:t>
            </w:r>
          </w:p>
          <w:p w14:paraId="48BFB3C1">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器械故障</w:t>
            </w:r>
          </w:p>
        </w:tc>
        <w:tc>
          <w:tcPr>
            <w:tcW w:w="1862" w:type="dxa"/>
            <w:tcBorders>
              <w:top w:val="single" w:color="231F20" w:sz="4" w:space="0"/>
              <w:left w:val="single" w:color="231F20" w:sz="4" w:space="0"/>
              <w:bottom w:val="single" w:color="231F20" w:sz="4" w:space="0"/>
              <w:right w:val="single" w:color="231F20" w:sz="4" w:space="0"/>
            </w:tcBorders>
            <w:vAlign w:val="center"/>
          </w:tcPr>
          <w:p w14:paraId="2ABEDBFD">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14</w:t>
            </w:r>
          </w:p>
        </w:tc>
        <w:tc>
          <w:tcPr>
            <w:tcW w:w="5046" w:type="dxa"/>
            <w:tcBorders>
              <w:top w:val="single" w:color="231F20" w:sz="4" w:space="0"/>
              <w:left w:val="single" w:color="231F20" w:sz="4" w:space="0"/>
              <w:bottom w:val="single" w:color="231F20" w:sz="4" w:space="0"/>
              <w:right w:val="single" w:color="231F20" w:sz="4" w:space="0"/>
            </w:tcBorders>
            <w:vAlign w:val="center"/>
          </w:tcPr>
          <w:p w14:paraId="64A4812F">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器械故障不应导致不可接受的风险</w:t>
            </w:r>
          </w:p>
        </w:tc>
      </w:tr>
      <w:tr w14:paraId="10874A17">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16EC9626">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射频场</w:t>
            </w:r>
          </w:p>
          <w:p w14:paraId="175C7783">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器械故障</w:t>
            </w:r>
          </w:p>
        </w:tc>
        <w:tc>
          <w:tcPr>
            <w:tcW w:w="1862" w:type="dxa"/>
            <w:tcBorders>
              <w:top w:val="single" w:color="231F20" w:sz="4" w:space="0"/>
              <w:left w:val="single" w:color="231F20" w:sz="4" w:space="0"/>
              <w:bottom w:val="single" w:color="231F20" w:sz="4" w:space="0"/>
              <w:right w:val="single" w:color="231F20" w:sz="4" w:space="0"/>
            </w:tcBorders>
            <w:vAlign w:val="center"/>
          </w:tcPr>
          <w:p w14:paraId="35A42E05">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15</w:t>
            </w:r>
          </w:p>
        </w:tc>
        <w:tc>
          <w:tcPr>
            <w:tcW w:w="5046" w:type="dxa"/>
            <w:tcBorders>
              <w:top w:val="single" w:color="231F20" w:sz="4" w:space="0"/>
              <w:left w:val="single" w:color="231F20" w:sz="4" w:space="0"/>
              <w:bottom w:val="single" w:color="231F20" w:sz="4" w:space="0"/>
              <w:right w:val="single" w:color="231F20" w:sz="4" w:space="0"/>
            </w:tcBorders>
            <w:vAlign w:val="center"/>
          </w:tcPr>
          <w:p w14:paraId="2A951CC1">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器械故障不应导致不可接受的风险</w:t>
            </w:r>
          </w:p>
        </w:tc>
      </w:tr>
      <w:tr w14:paraId="29CD9475">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6CD38A42">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梯度场</w:t>
            </w:r>
          </w:p>
          <w:p w14:paraId="4F630D53">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器械故障</w:t>
            </w:r>
          </w:p>
        </w:tc>
        <w:tc>
          <w:tcPr>
            <w:tcW w:w="1862" w:type="dxa"/>
            <w:tcBorders>
              <w:top w:val="single" w:color="231F20" w:sz="4" w:space="0"/>
              <w:left w:val="single" w:color="231F20" w:sz="4" w:space="0"/>
              <w:bottom w:val="single" w:color="231F20" w:sz="4" w:space="0"/>
              <w:right w:val="single" w:color="231F20" w:sz="4" w:space="0"/>
            </w:tcBorders>
            <w:vAlign w:val="center"/>
          </w:tcPr>
          <w:p w14:paraId="12B3A6A4">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16</w:t>
            </w:r>
          </w:p>
        </w:tc>
        <w:tc>
          <w:tcPr>
            <w:tcW w:w="5046" w:type="dxa"/>
            <w:tcBorders>
              <w:top w:val="single" w:color="231F20" w:sz="4" w:space="0"/>
              <w:left w:val="single" w:color="231F20" w:sz="4" w:space="0"/>
              <w:bottom w:val="single" w:color="231F20" w:sz="4" w:space="0"/>
              <w:right w:val="single" w:color="231F20" w:sz="4" w:space="0"/>
            </w:tcBorders>
            <w:vAlign w:val="center"/>
          </w:tcPr>
          <w:p w14:paraId="7A553CC7">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器械故障不应导致不可接受的风险</w:t>
            </w:r>
          </w:p>
        </w:tc>
      </w:tr>
      <w:tr w14:paraId="4EC38D65">
        <w:trPr>
          <w:jc w:val="center"/>
        </w:trPr>
        <w:tc>
          <w:tcPr>
            <w:tcW w:w="1587" w:type="dxa"/>
            <w:tcBorders>
              <w:top w:val="single" w:color="231F20" w:sz="4" w:space="0"/>
              <w:left w:val="single" w:color="231F20" w:sz="4" w:space="0"/>
              <w:bottom w:val="single" w:color="231F20" w:sz="4" w:space="0"/>
              <w:right w:val="single" w:color="231F20" w:sz="4" w:space="0"/>
            </w:tcBorders>
            <w:vAlign w:val="center"/>
          </w:tcPr>
          <w:p w14:paraId="21EA154B">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复合场</w:t>
            </w:r>
          </w:p>
        </w:tc>
        <w:tc>
          <w:tcPr>
            <w:tcW w:w="1862" w:type="dxa"/>
            <w:tcBorders>
              <w:top w:val="single" w:color="231F20" w:sz="4" w:space="0"/>
              <w:left w:val="single" w:color="231F20" w:sz="4" w:space="0"/>
              <w:bottom w:val="single" w:color="231F20" w:sz="4" w:space="0"/>
              <w:right w:val="single" w:color="231F20" w:sz="4" w:space="0"/>
            </w:tcBorders>
            <w:vAlign w:val="center"/>
          </w:tcPr>
          <w:p w14:paraId="088B4109">
            <w:pPr>
              <w:kinsoku w:val="0"/>
              <w:overflowPunct w:val="0"/>
              <w:autoSpaceDE w:val="0"/>
              <w:autoSpaceDN w:val="0"/>
              <w:adjustRightInd w:val="0"/>
              <w:snapToGrid w:val="0"/>
              <w:jc w:val="center"/>
              <w:rPr>
                <w:rFonts w:eastAsia="仿宋_GB2312"/>
                <w:color w:val="000000" w:themeColor="text1"/>
                <w:kern w:val="0"/>
                <w:sz w:val="28"/>
                <w:szCs w:val="28"/>
              </w:rPr>
            </w:pPr>
            <w:r>
              <w:rPr>
                <w:rFonts w:eastAsia="仿宋_GB2312"/>
                <w:color w:val="000000" w:themeColor="text1"/>
                <w:kern w:val="0"/>
                <w:sz w:val="28"/>
                <w:szCs w:val="28"/>
              </w:rPr>
              <w:t>17</w:t>
            </w:r>
          </w:p>
        </w:tc>
        <w:tc>
          <w:tcPr>
            <w:tcW w:w="5046" w:type="dxa"/>
            <w:tcBorders>
              <w:top w:val="single" w:color="231F20" w:sz="4" w:space="0"/>
              <w:left w:val="single" w:color="231F20" w:sz="4" w:space="0"/>
              <w:bottom w:val="single" w:color="231F20" w:sz="4" w:space="0"/>
              <w:right w:val="single" w:color="231F20" w:sz="4" w:space="0"/>
            </w:tcBorders>
            <w:vAlign w:val="center"/>
          </w:tcPr>
          <w:p w14:paraId="27CE5F4D">
            <w:pPr>
              <w:kinsoku w:val="0"/>
              <w:overflowPunct w:val="0"/>
              <w:autoSpaceDE w:val="0"/>
              <w:autoSpaceDN w:val="0"/>
              <w:adjustRightInd w:val="0"/>
              <w:snapToGrid w:val="0"/>
              <w:rPr>
                <w:rFonts w:eastAsia="仿宋_GB2312"/>
                <w:color w:val="000000" w:themeColor="text1"/>
                <w:kern w:val="0"/>
                <w:sz w:val="28"/>
                <w:szCs w:val="28"/>
              </w:rPr>
            </w:pPr>
            <w:r>
              <w:rPr>
                <w:rFonts w:eastAsia="仿宋_GB2312"/>
                <w:color w:val="000000" w:themeColor="text1"/>
                <w:kern w:val="0"/>
                <w:sz w:val="28"/>
                <w:szCs w:val="28"/>
              </w:rPr>
              <w:t>测试结果不应导致不可接受的风险</w:t>
            </w:r>
          </w:p>
        </w:tc>
      </w:tr>
    </w:tbl>
    <w:p w14:paraId="58ACF6B1">
      <w:pPr>
        <w:pStyle w:val="28"/>
        <w:snapToGrid w:val="0"/>
        <w:spacing w:line="520" w:lineRule="exact"/>
        <w:ind w:firstLine="640"/>
        <w:rPr>
          <w:rFonts w:eastAsia="仿宋_GB2312"/>
          <w:snapToGrid w:val="0"/>
          <w:color w:val="000000" w:themeColor="text1"/>
          <w:sz w:val="32"/>
          <w:szCs w:val="32"/>
        </w:rPr>
      </w:pPr>
    </w:p>
    <w:p w14:paraId="66E95FC7">
      <w:pPr>
        <w:pStyle w:val="28"/>
        <w:snapToGrid w:val="0"/>
        <w:spacing w:line="520" w:lineRule="exact"/>
        <w:ind w:firstLine="640"/>
        <w:rPr>
          <w:rFonts w:eastAsia="仿宋_GB2312"/>
          <w:color w:val="000000" w:themeColor="text1"/>
          <w:sz w:val="32"/>
          <w:szCs w:val="32"/>
        </w:rPr>
      </w:pPr>
      <w:r>
        <w:rPr>
          <w:rFonts w:eastAsia="仿宋_GB2312"/>
          <w:snapToGrid w:val="0"/>
          <w:color w:val="000000" w:themeColor="text1"/>
          <w:sz w:val="32"/>
          <w:szCs w:val="32"/>
        </w:rPr>
        <w:t>ISO/TS 10974提供的MR环境安全评价方法引入了层级概念，涉及的条款包括：射频致热（第8条）、梯度场致热（第9条）、梯度振动（第10条）、梯度场感应电压（第13条）、射频故障和射频整流（第15条）、梯度故障（第16条）。层级可分为第1级、第2级……第n级等，普遍不超过4级。每一层级代表一种替代测试方法。层级的数字顺序与评价方法的复杂度相关，数字越小的层级代表的复杂度越低，相应的结果准确度较差。例如：第1级代表最不复杂的测试方法，得到的结果最不准确，最保守地保证安全性。一般而言，医疗器械在采用较低层级的评价方法时，应预留较多余量，才可保证其保守假设的成立。随着评价方法的层级数增加，测试</w:t>
      </w:r>
      <w:r>
        <w:rPr>
          <w:rFonts w:eastAsia="仿宋_GB2312"/>
          <w:color w:val="000000" w:themeColor="text1"/>
          <w:sz w:val="32"/>
          <w:szCs w:val="32"/>
        </w:rPr>
        <w:t>方法</w:t>
      </w:r>
      <w:r>
        <w:rPr>
          <w:rFonts w:eastAsia="仿宋_GB2312"/>
          <w:snapToGrid w:val="0"/>
          <w:color w:val="000000" w:themeColor="text1"/>
          <w:sz w:val="32"/>
          <w:szCs w:val="32"/>
        </w:rPr>
        <w:t>变得复杂，难以实施，但理论上其测试结果最准确。申请人采用较高层级的评价方法，可降低过多的设计余量，因为测试结果更接近临床实际。申请人可为每项测试选择适当层级，不同层级可以用于不同测试，无需对每项测试使用多个层级。</w:t>
      </w:r>
    </w:p>
    <w:p w14:paraId="378B56E1">
      <w:pPr>
        <w:numPr>
          <w:ilvl w:val="0"/>
          <w:numId w:val="1"/>
        </w:numPr>
        <w:overflowPunct w:val="0"/>
        <w:autoSpaceDE w:val="0"/>
        <w:autoSpaceDN w:val="0"/>
        <w:snapToGrid w:val="0"/>
        <w:spacing w:line="520" w:lineRule="exact"/>
        <w:ind w:left="0" w:firstLine="640" w:firstLineChars="200"/>
        <w:jc w:val="left"/>
        <w:outlineLvl w:val="1"/>
        <w:rPr>
          <w:rFonts w:eastAsia="仿宋_GB2312"/>
          <w:color w:val="000000" w:themeColor="text1"/>
          <w:sz w:val="32"/>
          <w:szCs w:val="32"/>
        </w:rPr>
      </w:pPr>
      <w:r>
        <w:rPr>
          <w:rFonts w:eastAsia="黑体"/>
          <w:color w:val="000000" w:themeColor="text1"/>
          <w:sz w:val="32"/>
          <w:szCs w:val="32"/>
        </w:rPr>
        <w:t>磁共振环境安全评价报告</w:t>
      </w:r>
    </w:p>
    <w:p w14:paraId="2F0F20D9">
      <w:pPr>
        <w:tabs>
          <w:tab w:val="left" w:pos="1440"/>
        </w:tabs>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申请人在提交注册申报资料时，需说明产品类型和MR环境安全等级，并根据磁共振环境的具体情况，提交磁共振环境安全评价研究报告。</w:t>
      </w:r>
    </w:p>
    <w:p w14:paraId="285D9AEA">
      <w:pPr>
        <w:pStyle w:val="28"/>
        <w:numPr>
          <w:ilvl w:val="0"/>
          <w:numId w:val="21"/>
        </w:numPr>
        <w:snapToGrid w:val="0"/>
        <w:spacing w:line="520" w:lineRule="exact"/>
        <w:ind w:left="0" w:firstLine="640"/>
        <w:outlineLvl w:val="2"/>
        <w:rPr>
          <w:rFonts w:eastAsia="仿宋_GB2312"/>
          <w:color w:val="000000" w:themeColor="text1"/>
          <w:sz w:val="32"/>
          <w:szCs w:val="32"/>
        </w:rPr>
      </w:pPr>
      <w:r>
        <w:rPr>
          <w:rFonts w:eastAsia="楷体_GB2312"/>
          <w:color w:val="000000" w:themeColor="text1"/>
          <w:sz w:val="32"/>
          <w:szCs w:val="32"/>
        </w:rPr>
        <w:t>安全评价报告</w:t>
      </w:r>
    </w:p>
    <w:p w14:paraId="6759BE0B">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申请人需描述磁共振环境安全评价的目的，说明预期在磁共振环境下使用的产品信息，依据产品类型、功能、用途等特性，综合考虑其磁共振环境安全问题。</w:t>
      </w:r>
    </w:p>
    <w:p w14:paraId="33DC4EE3">
      <w:pPr>
        <w:numPr>
          <w:ilvl w:val="0"/>
          <w:numId w:val="22"/>
        </w:numPr>
        <w:overflowPunct w:val="0"/>
        <w:autoSpaceDE w:val="0"/>
        <w:autoSpaceDN w:val="0"/>
        <w:snapToGrid w:val="0"/>
        <w:spacing w:line="520" w:lineRule="exact"/>
        <w:jc w:val="left"/>
        <w:outlineLvl w:val="3"/>
        <w:rPr>
          <w:rFonts w:eastAsia="仿宋_GB2312"/>
          <w:color w:val="000000" w:themeColor="text1"/>
          <w:sz w:val="32"/>
          <w:szCs w:val="32"/>
        </w:rPr>
      </w:pPr>
      <w:r>
        <w:rPr>
          <w:rFonts w:eastAsia="仿宋_GB2312"/>
          <w:color w:val="000000" w:themeColor="text1"/>
          <w:sz w:val="32"/>
          <w:szCs w:val="32"/>
        </w:rPr>
        <w:t>基本信息</w:t>
      </w:r>
    </w:p>
    <w:p w14:paraId="5028FC6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需提供产品整体布置图（工程图示和真实照片），标识主要部件（图文与标识的顺序应一致），说明产品结构组成。</w:t>
      </w:r>
    </w:p>
    <w:p w14:paraId="4932C064">
      <w:pPr>
        <w:numPr>
          <w:ilvl w:val="1"/>
          <w:numId w:val="23"/>
        </w:numPr>
        <w:overflowPunct w:val="0"/>
        <w:autoSpaceDE w:val="0"/>
        <w:autoSpaceDN w:val="0"/>
        <w:snapToGrid w:val="0"/>
        <w:spacing w:line="520" w:lineRule="exact"/>
        <w:ind w:firstLine="640" w:firstLineChars="200"/>
        <w:jc w:val="left"/>
        <w:outlineLvl w:val="4"/>
        <w:rPr>
          <w:rFonts w:eastAsia="仿宋_GB2312"/>
          <w:color w:val="000000" w:themeColor="text1"/>
          <w:sz w:val="32"/>
          <w:szCs w:val="32"/>
        </w:rPr>
      </w:pPr>
      <w:r>
        <w:rPr>
          <w:rFonts w:eastAsia="仿宋_GB2312"/>
          <w:color w:val="000000" w:themeColor="text1"/>
          <w:sz w:val="32"/>
          <w:szCs w:val="32"/>
        </w:rPr>
        <w:t>产品</w:t>
      </w:r>
      <w:r>
        <w:rPr>
          <w:rFonts w:eastAsia="仿宋_GB2312"/>
          <w:snapToGrid w:val="0"/>
          <w:color w:val="000000" w:themeColor="text1"/>
          <w:kern w:val="0"/>
          <w:sz w:val="32"/>
          <w:szCs w:val="32"/>
        </w:rPr>
        <w:t>类型</w:t>
      </w:r>
    </w:p>
    <w:p w14:paraId="35006CF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需说明申报产品接触人体的方式，例如：全植入式、部分植入式、体表接触式等。</w:t>
      </w:r>
    </w:p>
    <w:p w14:paraId="113FD49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若申报产品属于非植入式医疗器械，需说明其直接或间接接触人体的方式，以及MR环境中的位置信息（例如：是否处于磁体腔内等）。</w:t>
      </w:r>
    </w:p>
    <w:p w14:paraId="6FAD9BCC">
      <w:pPr>
        <w:numPr>
          <w:ilvl w:val="1"/>
          <w:numId w:val="23"/>
        </w:numPr>
        <w:overflowPunct w:val="0"/>
        <w:autoSpaceDE w:val="0"/>
        <w:autoSpaceDN w:val="0"/>
        <w:snapToGrid w:val="0"/>
        <w:spacing w:line="520" w:lineRule="exact"/>
        <w:ind w:firstLine="640" w:firstLineChars="200"/>
        <w:jc w:val="left"/>
        <w:outlineLvl w:val="4"/>
        <w:rPr>
          <w:rFonts w:eastAsia="仿宋_GB2312"/>
          <w:color w:val="000000" w:themeColor="text1"/>
          <w:sz w:val="32"/>
          <w:szCs w:val="32"/>
        </w:rPr>
      </w:pPr>
      <w:r>
        <w:rPr>
          <w:rFonts w:eastAsia="仿宋_GB2312"/>
          <w:color w:val="000000" w:themeColor="text1"/>
          <w:sz w:val="32"/>
          <w:szCs w:val="32"/>
        </w:rPr>
        <w:t>磁共振</w:t>
      </w:r>
      <w:r>
        <w:rPr>
          <w:rFonts w:eastAsia="仿宋_GB2312"/>
          <w:snapToGrid w:val="0"/>
          <w:color w:val="000000" w:themeColor="text1"/>
          <w:kern w:val="0"/>
          <w:sz w:val="32"/>
          <w:szCs w:val="32"/>
        </w:rPr>
        <w:t>环境要求</w:t>
      </w:r>
    </w:p>
    <w:p w14:paraId="2A20808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需说明预期适配的磁共振设备的具体信息，包括不限于：</w:t>
      </w:r>
    </w:p>
    <w:p w14:paraId="1B3A2A0A">
      <w:pPr>
        <w:numPr>
          <w:ilvl w:val="0"/>
          <w:numId w:val="24"/>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磁共振设备类型。例如：开放式、圆筒型、超导、永磁、常导、磁导航等。</w:t>
      </w:r>
    </w:p>
    <w:p w14:paraId="3CD33B2D">
      <w:pPr>
        <w:numPr>
          <w:ilvl w:val="0"/>
          <w:numId w:val="24"/>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场强指标。例如：0.35T、0.7T、1.0T、1.5T、3.0T。</w:t>
      </w:r>
    </w:p>
    <w:p w14:paraId="6ADC926E">
      <w:pPr>
        <w:numPr>
          <w:ilvl w:val="0"/>
          <w:numId w:val="24"/>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中国境内已上市磁共振设备特征。考虑到临床磁共振设备的多样性，申请人应结合中国临床实际，证明现有证据能够证明申报产品可以适配中国境内已上市磁共振设备的相关要求。</w:t>
      </w:r>
    </w:p>
    <w:p w14:paraId="4B127902">
      <w:pPr>
        <w:pStyle w:val="28"/>
        <w:snapToGrid w:val="0"/>
        <w:spacing w:line="520" w:lineRule="exact"/>
        <w:ind w:firstLine="640"/>
        <w:rPr>
          <w:rFonts w:eastAsia="仿宋_GB2312"/>
          <w:iCs/>
          <w:color w:val="000000" w:themeColor="text1"/>
          <w:sz w:val="32"/>
          <w:szCs w:val="32"/>
        </w:rPr>
      </w:pPr>
      <w:r>
        <w:rPr>
          <w:rFonts w:eastAsia="仿宋_GB2312"/>
          <w:iCs/>
          <w:color w:val="000000" w:themeColor="text1"/>
          <w:sz w:val="32"/>
          <w:szCs w:val="32"/>
        </w:rPr>
        <w:t>对于测试用MR设备的典型性，可参考下列要素：</w:t>
      </w:r>
    </w:p>
    <w:p w14:paraId="71466E6F">
      <w:pPr>
        <w:pStyle w:val="28"/>
        <w:snapToGrid w:val="0"/>
        <w:spacing w:line="520" w:lineRule="exact"/>
        <w:ind w:firstLine="640"/>
        <w:rPr>
          <w:rFonts w:eastAsia="仿宋_GB2312"/>
          <w:iCs/>
          <w:color w:val="000000" w:themeColor="text1"/>
          <w:sz w:val="32"/>
          <w:szCs w:val="32"/>
        </w:rPr>
      </w:pPr>
      <w:r>
        <w:rPr>
          <w:rFonts w:eastAsia="仿宋_GB2312"/>
          <w:iCs/>
          <w:color w:val="000000" w:themeColor="text1"/>
          <w:sz w:val="32"/>
          <w:szCs w:val="32"/>
        </w:rPr>
        <w:t>（1）磁共振设备类型</w:t>
      </w:r>
    </w:p>
    <w:p w14:paraId="1F7C0D18">
      <w:pPr>
        <w:pStyle w:val="28"/>
        <w:snapToGrid w:val="0"/>
        <w:spacing w:line="520" w:lineRule="exact"/>
        <w:ind w:firstLine="640"/>
        <w:rPr>
          <w:rFonts w:eastAsia="仿宋_GB2312"/>
          <w:iCs/>
          <w:color w:val="000000" w:themeColor="text1"/>
          <w:sz w:val="32"/>
          <w:szCs w:val="32"/>
        </w:rPr>
      </w:pPr>
      <w:r>
        <w:rPr>
          <w:rFonts w:eastAsia="仿宋_GB2312"/>
          <w:iCs/>
          <w:color w:val="000000" w:themeColor="text1"/>
          <w:sz w:val="32"/>
          <w:szCs w:val="32"/>
        </w:rPr>
        <w:t>磁共振成像设备中心工作频率取决于场强，宣称场强相同的磁共振成像设备通常采用相近频带范围。</w:t>
      </w:r>
    </w:p>
    <w:p w14:paraId="5031AA50">
      <w:pPr>
        <w:pStyle w:val="28"/>
        <w:snapToGrid w:val="0"/>
        <w:spacing w:line="520" w:lineRule="exact"/>
        <w:ind w:firstLine="640"/>
        <w:rPr>
          <w:rFonts w:eastAsia="仿宋_GB2312"/>
          <w:iCs/>
          <w:color w:val="000000" w:themeColor="text1"/>
          <w:sz w:val="32"/>
          <w:szCs w:val="32"/>
        </w:rPr>
      </w:pPr>
      <w:r>
        <w:rPr>
          <w:rFonts w:eastAsia="仿宋_GB2312"/>
          <w:iCs/>
          <w:color w:val="000000" w:themeColor="text1"/>
          <w:sz w:val="32"/>
          <w:szCs w:val="32"/>
        </w:rPr>
        <w:t>磁体类型和空间磁场分布如果相似，一般可认为具有覆盖性。</w:t>
      </w:r>
    </w:p>
    <w:p w14:paraId="4072B136">
      <w:pPr>
        <w:pStyle w:val="28"/>
        <w:snapToGrid w:val="0"/>
        <w:spacing w:line="520" w:lineRule="exact"/>
        <w:ind w:firstLine="640"/>
        <w:rPr>
          <w:rFonts w:eastAsia="仿宋_GB2312"/>
          <w:iCs/>
          <w:color w:val="000000" w:themeColor="text1"/>
          <w:sz w:val="32"/>
          <w:szCs w:val="32"/>
        </w:rPr>
      </w:pPr>
      <w:r>
        <w:rPr>
          <w:rFonts w:eastAsia="仿宋_GB2312"/>
          <w:iCs/>
          <w:color w:val="000000" w:themeColor="text1"/>
          <w:sz w:val="32"/>
          <w:szCs w:val="32"/>
        </w:rPr>
        <w:t>（2）临床实际分析</w:t>
      </w:r>
    </w:p>
    <w:p w14:paraId="17F6C80D">
      <w:pPr>
        <w:pStyle w:val="28"/>
        <w:snapToGrid w:val="0"/>
        <w:spacing w:line="520" w:lineRule="exact"/>
        <w:ind w:firstLine="640"/>
        <w:rPr>
          <w:rFonts w:eastAsia="仿宋_GB2312"/>
          <w:iCs/>
          <w:color w:val="000000" w:themeColor="text1"/>
          <w:sz w:val="32"/>
          <w:szCs w:val="32"/>
        </w:rPr>
      </w:pPr>
      <w:r>
        <w:rPr>
          <w:rFonts w:eastAsia="仿宋_GB2312"/>
          <w:iCs/>
          <w:color w:val="000000" w:themeColor="text1"/>
          <w:sz w:val="32"/>
          <w:szCs w:val="32"/>
        </w:rPr>
        <w:t>申请人需调研和收集中国已上市主流磁共振设备信息，与测试报告载明的测试用磁共振设备进行对比，证明测试结果具有覆盖性，相关示例如下：</w:t>
      </w:r>
    </w:p>
    <w:p w14:paraId="1DA1217F">
      <w:pPr>
        <w:widowControl/>
        <w:snapToGrid w:val="0"/>
        <w:spacing w:line="520" w:lineRule="exact"/>
        <w:jc w:val="center"/>
        <w:rPr>
          <w:rFonts w:eastAsia="Heiti SC Medium"/>
          <w:color w:val="000000" w:themeColor="text1"/>
          <w:sz w:val="32"/>
          <w:szCs w:val="32"/>
        </w:rPr>
      </w:pPr>
      <w:r>
        <w:rPr>
          <w:rFonts w:eastAsia="Heiti SC Medium"/>
          <w:color w:val="000000" w:themeColor="text1"/>
          <w:sz w:val="32"/>
          <w:szCs w:val="32"/>
        </w:rPr>
        <w:t>表5. 1.5T MR设备分析的示例</w:t>
      </w:r>
    </w:p>
    <w:tbl>
      <w:tblPr>
        <w:tblStyle w:val="16"/>
        <w:tblW w:w="55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960"/>
        <w:gridCol w:w="1564"/>
        <w:gridCol w:w="2239"/>
        <w:gridCol w:w="1521"/>
        <w:gridCol w:w="1882"/>
      </w:tblGrid>
      <w:tr w14:paraId="6C0B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9" w:type="dxa"/>
            <w:shd w:val="clear" w:color="auto" w:fill="auto"/>
            <w:vAlign w:val="center"/>
          </w:tcPr>
          <w:p w14:paraId="5B3F00A2">
            <w:pPr>
              <w:snapToGrid w:val="0"/>
              <w:jc w:val="center"/>
              <w:rPr>
                <w:rFonts w:eastAsia="仿宋_GB2312"/>
                <w:color w:val="000000" w:themeColor="text1"/>
                <w:sz w:val="28"/>
                <w:szCs w:val="28"/>
              </w:rPr>
            </w:pPr>
            <w:r>
              <w:rPr>
                <w:rFonts w:eastAsia="仿宋_GB2312"/>
                <w:color w:val="000000" w:themeColor="text1"/>
                <w:sz w:val="28"/>
                <w:szCs w:val="28"/>
              </w:rPr>
              <w:t>生产商</w:t>
            </w:r>
          </w:p>
        </w:tc>
        <w:tc>
          <w:tcPr>
            <w:tcW w:w="960" w:type="dxa"/>
            <w:shd w:val="clear" w:color="auto" w:fill="auto"/>
            <w:vAlign w:val="center"/>
          </w:tcPr>
          <w:p w14:paraId="218358FF">
            <w:pPr>
              <w:snapToGrid w:val="0"/>
              <w:jc w:val="center"/>
              <w:rPr>
                <w:rFonts w:eastAsia="仿宋_GB2312"/>
                <w:color w:val="000000" w:themeColor="text1"/>
                <w:sz w:val="28"/>
                <w:szCs w:val="28"/>
              </w:rPr>
            </w:pPr>
            <w:r>
              <w:rPr>
                <w:rFonts w:eastAsia="仿宋_GB2312"/>
                <w:color w:val="000000" w:themeColor="text1"/>
                <w:sz w:val="28"/>
                <w:szCs w:val="28"/>
              </w:rPr>
              <w:t>型号</w:t>
            </w:r>
          </w:p>
        </w:tc>
        <w:tc>
          <w:tcPr>
            <w:tcW w:w="1564" w:type="dxa"/>
            <w:shd w:val="clear" w:color="auto" w:fill="auto"/>
            <w:vAlign w:val="center"/>
          </w:tcPr>
          <w:p w14:paraId="2310C830">
            <w:pPr>
              <w:snapToGrid w:val="0"/>
              <w:jc w:val="center"/>
              <w:rPr>
                <w:rFonts w:eastAsia="仿宋_GB2312"/>
                <w:color w:val="000000" w:themeColor="text1"/>
                <w:sz w:val="28"/>
                <w:szCs w:val="28"/>
              </w:rPr>
            </w:pPr>
            <w:r>
              <w:rPr>
                <w:rFonts w:eastAsia="仿宋_GB2312"/>
                <w:color w:val="000000" w:themeColor="text1"/>
                <w:sz w:val="28"/>
                <w:szCs w:val="28"/>
              </w:rPr>
              <w:t>中心频率</w:t>
            </w:r>
          </w:p>
          <w:p w14:paraId="3FD6D07A">
            <w:pPr>
              <w:snapToGrid w:val="0"/>
              <w:jc w:val="center"/>
              <w:rPr>
                <w:rFonts w:eastAsia="仿宋_GB2312"/>
                <w:color w:val="000000" w:themeColor="text1"/>
                <w:sz w:val="28"/>
                <w:szCs w:val="28"/>
              </w:rPr>
            </w:pPr>
            <w:r>
              <w:rPr>
                <w:rFonts w:eastAsia="仿宋_GB2312"/>
                <w:color w:val="000000" w:themeColor="text1"/>
                <w:sz w:val="28"/>
                <w:szCs w:val="28"/>
              </w:rPr>
              <w:t>MHz</w:t>
            </w:r>
          </w:p>
        </w:tc>
        <w:tc>
          <w:tcPr>
            <w:tcW w:w="2239" w:type="dxa"/>
            <w:shd w:val="clear" w:color="auto" w:fill="auto"/>
            <w:vAlign w:val="center"/>
          </w:tcPr>
          <w:p w14:paraId="4C446A48">
            <w:pPr>
              <w:snapToGrid w:val="0"/>
              <w:jc w:val="center"/>
              <w:rPr>
                <w:rFonts w:eastAsia="仿宋_GB2312"/>
                <w:color w:val="000000" w:themeColor="text1"/>
                <w:sz w:val="28"/>
                <w:szCs w:val="28"/>
              </w:rPr>
            </w:pPr>
            <w:r>
              <w:rPr>
                <w:rFonts w:eastAsia="仿宋_GB2312"/>
                <w:color w:val="000000" w:themeColor="text1"/>
                <w:sz w:val="28"/>
                <w:szCs w:val="28"/>
              </w:rPr>
              <w:t>射频峰值功率</w:t>
            </w:r>
          </w:p>
          <w:p w14:paraId="22E2E7D6">
            <w:pPr>
              <w:snapToGrid w:val="0"/>
              <w:jc w:val="center"/>
              <w:rPr>
                <w:rFonts w:eastAsia="仿宋_GB2312"/>
                <w:color w:val="000000" w:themeColor="text1"/>
                <w:sz w:val="28"/>
                <w:szCs w:val="28"/>
              </w:rPr>
            </w:pPr>
            <w:r>
              <w:rPr>
                <w:rFonts w:eastAsia="仿宋_GB2312"/>
                <w:color w:val="000000" w:themeColor="text1"/>
                <w:sz w:val="28"/>
                <w:szCs w:val="28"/>
              </w:rPr>
              <w:t>kW</w:t>
            </w:r>
          </w:p>
        </w:tc>
        <w:tc>
          <w:tcPr>
            <w:tcW w:w="1521" w:type="dxa"/>
            <w:shd w:val="clear" w:color="auto" w:fill="auto"/>
            <w:vAlign w:val="center"/>
          </w:tcPr>
          <w:p w14:paraId="5A0B9D9E">
            <w:pPr>
              <w:snapToGrid w:val="0"/>
              <w:jc w:val="center"/>
              <w:rPr>
                <w:rFonts w:eastAsia="仿宋_GB2312"/>
                <w:color w:val="000000" w:themeColor="text1"/>
                <w:sz w:val="28"/>
                <w:szCs w:val="28"/>
              </w:rPr>
            </w:pPr>
            <w:r>
              <w:rPr>
                <w:rFonts w:eastAsia="仿宋_GB2312"/>
                <w:color w:val="000000" w:themeColor="text1"/>
                <w:sz w:val="28"/>
                <w:szCs w:val="28"/>
              </w:rPr>
              <w:t>梯度幅值mT/m</w:t>
            </w:r>
          </w:p>
        </w:tc>
        <w:tc>
          <w:tcPr>
            <w:tcW w:w="1882" w:type="dxa"/>
            <w:shd w:val="clear" w:color="auto" w:fill="auto"/>
            <w:vAlign w:val="center"/>
          </w:tcPr>
          <w:p w14:paraId="589BD906">
            <w:pPr>
              <w:snapToGrid w:val="0"/>
              <w:jc w:val="center"/>
              <w:rPr>
                <w:rFonts w:eastAsia="仿宋_GB2312"/>
                <w:color w:val="000000" w:themeColor="text1"/>
                <w:sz w:val="28"/>
                <w:szCs w:val="28"/>
              </w:rPr>
            </w:pPr>
            <w:r>
              <w:rPr>
                <w:rFonts w:eastAsia="仿宋_GB2312"/>
                <w:color w:val="000000" w:themeColor="text1"/>
                <w:sz w:val="28"/>
                <w:szCs w:val="28"/>
              </w:rPr>
              <w:t>梯度切换率</w:t>
            </w:r>
          </w:p>
          <w:p w14:paraId="46FA71D7">
            <w:pPr>
              <w:snapToGrid w:val="0"/>
              <w:jc w:val="center"/>
              <w:rPr>
                <w:rFonts w:eastAsia="仿宋_GB2312"/>
                <w:color w:val="000000" w:themeColor="text1"/>
                <w:sz w:val="28"/>
                <w:szCs w:val="28"/>
              </w:rPr>
            </w:pPr>
            <w:r>
              <w:rPr>
                <w:rFonts w:eastAsia="仿宋_GB2312"/>
                <w:color w:val="000000" w:themeColor="text1"/>
                <w:sz w:val="28"/>
                <w:szCs w:val="28"/>
              </w:rPr>
              <w:t>T/m/s</w:t>
            </w:r>
          </w:p>
        </w:tc>
      </w:tr>
      <w:tr w14:paraId="013F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9" w:type="dxa"/>
            <w:shd w:val="clear" w:color="auto" w:fill="auto"/>
            <w:noWrap/>
            <w:vAlign w:val="center"/>
          </w:tcPr>
          <w:p w14:paraId="31AC6D90">
            <w:pPr>
              <w:snapToGrid w:val="0"/>
              <w:jc w:val="center"/>
              <w:rPr>
                <w:rFonts w:eastAsia="仿宋_GB2312"/>
                <w:color w:val="000000" w:themeColor="text1"/>
                <w:sz w:val="28"/>
                <w:szCs w:val="28"/>
              </w:rPr>
            </w:pPr>
            <w:r>
              <w:rPr>
                <w:rFonts w:eastAsia="仿宋_GB2312"/>
                <w:color w:val="000000" w:themeColor="text1"/>
                <w:sz w:val="28"/>
                <w:szCs w:val="28"/>
              </w:rPr>
              <w:t>A</w:t>
            </w:r>
          </w:p>
        </w:tc>
        <w:tc>
          <w:tcPr>
            <w:tcW w:w="960" w:type="dxa"/>
            <w:shd w:val="clear" w:color="auto" w:fill="auto"/>
            <w:noWrap/>
            <w:vAlign w:val="center"/>
          </w:tcPr>
          <w:p w14:paraId="294CA127">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64" w:type="dxa"/>
            <w:shd w:val="clear" w:color="auto" w:fill="auto"/>
            <w:noWrap/>
            <w:vAlign w:val="center"/>
          </w:tcPr>
          <w:p w14:paraId="7E462271">
            <w:pPr>
              <w:snapToGrid w:val="0"/>
              <w:jc w:val="center"/>
              <w:rPr>
                <w:rFonts w:eastAsia="仿宋_GB2312"/>
                <w:color w:val="000000" w:themeColor="text1"/>
                <w:sz w:val="28"/>
                <w:szCs w:val="28"/>
              </w:rPr>
            </w:pPr>
            <w:r>
              <w:rPr>
                <w:rFonts w:eastAsia="仿宋_GB2312"/>
                <w:color w:val="000000" w:themeColor="text1"/>
                <w:sz w:val="28"/>
                <w:szCs w:val="28"/>
              </w:rPr>
              <w:t>63.87</w:t>
            </w:r>
          </w:p>
        </w:tc>
        <w:tc>
          <w:tcPr>
            <w:tcW w:w="2239" w:type="dxa"/>
            <w:shd w:val="clear" w:color="auto" w:fill="auto"/>
            <w:noWrap/>
            <w:vAlign w:val="center"/>
          </w:tcPr>
          <w:p w14:paraId="6C39D47B">
            <w:pPr>
              <w:snapToGrid w:val="0"/>
              <w:jc w:val="center"/>
              <w:rPr>
                <w:rFonts w:eastAsia="仿宋_GB2312"/>
                <w:color w:val="000000" w:themeColor="text1"/>
                <w:sz w:val="28"/>
                <w:szCs w:val="28"/>
              </w:rPr>
            </w:pPr>
            <w:r>
              <w:rPr>
                <w:rFonts w:eastAsia="仿宋_GB2312"/>
                <w:color w:val="000000" w:themeColor="text1"/>
                <w:sz w:val="28"/>
                <w:szCs w:val="28"/>
              </w:rPr>
              <w:t>20</w:t>
            </w:r>
          </w:p>
        </w:tc>
        <w:tc>
          <w:tcPr>
            <w:tcW w:w="1521" w:type="dxa"/>
            <w:shd w:val="clear" w:color="auto" w:fill="auto"/>
            <w:noWrap/>
            <w:vAlign w:val="center"/>
          </w:tcPr>
          <w:p w14:paraId="57971437">
            <w:pPr>
              <w:snapToGrid w:val="0"/>
              <w:jc w:val="center"/>
              <w:rPr>
                <w:rFonts w:eastAsia="仿宋_GB2312"/>
                <w:color w:val="000000" w:themeColor="text1"/>
                <w:sz w:val="28"/>
                <w:szCs w:val="28"/>
              </w:rPr>
            </w:pPr>
            <w:r>
              <w:rPr>
                <w:rFonts w:eastAsia="仿宋_GB2312"/>
                <w:color w:val="000000" w:themeColor="text1"/>
                <w:sz w:val="28"/>
                <w:szCs w:val="28"/>
              </w:rPr>
              <w:t>33</w:t>
            </w:r>
          </w:p>
        </w:tc>
        <w:tc>
          <w:tcPr>
            <w:tcW w:w="1882" w:type="dxa"/>
            <w:shd w:val="clear" w:color="auto" w:fill="auto"/>
            <w:noWrap/>
            <w:vAlign w:val="center"/>
          </w:tcPr>
          <w:p w14:paraId="522AE7EB">
            <w:pPr>
              <w:snapToGrid w:val="0"/>
              <w:jc w:val="center"/>
              <w:rPr>
                <w:rFonts w:eastAsia="仿宋_GB2312"/>
                <w:color w:val="000000" w:themeColor="text1"/>
                <w:sz w:val="28"/>
                <w:szCs w:val="28"/>
              </w:rPr>
            </w:pPr>
            <w:r>
              <w:rPr>
                <w:rFonts w:eastAsia="仿宋_GB2312"/>
                <w:color w:val="000000" w:themeColor="text1"/>
                <w:sz w:val="28"/>
                <w:szCs w:val="28"/>
              </w:rPr>
              <w:t>160</w:t>
            </w:r>
          </w:p>
        </w:tc>
      </w:tr>
      <w:tr w14:paraId="1582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9" w:type="dxa"/>
            <w:shd w:val="clear" w:color="auto" w:fill="auto"/>
            <w:noWrap/>
            <w:vAlign w:val="center"/>
          </w:tcPr>
          <w:p w14:paraId="2BAE9FBC">
            <w:pPr>
              <w:snapToGrid w:val="0"/>
              <w:jc w:val="center"/>
              <w:rPr>
                <w:rFonts w:eastAsia="仿宋_GB2312"/>
                <w:color w:val="000000" w:themeColor="text1"/>
                <w:sz w:val="28"/>
                <w:szCs w:val="28"/>
              </w:rPr>
            </w:pPr>
            <w:r>
              <w:rPr>
                <w:rFonts w:eastAsia="仿宋_GB2312"/>
                <w:color w:val="000000" w:themeColor="text1"/>
                <w:sz w:val="28"/>
                <w:szCs w:val="28"/>
              </w:rPr>
              <w:t>B</w:t>
            </w:r>
          </w:p>
        </w:tc>
        <w:tc>
          <w:tcPr>
            <w:tcW w:w="960" w:type="dxa"/>
            <w:shd w:val="clear" w:color="auto" w:fill="auto"/>
            <w:noWrap/>
            <w:vAlign w:val="center"/>
          </w:tcPr>
          <w:p w14:paraId="6B5CFEC6">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64" w:type="dxa"/>
            <w:shd w:val="clear" w:color="auto" w:fill="auto"/>
            <w:noWrap/>
            <w:vAlign w:val="center"/>
          </w:tcPr>
          <w:p w14:paraId="143F9335">
            <w:pPr>
              <w:snapToGrid w:val="0"/>
              <w:jc w:val="center"/>
              <w:rPr>
                <w:rFonts w:eastAsia="仿宋_GB2312"/>
                <w:color w:val="000000" w:themeColor="text1"/>
                <w:sz w:val="28"/>
                <w:szCs w:val="28"/>
              </w:rPr>
            </w:pPr>
            <w:r>
              <w:rPr>
                <w:rFonts w:eastAsia="仿宋_GB2312"/>
                <w:color w:val="000000" w:themeColor="text1"/>
                <w:sz w:val="28"/>
                <w:szCs w:val="28"/>
              </w:rPr>
              <w:t>63.86</w:t>
            </w:r>
          </w:p>
        </w:tc>
        <w:tc>
          <w:tcPr>
            <w:tcW w:w="2239" w:type="dxa"/>
            <w:shd w:val="clear" w:color="auto" w:fill="auto"/>
            <w:noWrap/>
            <w:vAlign w:val="center"/>
          </w:tcPr>
          <w:p w14:paraId="11347C17">
            <w:pPr>
              <w:snapToGrid w:val="0"/>
              <w:jc w:val="center"/>
              <w:rPr>
                <w:rFonts w:eastAsia="仿宋_GB2312"/>
                <w:color w:val="000000" w:themeColor="text1"/>
                <w:sz w:val="28"/>
                <w:szCs w:val="28"/>
              </w:rPr>
            </w:pPr>
            <w:r>
              <w:rPr>
                <w:rFonts w:eastAsia="仿宋_GB2312"/>
                <w:color w:val="000000" w:themeColor="text1"/>
                <w:sz w:val="28"/>
                <w:szCs w:val="28"/>
              </w:rPr>
              <w:t>20</w:t>
            </w:r>
          </w:p>
        </w:tc>
        <w:tc>
          <w:tcPr>
            <w:tcW w:w="1521" w:type="dxa"/>
            <w:shd w:val="clear" w:color="auto" w:fill="auto"/>
            <w:noWrap/>
            <w:vAlign w:val="center"/>
          </w:tcPr>
          <w:p w14:paraId="6C807E9C">
            <w:pPr>
              <w:snapToGrid w:val="0"/>
              <w:jc w:val="center"/>
              <w:rPr>
                <w:rFonts w:eastAsia="仿宋_GB2312"/>
                <w:color w:val="000000" w:themeColor="text1"/>
                <w:sz w:val="28"/>
                <w:szCs w:val="28"/>
              </w:rPr>
            </w:pPr>
            <w:r>
              <w:rPr>
                <w:rFonts w:eastAsia="仿宋_GB2312"/>
                <w:color w:val="000000" w:themeColor="text1"/>
                <w:sz w:val="28"/>
                <w:szCs w:val="28"/>
              </w:rPr>
              <w:t>35</w:t>
            </w:r>
          </w:p>
        </w:tc>
        <w:tc>
          <w:tcPr>
            <w:tcW w:w="1882" w:type="dxa"/>
            <w:shd w:val="clear" w:color="auto" w:fill="auto"/>
            <w:noWrap/>
            <w:vAlign w:val="center"/>
          </w:tcPr>
          <w:p w14:paraId="06950D16">
            <w:pPr>
              <w:snapToGrid w:val="0"/>
              <w:jc w:val="center"/>
              <w:rPr>
                <w:rFonts w:eastAsia="仿宋_GB2312"/>
                <w:color w:val="000000" w:themeColor="text1"/>
                <w:sz w:val="28"/>
                <w:szCs w:val="28"/>
              </w:rPr>
            </w:pPr>
            <w:r>
              <w:rPr>
                <w:rFonts w:eastAsia="仿宋_GB2312"/>
                <w:color w:val="000000" w:themeColor="text1"/>
                <w:sz w:val="28"/>
                <w:szCs w:val="28"/>
              </w:rPr>
              <w:t>136</w:t>
            </w:r>
          </w:p>
        </w:tc>
      </w:tr>
      <w:tr w14:paraId="3EF3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9" w:type="dxa"/>
            <w:shd w:val="clear" w:color="auto" w:fill="auto"/>
            <w:noWrap/>
            <w:vAlign w:val="center"/>
          </w:tcPr>
          <w:p w14:paraId="49157D38">
            <w:pPr>
              <w:snapToGrid w:val="0"/>
              <w:jc w:val="center"/>
              <w:rPr>
                <w:rFonts w:eastAsia="仿宋_GB2312"/>
                <w:color w:val="000000" w:themeColor="text1"/>
                <w:sz w:val="28"/>
                <w:szCs w:val="28"/>
              </w:rPr>
            </w:pPr>
            <w:r>
              <w:rPr>
                <w:rFonts w:eastAsia="仿宋_GB2312"/>
                <w:color w:val="000000" w:themeColor="text1"/>
                <w:sz w:val="28"/>
                <w:szCs w:val="28"/>
              </w:rPr>
              <w:t>C</w:t>
            </w:r>
          </w:p>
        </w:tc>
        <w:tc>
          <w:tcPr>
            <w:tcW w:w="960" w:type="dxa"/>
            <w:shd w:val="clear" w:color="auto" w:fill="auto"/>
            <w:noWrap/>
            <w:vAlign w:val="center"/>
          </w:tcPr>
          <w:p w14:paraId="099CA43B">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64" w:type="dxa"/>
            <w:shd w:val="clear" w:color="auto" w:fill="auto"/>
            <w:noWrap/>
            <w:vAlign w:val="center"/>
          </w:tcPr>
          <w:p w14:paraId="2DE06375">
            <w:pPr>
              <w:snapToGrid w:val="0"/>
              <w:jc w:val="center"/>
              <w:rPr>
                <w:rFonts w:eastAsia="仿宋_GB2312"/>
                <w:color w:val="000000" w:themeColor="text1"/>
                <w:sz w:val="28"/>
                <w:szCs w:val="28"/>
              </w:rPr>
            </w:pPr>
            <w:r>
              <w:rPr>
                <w:rFonts w:eastAsia="仿宋_GB2312"/>
                <w:color w:val="000000" w:themeColor="text1"/>
                <w:sz w:val="28"/>
                <w:szCs w:val="28"/>
              </w:rPr>
              <w:t>63.86</w:t>
            </w:r>
          </w:p>
        </w:tc>
        <w:tc>
          <w:tcPr>
            <w:tcW w:w="2239" w:type="dxa"/>
            <w:shd w:val="clear" w:color="auto" w:fill="auto"/>
            <w:noWrap/>
            <w:vAlign w:val="center"/>
          </w:tcPr>
          <w:p w14:paraId="2E43D2CA">
            <w:pPr>
              <w:snapToGrid w:val="0"/>
              <w:jc w:val="center"/>
              <w:rPr>
                <w:rFonts w:eastAsia="仿宋_GB2312"/>
                <w:color w:val="000000" w:themeColor="text1"/>
                <w:sz w:val="28"/>
                <w:szCs w:val="28"/>
              </w:rPr>
            </w:pPr>
            <w:r>
              <w:rPr>
                <w:rFonts w:eastAsia="仿宋_GB2312"/>
                <w:color w:val="000000" w:themeColor="text1"/>
                <w:sz w:val="28"/>
                <w:szCs w:val="28"/>
              </w:rPr>
              <w:t>16</w:t>
            </w:r>
          </w:p>
        </w:tc>
        <w:tc>
          <w:tcPr>
            <w:tcW w:w="1521" w:type="dxa"/>
            <w:shd w:val="clear" w:color="auto" w:fill="auto"/>
            <w:noWrap/>
            <w:vAlign w:val="center"/>
          </w:tcPr>
          <w:p w14:paraId="369E6CEC">
            <w:pPr>
              <w:snapToGrid w:val="0"/>
              <w:jc w:val="center"/>
              <w:rPr>
                <w:rFonts w:eastAsia="仿宋_GB2312"/>
                <w:color w:val="000000" w:themeColor="text1"/>
                <w:sz w:val="28"/>
                <w:szCs w:val="28"/>
              </w:rPr>
            </w:pPr>
            <w:r>
              <w:rPr>
                <w:rFonts w:eastAsia="仿宋_GB2312"/>
                <w:color w:val="000000" w:themeColor="text1"/>
                <w:sz w:val="28"/>
                <w:szCs w:val="28"/>
              </w:rPr>
              <w:t>44</w:t>
            </w:r>
          </w:p>
        </w:tc>
        <w:tc>
          <w:tcPr>
            <w:tcW w:w="1882" w:type="dxa"/>
            <w:shd w:val="clear" w:color="auto" w:fill="auto"/>
            <w:noWrap/>
            <w:vAlign w:val="center"/>
          </w:tcPr>
          <w:p w14:paraId="5DBFA6D4">
            <w:pPr>
              <w:snapToGrid w:val="0"/>
              <w:jc w:val="center"/>
              <w:rPr>
                <w:rFonts w:eastAsia="仿宋_GB2312"/>
                <w:color w:val="000000" w:themeColor="text1"/>
                <w:sz w:val="28"/>
                <w:szCs w:val="28"/>
              </w:rPr>
            </w:pPr>
            <w:r>
              <w:rPr>
                <w:rFonts w:eastAsia="仿宋_GB2312"/>
                <w:color w:val="000000" w:themeColor="text1"/>
                <w:sz w:val="28"/>
                <w:szCs w:val="28"/>
              </w:rPr>
              <w:t>200</w:t>
            </w:r>
          </w:p>
        </w:tc>
      </w:tr>
      <w:tr w14:paraId="335B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9" w:type="dxa"/>
            <w:shd w:val="clear" w:color="auto" w:fill="auto"/>
            <w:noWrap/>
            <w:vAlign w:val="center"/>
          </w:tcPr>
          <w:p w14:paraId="517C8AF9">
            <w:pPr>
              <w:snapToGrid w:val="0"/>
              <w:jc w:val="center"/>
              <w:rPr>
                <w:rFonts w:eastAsia="仿宋_GB2312"/>
                <w:color w:val="000000" w:themeColor="text1"/>
                <w:sz w:val="28"/>
                <w:szCs w:val="28"/>
              </w:rPr>
            </w:pPr>
            <w:r>
              <w:rPr>
                <w:rFonts w:eastAsia="仿宋_GB2312"/>
                <w:color w:val="000000" w:themeColor="text1"/>
                <w:sz w:val="28"/>
                <w:szCs w:val="28"/>
              </w:rPr>
              <w:t>D</w:t>
            </w:r>
          </w:p>
        </w:tc>
        <w:tc>
          <w:tcPr>
            <w:tcW w:w="960" w:type="dxa"/>
            <w:shd w:val="clear" w:color="auto" w:fill="auto"/>
            <w:noWrap/>
            <w:vAlign w:val="center"/>
          </w:tcPr>
          <w:p w14:paraId="4D837F98">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64" w:type="dxa"/>
            <w:shd w:val="clear" w:color="auto" w:fill="auto"/>
            <w:noWrap/>
            <w:vAlign w:val="center"/>
          </w:tcPr>
          <w:p w14:paraId="0435D1AF">
            <w:pPr>
              <w:snapToGrid w:val="0"/>
              <w:jc w:val="center"/>
              <w:rPr>
                <w:rFonts w:eastAsia="仿宋_GB2312"/>
                <w:color w:val="000000" w:themeColor="text1"/>
                <w:sz w:val="28"/>
                <w:szCs w:val="28"/>
              </w:rPr>
            </w:pPr>
            <w:r>
              <w:rPr>
                <w:rFonts w:eastAsia="仿宋_GB2312"/>
                <w:color w:val="000000" w:themeColor="text1"/>
                <w:sz w:val="28"/>
                <w:szCs w:val="28"/>
              </w:rPr>
              <w:t>63.63</w:t>
            </w:r>
          </w:p>
        </w:tc>
        <w:tc>
          <w:tcPr>
            <w:tcW w:w="2239" w:type="dxa"/>
            <w:shd w:val="clear" w:color="auto" w:fill="auto"/>
            <w:noWrap/>
            <w:vAlign w:val="center"/>
          </w:tcPr>
          <w:p w14:paraId="475C74D9">
            <w:pPr>
              <w:snapToGrid w:val="0"/>
              <w:jc w:val="center"/>
              <w:rPr>
                <w:rFonts w:eastAsia="仿宋_GB2312"/>
                <w:color w:val="000000" w:themeColor="text1"/>
                <w:sz w:val="28"/>
                <w:szCs w:val="28"/>
              </w:rPr>
            </w:pPr>
            <w:r>
              <w:rPr>
                <w:rFonts w:eastAsia="仿宋_GB2312"/>
                <w:color w:val="000000" w:themeColor="text1"/>
                <w:sz w:val="28"/>
                <w:szCs w:val="28"/>
              </w:rPr>
              <w:t>22.5</w:t>
            </w:r>
          </w:p>
        </w:tc>
        <w:tc>
          <w:tcPr>
            <w:tcW w:w="1521" w:type="dxa"/>
            <w:shd w:val="clear" w:color="auto" w:fill="auto"/>
            <w:noWrap/>
            <w:vAlign w:val="center"/>
          </w:tcPr>
          <w:p w14:paraId="5F56E191">
            <w:pPr>
              <w:snapToGrid w:val="0"/>
              <w:jc w:val="center"/>
              <w:rPr>
                <w:rFonts w:eastAsia="仿宋_GB2312"/>
                <w:color w:val="000000" w:themeColor="text1"/>
                <w:sz w:val="28"/>
                <w:szCs w:val="28"/>
              </w:rPr>
            </w:pPr>
            <w:r>
              <w:rPr>
                <w:rFonts w:eastAsia="仿宋_GB2312"/>
                <w:color w:val="000000" w:themeColor="text1"/>
                <w:sz w:val="28"/>
                <w:szCs w:val="28"/>
              </w:rPr>
              <w:t>33</w:t>
            </w:r>
          </w:p>
        </w:tc>
        <w:tc>
          <w:tcPr>
            <w:tcW w:w="1882" w:type="dxa"/>
            <w:shd w:val="clear" w:color="auto" w:fill="auto"/>
            <w:noWrap/>
            <w:vAlign w:val="center"/>
          </w:tcPr>
          <w:p w14:paraId="56C67213">
            <w:pPr>
              <w:snapToGrid w:val="0"/>
              <w:jc w:val="center"/>
              <w:rPr>
                <w:rFonts w:eastAsia="仿宋_GB2312"/>
                <w:color w:val="000000" w:themeColor="text1"/>
                <w:sz w:val="28"/>
                <w:szCs w:val="28"/>
              </w:rPr>
            </w:pPr>
            <w:r>
              <w:rPr>
                <w:rFonts w:eastAsia="仿宋_GB2312"/>
                <w:color w:val="000000" w:themeColor="text1"/>
                <w:sz w:val="28"/>
                <w:szCs w:val="28"/>
              </w:rPr>
              <w:t>170</w:t>
            </w:r>
          </w:p>
        </w:tc>
      </w:tr>
    </w:tbl>
    <w:p w14:paraId="13AD9B8D">
      <w:pPr>
        <w:pStyle w:val="28"/>
        <w:snapToGrid w:val="0"/>
        <w:spacing w:line="520" w:lineRule="exact"/>
        <w:ind w:firstLine="640"/>
        <w:rPr>
          <w:rFonts w:eastAsia="仿宋_GB2312"/>
          <w:iCs/>
          <w:color w:val="000000" w:themeColor="text1"/>
          <w:sz w:val="32"/>
          <w:szCs w:val="32"/>
        </w:rPr>
      </w:pPr>
    </w:p>
    <w:p w14:paraId="72C4D59B">
      <w:pPr>
        <w:pStyle w:val="28"/>
        <w:snapToGrid w:val="0"/>
        <w:spacing w:line="520" w:lineRule="exact"/>
        <w:ind w:firstLine="0" w:firstLineChars="0"/>
        <w:jc w:val="center"/>
        <w:rPr>
          <w:rFonts w:eastAsia="Heiti SC Medium"/>
          <w:iCs/>
          <w:color w:val="000000" w:themeColor="text1"/>
          <w:sz w:val="32"/>
          <w:szCs w:val="32"/>
        </w:rPr>
      </w:pPr>
      <w:r>
        <w:rPr>
          <w:rFonts w:eastAsia="Heiti SC Medium"/>
          <w:iCs/>
          <w:color w:val="000000" w:themeColor="text1"/>
          <w:sz w:val="32"/>
          <w:szCs w:val="32"/>
        </w:rPr>
        <w:t>表6. 3.0T MR设备分析的示例</w:t>
      </w:r>
    </w:p>
    <w:tbl>
      <w:tblPr>
        <w:tblStyle w:val="16"/>
        <w:tblW w:w="54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958"/>
        <w:gridCol w:w="1557"/>
        <w:gridCol w:w="2227"/>
        <w:gridCol w:w="1514"/>
        <w:gridCol w:w="1874"/>
      </w:tblGrid>
      <w:tr w14:paraId="4C3C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6" w:type="dxa"/>
            <w:shd w:val="clear" w:color="auto" w:fill="auto"/>
            <w:vAlign w:val="center"/>
          </w:tcPr>
          <w:p w14:paraId="5AD20446">
            <w:pPr>
              <w:snapToGrid w:val="0"/>
              <w:jc w:val="center"/>
              <w:rPr>
                <w:rFonts w:eastAsia="仿宋_GB2312"/>
                <w:color w:val="000000" w:themeColor="text1"/>
                <w:sz w:val="28"/>
                <w:szCs w:val="28"/>
              </w:rPr>
            </w:pPr>
            <w:r>
              <w:rPr>
                <w:rFonts w:eastAsia="仿宋_GB2312"/>
                <w:color w:val="000000" w:themeColor="text1"/>
                <w:sz w:val="28"/>
                <w:szCs w:val="28"/>
              </w:rPr>
              <w:t>生产商</w:t>
            </w:r>
          </w:p>
        </w:tc>
        <w:tc>
          <w:tcPr>
            <w:tcW w:w="933" w:type="dxa"/>
            <w:shd w:val="clear" w:color="auto" w:fill="auto"/>
            <w:vAlign w:val="center"/>
          </w:tcPr>
          <w:p w14:paraId="78BB31C0">
            <w:pPr>
              <w:snapToGrid w:val="0"/>
              <w:jc w:val="center"/>
              <w:rPr>
                <w:rFonts w:eastAsia="仿宋_GB2312"/>
                <w:color w:val="000000" w:themeColor="text1"/>
                <w:sz w:val="28"/>
                <w:szCs w:val="28"/>
              </w:rPr>
            </w:pPr>
            <w:r>
              <w:rPr>
                <w:rFonts w:eastAsia="仿宋_GB2312"/>
                <w:color w:val="000000" w:themeColor="text1"/>
                <w:sz w:val="28"/>
                <w:szCs w:val="28"/>
              </w:rPr>
              <w:t>型号</w:t>
            </w:r>
          </w:p>
        </w:tc>
        <w:tc>
          <w:tcPr>
            <w:tcW w:w="1516" w:type="dxa"/>
            <w:shd w:val="clear" w:color="auto" w:fill="auto"/>
            <w:vAlign w:val="center"/>
          </w:tcPr>
          <w:p w14:paraId="6A1210A8">
            <w:pPr>
              <w:snapToGrid w:val="0"/>
              <w:rPr>
                <w:rFonts w:eastAsia="仿宋_GB2312"/>
                <w:color w:val="000000" w:themeColor="text1"/>
                <w:sz w:val="28"/>
                <w:szCs w:val="28"/>
              </w:rPr>
            </w:pPr>
            <w:r>
              <w:rPr>
                <w:rFonts w:eastAsia="仿宋_GB2312"/>
                <w:color w:val="000000" w:themeColor="text1"/>
                <w:sz w:val="28"/>
                <w:szCs w:val="28"/>
              </w:rPr>
              <w:t>中心频率</w:t>
            </w:r>
          </w:p>
          <w:p w14:paraId="71811A08">
            <w:pPr>
              <w:snapToGrid w:val="0"/>
              <w:jc w:val="center"/>
              <w:rPr>
                <w:rFonts w:eastAsia="仿宋_GB2312"/>
                <w:color w:val="000000" w:themeColor="text1"/>
                <w:sz w:val="28"/>
                <w:szCs w:val="28"/>
              </w:rPr>
            </w:pPr>
            <w:r>
              <w:rPr>
                <w:rFonts w:eastAsia="仿宋_GB2312"/>
                <w:color w:val="000000" w:themeColor="text1"/>
                <w:sz w:val="28"/>
                <w:szCs w:val="28"/>
              </w:rPr>
              <w:t>MHz</w:t>
            </w:r>
          </w:p>
        </w:tc>
        <w:tc>
          <w:tcPr>
            <w:tcW w:w="2168" w:type="dxa"/>
            <w:shd w:val="clear" w:color="auto" w:fill="auto"/>
            <w:vAlign w:val="center"/>
          </w:tcPr>
          <w:p w14:paraId="32ACF125">
            <w:pPr>
              <w:snapToGrid w:val="0"/>
              <w:jc w:val="center"/>
              <w:rPr>
                <w:rFonts w:eastAsia="仿宋_GB2312"/>
                <w:color w:val="000000" w:themeColor="text1"/>
                <w:sz w:val="28"/>
                <w:szCs w:val="28"/>
              </w:rPr>
            </w:pPr>
            <w:r>
              <w:rPr>
                <w:rFonts w:eastAsia="仿宋_GB2312"/>
                <w:color w:val="000000" w:themeColor="text1"/>
                <w:sz w:val="28"/>
                <w:szCs w:val="28"/>
              </w:rPr>
              <w:t>射频峰值功率</w:t>
            </w:r>
          </w:p>
          <w:p w14:paraId="3241268C">
            <w:pPr>
              <w:snapToGrid w:val="0"/>
              <w:jc w:val="center"/>
              <w:rPr>
                <w:rFonts w:eastAsia="仿宋_GB2312"/>
                <w:color w:val="000000" w:themeColor="text1"/>
                <w:sz w:val="28"/>
                <w:szCs w:val="28"/>
              </w:rPr>
            </w:pPr>
            <w:r>
              <w:rPr>
                <w:rFonts w:eastAsia="仿宋_GB2312"/>
                <w:color w:val="000000" w:themeColor="text1"/>
                <w:sz w:val="28"/>
                <w:szCs w:val="28"/>
              </w:rPr>
              <w:t>kW</w:t>
            </w:r>
          </w:p>
        </w:tc>
        <w:tc>
          <w:tcPr>
            <w:tcW w:w="1474" w:type="dxa"/>
            <w:shd w:val="clear" w:color="auto" w:fill="auto"/>
            <w:vAlign w:val="center"/>
          </w:tcPr>
          <w:p w14:paraId="319F4A9C">
            <w:pPr>
              <w:snapToGrid w:val="0"/>
              <w:jc w:val="center"/>
              <w:rPr>
                <w:rFonts w:eastAsia="仿宋_GB2312"/>
                <w:color w:val="000000" w:themeColor="text1"/>
                <w:sz w:val="28"/>
                <w:szCs w:val="28"/>
              </w:rPr>
            </w:pPr>
            <w:r>
              <w:rPr>
                <w:rFonts w:eastAsia="仿宋_GB2312"/>
                <w:color w:val="000000" w:themeColor="text1"/>
                <w:sz w:val="28"/>
                <w:szCs w:val="28"/>
              </w:rPr>
              <w:t>梯度幅值</w:t>
            </w:r>
          </w:p>
          <w:p w14:paraId="0B7F5B46">
            <w:pPr>
              <w:snapToGrid w:val="0"/>
              <w:jc w:val="center"/>
              <w:rPr>
                <w:rFonts w:eastAsia="仿宋_GB2312"/>
                <w:color w:val="000000" w:themeColor="text1"/>
                <w:sz w:val="28"/>
                <w:szCs w:val="28"/>
              </w:rPr>
            </w:pPr>
            <w:r>
              <w:rPr>
                <w:rFonts w:eastAsia="仿宋_GB2312"/>
                <w:color w:val="000000" w:themeColor="text1"/>
                <w:sz w:val="28"/>
                <w:szCs w:val="28"/>
              </w:rPr>
              <w:t>mT/m</w:t>
            </w:r>
          </w:p>
        </w:tc>
        <w:tc>
          <w:tcPr>
            <w:tcW w:w="1824" w:type="dxa"/>
            <w:shd w:val="clear" w:color="auto" w:fill="auto"/>
            <w:vAlign w:val="center"/>
          </w:tcPr>
          <w:p w14:paraId="1E3F003A">
            <w:pPr>
              <w:snapToGrid w:val="0"/>
              <w:jc w:val="center"/>
              <w:rPr>
                <w:rFonts w:eastAsia="仿宋_GB2312"/>
                <w:color w:val="000000" w:themeColor="text1"/>
                <w:sz w:val="28"/>
                <w:szCs w:val="28"/>
              </w:rPr>
            </w:pPr>
            <w:r>
              <w:rPr>
                <w:rFonts w:eastAsia="仿宋_GB2312"/>
                <w:color w:val="000000" w:themeColor="text1"/>
                <w:sz w:val="28"/>
                <w:szCs w:val="28"/>
              </w:rPr>
              <w:t>梯度切换率</w:t>
            </w:r>
          </w:p>
          <w:p w14:paraId="605A58C2">
            <w:pPr>
              <w:snapToGrid w:val="0"/>
              <w:jc w:val="center"/>
              <w:rPr>
                <w:rFonts w:eastAsia="仿宋_GB2312"/>
                <w:color w:val="000000" w:themeColor="text1"/>
                <w:sz w:val="28"/>
                <w:szCs w:val="28"/>
              </w:rPr>
            </w:pPr>
            <w:r>
              <w:rPr>
                <w:rFonts w:eastAsia="仿宋_GB2312"/>
                <w:color w:val="000000" w:themeColor="text1"/>
                <w:sz w:val="28"/>
                <w:szCs w:val="28"/>
              </w:rPr>
              <w:t>T/m/s</w:t>
            </w:r>
          </w:p>
        </w:tc>
      </w:tr>
      <w:tr w14:paraId="28C3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6" w:type="dxa"/>
            <w:shd w:val="clear" w:color="auto" w:fill="auto"/>
            <w:noWrap/>
            <w:vAlign w:val="center"/>
          </w:tcPr>
          <w:p w14:paraId="615705A8">
            <w:pPr>
              <w:snapToGrid w:val="0"/>
              <w:jc w:val="center"/>
              <w:rPr>
                <w:rFonts w:eastAsia="仿宋_GB2312"/>
                <w:color w:val="000000" w:themeColor="text1"/>
                <w:sz w:val="28"/>
                <w:szCs w:val="28"/>
              </w:rPr>
            </w:pPr>
            <w:r>
              <w:rPr>
                <w:rFonts w:eastAsia="仿宋_GB2312"/>
                <w:color w:val="000000" w:themeColor="text1"/>
                <w:sz w:val="28"/>
                <w:szCs w:val="28"/>
              </w:rPr>
              <w:t>A</w:t>
            </w:r>
          </w:p>
        </w:tc>
        <w:tc>
          <w:tcPr>
            <w:tcW w:w="933" w:type="dxa"/>
            <w:shd w:val="clear" w:color="auto" w:fill="auto"/>
            <w:noWrap/>
            <w:vAlign w:val="center"/>
          </w:tcPr>
          <w:p w14:paraId="18229FAC">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16" w:type="dxa"/>
            <w:shd w:val="clear" w:color="auto" w:fill="auto"/>
            <w:noWrap/>
            <w:vAlign w:val="center"/>
          </w:tcPr>
          <w:p w14:paraId="7D50563A">
            <w:pPr>
              <w:snapToGrid w:val="0"/>
              <w:jc w:val="center"/>
              <w:rPr>
                <w:rFonts w:eastAsia="仿宋_GB2312"/>
                <w:color w:val="000000" w:themeColor="text1"/>
                <w:sz w:val="28"/>
                <w:szCs w:val="28"/>
              </w:rPr>
            </w:pPr>
            <w:r>
              <w:rPr>
                <w:rFonts w:eastAsia="仿宋_GB2312"/>
                <w:color w:val="000000" w:themeColor="text1"/>
                <w:sz w:val="28"/>
                <w:szCs w:val="28"/>
              </w:rPr>
              <w:t>128.23</w:t>
            </w:r>
          </w:p>
        </w:tc>
        <w:tc>
          <w:tcPr>
            <w:tcW w:w="2168" w:type="dxa"/>
            <w:shd w:val="clear" w:color="auto" w:fill="auto"/>
            <w:noWrap/>
            <w:vAlign w:val="center"/>
          </w:tcPr>
          <w:p w14:paraId="6F4ADB06">
            <w:pPr>
              <w:snapToGrid w:val="0"/>
              <w:jc w:val="center"/>
              <w:rPr>
                <w:rFonts w:eastAsia="仿宋_GB2312"/>
                <w:color w:val="000000" w:themeColor="text1"/>
                <w:sz w:val="28"/>
                <w:szCs w:val="28"/>
              </w:rPr>
            </w:pPr>
            <w:r>
              <w:rPr>
                <w:rFonts w:eastAsia="仿宋_GB2312"/>
                <w:color w:val="000000" w:themeColor="text1"/>
                <w:sz w:val="28"/>
                <w:szCs w:val="28"/>
              </w:rPr>
              <w:t>2</w:t>
            </w:r>
            <w:r>
              <w:rPr>
                <w:rFonts w:hint="eastAsia" w:eastAsia="仿宋_GB2312"/>
                <w:color w:val="000000" w:themeColor="text1"/>
                <w:sz w:val="28"/>
                <w:szCs w:val="28"/>
                <w:lang w:val="en-US" w:eastAsia="zh-CN"/>
              </w:rPr>
              <w:t>×</w:t>
            </w:r>
            <w:r>
              <w:rPr>
                <w:rFonts w:eastAsia="仿宋_GB2312"/>
                <w:color w:val="000000" w:themeColor="text1"/>
                <w:sz w:val="28"/>
                <w:szCs w:val="28"/>
              </w:rPr>
              <w:t>18 (36)</w:t>
            </w:r>
          </w:p>
        </w:tc>
        <w:tc>
          <w:tcPr>
            <w:tcW w:w="1474" w:type="dxa"/>
            <w:shd w:val="clear" w:color="auto" w:fill="auto"/>
            <w:noWrap/>
            <w:vAlign w:val="center"/>
          </w:tcPr>
          <w:p w14:paraId="28526C4D">
            <w:pPr>
              <w:snapToGrid w:val="0"/>
              <w:jc w:val="center"/>
              <w:rPr>
                <w:rFonts w:eastAsia="仿宋_GB2312"/>
                <w:color w:val="000000" w:themeColor="text1"/>
                <w:sz w:val="28"/>
                <w:szCs w:val="28"/>
              </w:rPr>
            </w:pPr>
            <w:r>
              <w:rPr>
                <w:rFonts w:eastAsia="仿宋_GB2312"/>
                <w:color w:val="000000" w:themeColor="text1"/>
                <w:sz w:val="28"/>
                <w:szCs w:val="28"/>
              </w:rPr>
              <w:t>42</w:t>
            </w:r>
          </w:p>
        </w:tc>
        <w:tc>
          <w:tcPr>
            <w:tcW w:w="1824" w:type="dxa"/>
            <w:shd w:val="clear" w:color="auto" w:fill="auto"/>
            <w:noWrap/>
            <w:vAlign w:val="center"/>
          </w:tcPr>
          <w:p w14:paraId="70D806ED">
            <w:pPr>
              <w:snapToGrid w:val="0"/>
              <w:jc w:val="center"/>
              <w:rPr>
                <w:rFonts w:eastAsia="仿宋_GB2312"/>
                <w:color w:val="000000" w:themeColor="text1"/>
                <w:sz w:val="28"/>
                <w:szCs w:val="28"/>
              </w:rPr>
            </w:pPr>
            <w:r>
              <w:rPr>
                <w:rFonts w:eastAsia="仿宋_GB2312"/>
                <w:color w:val="000000" w:themeColor="text1"/>
                <w:sz w:val="28"/>
                <w:szCs w:val="28"/>
              </w:rPr>
              <w:t>220</w:t>
            </w:r>
          </w:p>
        </w:tc>
      </w:tr>
      <w:tr w14:paraId="167A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6" w:type="dxa"/>
            <w:shd w:val="clear" w:color="auto" w:fill="auto"/>
            <w:noWrap/>
            <w:vAlign w:val="center"/>
          </w:tcPr>
          <w:p w14:paraId="13C77751">
            <w:pPr>
              <w:snapToGrid w:val="0"/>
              <w:jc w:val="center"/>
              <w:rPr>
                <w:rFonts w:eastAsia="仿宋_GB2312"/>
                <w:color w:val="000000" w:themeColor="text1"/>
                <w:sz w:val="28"/>
                <w:szCs w:val="28"/>
              </w:rPr>
            </w:pPr>
            <w:r>
              <w:rPr>
                <w:rFonts w:eastAsia="仿宋_GB2312"/>
                <w:color w:val="000000" w:themeColor="text1"/>
                <w:sz w:val="28"/>
                <w:szCs w:val="28"/>
              </w:rPr>
              <w:t>B</w:t>
            </w:r>
          </w:p>
        </w:tc>
        <w:tc>
          <w:tcPr>
            <w:tcW w:w="933" w:type="dxa"/>
            <w:shd w:val="clear" w:color="auto" w:fill="auto"/>
            <w:noWrap/>
            <w:vAlign w:val="center"/>
          </w:tcPr>
          <w:p w14:paraId="5BB0A0C6">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16" w:type="dxa"/>
            <w:shd w:val="clear" w:color="auto" w:fill="auto"/>
            <w:noWrap/>
            <w:vAlign w:val="center"/>
          </w:tcPr>
          <w:p w14:paraId="567DB22A">
            <w:pPr>
              <w:snapToGrid w:val="0"/>
              <w:jc w:val="center"/>
              <w:rPr>
                <w:rFonts w:eastAsia="仿宋_GB2312"/>
                <w:color w:val="000000" w:themeColor="text1"/>
                <w:sz w:val="28"/>
                <w:szCs w:val="28"/>
              </w:rPr>
            </w:pPr>
            <w:r>
              <w:rPr>
                <w:rFonts w:eastAsia="仿宋_GB2312"/>
                <w:color w:val="000000" w:themeColor="text1"/>
                <w:sz w:val="28"/>
                <w:szCs w:val="28"/>
              </w:rPr>
              <w:t>127.72</w:t>
            </w:r>
          </w:p>
        </w:tc>
        <w:tc>
          <w:tcPr>
            <w:tcW w:w="2168" w:type="dxa"/>
            <w:shd w:val="clear" w:color="auto" w:fill="auto"/>
            <w:noWrap/>
            <w:vAlign w:val="center"/>
          </w:tcPr>
          <w:p w14:paraId="4410D7B8">
            <w:pPr>
              <w:snapToGrid w:val="0"/>
              <w:jc w:val="center"/>
              <w:rPr>
                <w:rFonts w:eastAsia="仿宋_GB2312"/>
                <w:color w:val="000000" w:themeColor="text1"/>
                <w:sz w:val="28"/>
                <w:szCs w:val="28"/>
              </w:rPr>
            </w:pPr>
            <w:r>
              <w:rPr>
                <w:rFonts w:eastAsia="仿宋_GB2312"/>
                <w:color w:val="000000" w:themeColor="text1"/>
                <w:sz w:val="28"/>
                <w:szCs w:val="28"/>
              </w:rPr>
              <w:t>35</w:t>
            </w:r>
          </w:p>
        </w:tc>
        <w:tc>
          <w:tcPr>
            <w:tcW w:w="1474" w:type="dxa"/>
            <w:shd w:val="clear" w:color="auto" w:fill="auto"/>
            <w:noWrap/>
            <w:vAlign w:val="center"/>
          </w:tcPr>
          <w:p w14:paraId="413FA709">
            <w:pPr>
              <w:snapToGrid w:val="0"/>
              <w:jc w:val="center"/>
              <w:rPr>
                <w:rFonts w:eastAsia="仿宋_GB2312"/>
                <w:color w:val="000000" w:themeColor="text1"/>
                <w:sz w:val="28"/>
                <w:szCs w:val="28"/>
              </w:rPr>
            </w:pPr>
            <w:r>
              <w:rPr>
                <w:rFonts w:eastAsia="仿宋_GB2312"/>
                <w:color w:val="000000" w:themeColor="text1"/>
                <w:sz w:val="28"/>
                <w:szCs w:val="28"/>
              </w:rPr>
              <w:t>39</w:t>
            </w:r>
          </w:p>
        </w:tc>
        <w:tc>
          <w:tcPr>
            <w:tcW w:w="1824" w:type="dxa"/>
            <w:shd w:val="clear" w:color="auto" w:fill="auto"/>
            <w:noWrap/>
            <w:vAlign w:val="center"/>
          </w:tcPr>
          <w:p w14:paraId="76F7B5A7">
            <w:pPr>
              <w:snapToGrid w:val="0"/>
              <w:jc w:val="center"/>
              <w:rPr>
                <w:rFonts w:eastAsia="仿宋_GB2312"/>
                <w:color w:val="000000" w:themeColor="text1"/>
                <w:sz w:val="28"/>
                <w:szCs w:val="28"/>
              </w:rPr>
            </w:pPr>
            <w:r>
              <w:rPr>
                <w:rFonts w:eastAsia="仿宋_GB2312"/>
                <w:color w:val="000000" w:themeColor="text1"/>
                <w:sz w:val="28"/>
                <w:szCs w:val="28"/>
              </w:rPr>
              <w:t>150</w:t>
            </w:r>
          </w:p>
        </w:tc>
      </w:tr>
      <w:tr w14:paraId="586A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6" w:type="dxa"/>
            <w:shd w:val="clear" w:color="auto" w:fill="auto"/>
            <w:noWrap/>
            <w:vAlign w:val="center"/>
          </w:tcPr>
          <w:p w14:paraId="7B40C7E2">
            <w:pPr>
              <w:snapToGrid w:val="0"/>
              <w:jc w:val="center"/>
              <w:rPr>
                <w:rFonts w:eastAsia="仿宋_GB2312"/>
                <w:color w:val="000000" w:themeColor="text1"/>
                <w:sz w:val="28"/>
                <w:szCs w:val="28"/>
              </w:rPr>
            </w:pPr>
            <w:r>
              <w:rPr>
                <w:rFonts w:eastAsia="仿宋_GB2312"/>
                <w:color w:val="000000" w:themeColor="text1"/>
                <w:sz w:val="28"/>
                <w:szCs w:val="28"/>
              </w:rPr>
              <w:t>C</w:t>
            </w:r>
          </w:p>
        </w:tc>
        <w:tc>
          <w:tcPr>
            <w:tcW w:w="933" w:type="dxa"/>
            <w:shd w:val="clear" w:color="auto" w:fill="auto"/>
            <w:noWrap/>
            <w:vAlign w:val="center"/>
          </w:tcPr>
          <w:p w14:paraId="1AED0D56">
            <w:pPr>
              <w:snapToGrid w:val="0"/>
              <w:jc w:val="center"/>
              <w:rPr>
                <w:rFonts w:eastAsia="仿宋_GB2312"/>
                <w:color w:val="000000" w:themeColor="text1"/>
                <w:sz w:val="28"/>
                <w:szCs w:val="28"/>
              </w:rPr>
            </w:pPr>
            <w:r>
              <w:rPr>
                <w:rFonts w:eastAsia="仿宋_GB2312"/>
                <w:color w:val="000000" w:themeColor="text1"/>
                <w:sz w:val="28"/>
                <w:szCs w:val="28"/>
              </w:rPr>
              <w:t>X</w:t>
            </w:r>
          </w:p>
        </w:tc>
        <w:tc>
          <w:tcPr>
            <w:tcW w:w="1516" w:type="dxa"/>
            <w:shd w:val="clear" w:color="auto" w:fill="auto"/>
            <w:noWrap/>
            <w:vAlign w:val="center"/>
          </w:tcPr>
          <w:p w14:paraId="2CA50D9F">
            <w:pPr>
              <w:snapToGrid w:val="0"/>
              <w:jc w:val="center"/>
              <w:rPr>
                <w:rFonts w:eastAsia="仿宋_GB2312"/>
                <w:color w:val="000000" w:themeColor="text1"/>
                <w:sz w:val="28"/>
                <w:szCs w:val="28"/>
              </w:rPr>
            </w:pPr>
            <w:r>
              <w:rPr>
                <w:rFonts w:eastAsia="仿宋_GB2312"/>
                <w:color w:val="000000" w:themeColor="text1"/>
                <w:sz w:val="28"/>
                <w:szCs w:val="28"/>
              </w:rPr>
              <w:t>123.1</w:t>
            </w:r>
          </w:p>
        </w:tc>
        <w:tc>
          <w:tcPr>
            <w:tcW w:w="2168" w:type="dxa"/>
            <w:shd w:val="clear" w:color="auto" w:fill="auto"/>
            <w:noWrap/>
            <w:vAlign w:val="center"/>
          </w:tcPr>
          <w:p w14:paraId="1E2AA72F">
            <w:pPr>
              <w:snapToGrid w:val="0"/>
              <w:jc w:val="center"/>
              <w:rPr>
                <w:rFonts w:eastAsia="仿宋_GB2312"/>
                <w:color w:val="000000" w:themeColor="text1"/>
                <w:sz w:val="28"/>
                <w:szCs w:val="28"/>
              </w:rPr>
            </w:pPr>
            <w:r>
              <w:rPr>
                <w:rFonts w:eastAsia="仿宋_GB2312"/>
                <w:color w:val="000000" w:themeColor="text1"/>
                <w:sz w:val="28"/>
                <w:szCs w:val="28"/>
              </w:rPr>
              <w:t>40</w:t>
            </w:r>
          </w:p>
        </w:tc>
        <w:tc>
          <w:tcPr>
            <w:tcW w:w="1474" w:type="dxa"/>
            <w:shd w:val="clear" w:color="auto" w:fill="auto"/>
            <w:noWrap/>
            <w:vAlign w:val="center"/>
          </w:tcPr>
          <w:p w14:paraId="3518D7B3">
            <w:pPr>
              <w:snapToGrid w:val="0"/>
              <w:jc w:val="center"/>
              <w:rPr>
                <w:rFonts w:eastAsia="仿宋_GB2312"/>
                <w:color w:val="000000" w:themeColor="text1"/>
                <w:sz w:val="28"/>
                <w:szCs w:val="28"/>
              </w:rPr>
            </w:pPr>
            <w:r>
              <w:rPr>
                <w:rFonts w:eastAsia="仿宋_GB2312"/>
                <w:color w:val="000000" w:themeColor="text1"/>
                <w:sz w:val="28"/>
                <w:szCs w:val="28"/>
              </w:rPr>
              <w:t>45</w:t>
            </w:r>
          </w:p>
        </w:tc>
        <w:tc>
          <w:tcPr>
            <w:tcW w:w="1824" w:type="dxa"/>
            <w:shd w:val="clear" w:color="auto" w:fill="auto"/>
            <w:noWrap/>
            <w:vAlign w:val="center"/>
          </w:tcPr>
          <w:p w14:paraId="29ADB067">
            <w:pPr>
              <w:snapToGrid w:val="0"/>
              <w:jc w:val="center"/>
              <w:rPr>
                <w:rFonts w:eastAsia="仿宋_GB2312"/>
                <w:color w:val="000000" w:themeColor="text1"/>
                <w:sz w:val="28"/>
                <w:szCs w:val="28"/>
              </w:rPr>
            </w:pPr>
            <w:r>
              <w:rPr>
                <w:rFonts w:eastAsia="仿宋_GB2312"/>
                <w:color w:val="000000" w:themeColor="text1"/>
                <w:sz w:val="28"/>
                <w:szCs w:val="28"/>
              </w:rPr>
              <w:t>200</w:t>
            </w:r>
          </w:p>
        </w:tc>
      </w:tr>
    </w:tbl>
    <w:p w14:paraId="082D9884">
      <w:pPr>
        <w:widowControl/>
        <w:snapToGrid w:val="0"/>
        <w:spacing w:line="520" w:lineRule="exact"/>
        <w:jc w:val="left"/>
        <w:rPr>
          <w:rFonts w:eastAsia="仿宋_GB2312"/>
          <w:color w:val="000000" w:themeColor="text1"/>
          <w:sz w:val="32"/>
          <w:szCs w:val="32"/>
        </w:rPr>
      </w:pPr>
    </w:p>
    <w:p w14:paraId="4C26775B">
      <w:pPr>
        <w:widowControl/>
        <w:snapToGrid w:val="0"/>
        <w:spacing w:line="520" w:lineRule="exact"/>
        <w:ind w:firstLine="640" w:firstLineChars="200"/>
        <w:jc w:val="left"/>
        <w:rPr>
          <w:rFonts w:eastAsia="仿宋_GB2312"/>
          <w:color w:val="000000" w:themeColor="text1"/>
          <w:sz w:val="32"/>
          <w:szCs w:val="32"/>
        </w:rPr>
      </w:pPr>
      <w:r>
        <w:rPr>
          <w:rFonts w:eastAsia="仿宋_GB2312"/>
          <w:color w:val="000000" w:themeColor="text1"/>
          <w:sz w:val="32"/>
          <w:szCs w:val="32"/>
        </w:rPr>
        <w:t>（3）测试项目</w:t>
      </w:r>
    </w:p>
    <w:p w14:paraId="09FB12B8">
      <w:pPr>
        <w:pStyle w:val="28"/>
        <w:widowControl/>
        <w:numPr>
          <w:ilvl w:val="0"/>
          <w:numId w:val="25"/>
        </w:numPr>
        <w:snapToGrid w:val="0"/>
        <w:spacing w:line="520" w:lineRule="exact"/>
        <w:ind w:firstLineChars="0"/>
        <w:jc w:val="left"/>
        <w:rPr>
          <w:rFonts w:eastAsia="仿宋_GB2312"/>
          <w:color w:val="000000" w:themeColor="text1"/>
          <w:sz w:val="32"/>
          <w:szCs w:val="32"/>
        </w:rPr>
      </w:pPr>
      <w:r>
        <w:rPr>
          <w:rFonts w:eastAsia="仿宋_GB2312"/>
          <w:color w:val="000000" w:themeColor="text1"/>
          <w:sz w:val="32"/>
          <w:szCs w:val="32"/>
        </w:rPr>
        <w:t>伪影和信噪比</w:t>
      </w:r>
    </w:p>
    <w:p w14:paraId="3165AF17">
      <w:pPr>
        <w:widowControl/>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 xml:space="preserve">申报产品选取的测试频率范围：3.0T，127.250MHz </w:t>
      </w:r>
      <w:r>
        <w:rPr>
          <w:rFonts w:hint="eastAsia" w:eastAsia="微软雅黑"/>
          <w:color w:val="000000" w:themeColor="text1"/>
          <w:sz w:val="32"/>
          <w:szCs w:val="32"/>
          <w:lang w:eastAsia="zh-CN"/>
        </w:rPr>
        <w:t>-</w:t>
      </w:r>
      <w:r>
        <w:rPr>
          <w:rFonts w:eastAsia="仿宋_GB2312"/>
          <w:color w:val="000000" w:themeColor="text1"/>
          <w:sz w:val="32"/>
          <w:szCs w:val="32"/>
        </w:rPr>
        <w:t xml:space="preserve"> 128.255MHz；1.5T，63.375MHz </w:t>
      </w:r>
      <w:r>
        <w:rPr>
          <w:rFonts w:hint="eastAsia" w:eastAsia="微软雅黑"/>
          <w:color w:val="000000" w:themeColor="text1"/>
          <w:sz w:val="32"/>
          <w:szCs w:val="32"/>
          <w:lang w:eastAsia="zh-CN"/>
        </w:rPr>
        <w:t>-</w:t>
      </w:r>
      <w:r>
        <w:rPr>
          <w:rFonts w:eastAsia="仿宋_GB2312"/>
          <w:color w:val="000000" w:themeColor="text1"/>
          <w:sz w:val="32"/>
          <w:szCs w:val="32"/>
        </w:rPr>
        <w:t xml:space="preserve"> 64.38M</w:t>
      </w:r>
      <w:r>
        <w:rPr>
          <w:rFonts w:hint="eastAsia" w:eastAsia="仿宋_GB2312"/>
          <w:color w:val="000000" w:themeColor="text1"/>
          <w:sz w:val="32"/>
          <w:szCs w:val="32"/>
          <w:lang w:val="en-US" w:eastAsia="zh-CN"/>
        </w:rPr>
        <w:t>H</w:t>
      </w:r>
      <w:r>
        <w:rPr>
          <w:rFonts w:eastAsia="仿宋_GB2312"/>
          <w:color w:val="000000" w:themeColor="text1"/>
          <w:sz w:val="32"/>
          <w:szCs w:val="32"/>
        </w:rPr>
        <w:t>z，可以覆盖常规MR设备中心频率。</w:t>
      </w:r>
    </w:p>
    <w:p w14:paraId="226658E3">
      <w:pPr>
        <w:pStyle w:val="28"/>
        <w:widowControl/>
        <w:numPr>
          <w:ilvl w:val="0"/>
          <w:numId w:val="25"/>
        </w:numPr>
        <w:snapToGrid w:val="0"/>
        <w:spacing w:line="520" w:lineRule="exact"/>
        <w:ind w:firstLineChars="0"/>
        <w:jc w:val="left"/>
        <w:rPr>
          <w:rFonts w:eastAsia="仿宋_GB2312"/>
          <w:color w:val="000000" w:themeColor="text1"/>
          <w:sz w:val="32"/>
          <w:szCs w:val="32"/>
        </w:rPr>
      </w:pPr>
      <w:r>
        <w:rPr>
          <w:rFonts w:eastAsia="仿宋_GB2312"/>
          <w:color w:val="000000" w:themeColor="text1"/>
          <w:sz w:val="32"/>
          <w:szCs w:val="32"/>
        </w:rPr>
        <w:t>射频影响</w:t>
      </w:r>
    </w:p>
    <w:p w14:paraId="5E233EB3">
      <w:pPr>
        <w:widowControl/>
        <w:snapToGrid w:val="0"/>
        <w:spacing w:line="520" w:lineRule="exact"/>
        <w:ind w:firstLine="640" w:firstLineChars="200"/>
        <w:jc w:val="left"/>
        <w:rPr>
          <w:rFonts w:eastAsia="仿宋_GB2312"/>
          <w:color w:val="000000" w:themeColor="text1"/>
          <w:sz w:val="32"/>
          <w:szCs w:val="32"/>
        </w:rPr>
      </w:pPr>
      <w:r>
        <w:rPr>
          <w:rFonts w:eastAsia="仿宋_GB2312"/>
          <w:color w:val="000000" w:themeColor="text1"/>
          <w:sz w:val="32"/>
          <w:szCs w:val="32"/>
        </w:rPr>
        <w:t>对比常规MR设备，测试用MR设备具有更高的RF输出功率。</w:t>
      </w:r>
    </w:p>
    <w:p w14:paraId="4A77BB5D">
      <w:pPr>
        <w:pStyle w:val="28"/>
        <w:widowControl/>
        <w:numPr>
          <w:ilvl w:val="0"/>
          <w:numId w:val="25"/>
        </w:numPr>
        <w:snapToGrid w:val="0"/>
        <w:spacing w:line="520" w:lineRule="exact"/>
        <w:ind w:firstLineChars="0"/>
        <w:jc w:val="left"/>
        <w:rPr>
          <w:rFonts w:eastAsia="仿宋_GB2312"/>
          <w:color w:val="000000" w:themeColor="text1"/>
          <w:sz w:val="32"/>
          <w:szCs w:val="32"/>
        </w:rPr>
      </w:pPr>
      <w:r>
        <w:rPr>
          <w:rFonts w:eastAsia="仿宋_GB2312"/>
          <w:color w:val="000000" w:themeColor="text1"/>
          <w:sz w:val="32"/>
          <w:szCs w:val="32"/>
        </w:rPr>
        <w:t>梯度影响</w:t>
      </w:r>
    </w:p>
    <w:p w14:paraId="23B0D97E">
      <w:pPr>
        <w:widowControl/>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测试用MR设备具有相同或更高的最大梯度强度和更高的转换率。</w:t>
      </w:r>
    </w:p>
    <w:p w14:paraId="323FBE71">
      <w:pPr>
        <w:widowControl/>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综上，测试结果可以证明申报产品符合中国临床实际。</w:t>
      </w:r>
    </w:p>
    <w:p w14:paraId="28FD9FA5">
      <w:pPr>
        <w:numPr>
          <w:ilvl w:val="1"/>
          <w:numId w:val="23"/>
        </w:numPr>
        <w:overflowPunct w:val="0"/>
        <w:autoSpaceDE w:val="0"/>
        <w:autoSpaceDN w:val="0"/>
        <w:snapToGrid w:val="0"/>
        <w:spacing w:line="520" w:lineRule="exact"/>
        <w:ind w:firstLine="640" w:firstLineChars="200"/>
        <w:jc w:val="left"/>
        <w:outlineLvl w:val="4"/>
        <w:rPr>
          <w:rFonts w:eastAsia="仿宋_GB2312"/>
          <w:color w:val="000000" w:themeColor="text1"/>
          <w:sz w:val="32"/>
          <w:szCs w:val="32"/>
        </w:rPr>
      </w:pPr>
      <w:r>
        <w:rPr>
          <w:rFonts w:eastAsia="仿宋_GB2312"/>
          <w:color w:val="000000" w:themeColor="text1"/>
          <w:sz w:val="32"/>
          <w:szCs w:val="32"/>
        </w:rPr>
        <w:t>特殊的磁共振环境安全产品设计</w:t>
      </w:r>
    </w:p>
    <w:p w14:paraId="2E13B04F">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若申报产品针对MR环境风险，采用特殊的产品设计措施，需进行必要的说明。</w:t>
      </w:r>
    </w:p>
    <w:p w14:paraId="6A9C110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植入式电极导线预期在MR环境中使用，沿导线体采用外屏蔽层，以及较高阻抗的芯线，允许射频能量沿着电极导线整个长度耗散，避免仅在电极或头端耗散。类似设计有利于降低电极导线的电极位置的发热，而电极位置通常是较为敏感的治疗目标区域。</w:t>
      </w:r>
    </w:p>
    <w:p w14:paraId="67A398DD">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例如：脑电采集设备采用磁共振噪声去除的软件技术，以改善脑电信号波形质量。</w:t>
      </w:r>
    </w:p>
    <w:p w14:paraId="423AC1E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一般情况，若有源医疗器械预期在MR环境中使用，通常会在产品整机、部件等不同层级采用额外的电磁屏蔽设计。</w:t>
      </w:r>
    </w:p>
    <w:p w14:paraId="384C01A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需提供采用特殊产品设计前/后的对比验证资料，例如：热量分布对比图，电极热量对比数据。</w:t>
      </w:r>
    </w:p>
    <w:p w14:paraId="3F214A72">
      <w:pPr>
        <w:numPr>
          <w:ilvl w:val="1"/>
          <w:numId w:val="23"/>
        </w:numPr>
        <w:overflowPunct w:val="0"/>
        <w:autoSpaceDE w:val="0"/>
        <w:autoSpaceDN w:val="0"/>
        <w:snapToGrid w:val="0"/>
        <w:spacing w:line="520" w:lineRule="exact"/>
        <w:ind w:firstLine="640" w:firstLineChars="200"/>
        <w:jc w:val="left"/>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产品</w:t>
      </w:r>
      <w:r>
        <w:rPr>
          <w:rFonts w:eastAsia="仿宋_GB2312"/>
          <w:color w:val="000000" w:themeColor="text1"/>
          <w:sz w:val="32"/>
          <w:szCs w:val="32"/>
        </w:rPr>
        <w:t>部件和材料</w:t>
      </w:r>
    </w:p>
    <w:p w14:paraId="08221D53">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需描述产品部件、选件、附件的主要功能、工作原理和相互关系。需提供部件工程图示和真实照片，若某一部件存在不同规格，需说明相似性和差异性，提供必要的实物图、拆解图、剖视图等支持性资料。</w:t>
      </w:r>
    </w:p>
    <w:p w14:paraId="37FE6317">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需列表详述产品部件的材料信息</w:t>
      </w:r>
      <w:r>
        <w:rPr>
          <w:rFonts w:eastAsia="仿宋_GB2312"/>
          <w:color w:val="000000" w:themeColor="text1"/>
          <w:sz w:val="32"/>
          <w:szCs w:val="32"/>
        </w:rPr>
        <w:t>，提供磁性材料的定量分析数据，例如：磁性材料占比</w:t>
      </w:r>
      <w:r>
        <w:rPr>
          <w:rFonts w:eastAsia="仿宋_GB2312"/>
          <w:snapToGrid w:val="0"/>
          <w:color w:val="000000" w:themeColor="text1"/>
          <w:kern w:val="0"/>
          <w:sz w:val="32"/>
          <w:szCs w:val="32"/>
        </w:rPr>
        <w:t>。若所用材料已用于中国境内获得批准在MR环境中使用的产品，需提供相关上市信息。</w:t>
      </w:r>
    </w:p>
    <w:p w14:paraId="4C30E015">
      <w:pPr>
        <w:numPr>
          <w:ilvl w:val="1"/>
          <w:numId w:val="23"/>
        </w:numPr>
        <w:overflowPunct w:val="0"/>
        <w:autoSpaceDE w:val="0"/>
        <w:autoSpaceDN w:val="0"/>
        <w:snapToGrid w:val="0"/>
        <w:spacing w:line="520" w:lineRule="exact"/>
        <w:ind w:firstLine="640" w:firstLineChars="200"/>
        <w:jc w:val="left"/>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产品功能</w:t>
      </w:r>
    </w:p>
    <w:p w14:paraId="61B7C281">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申报产品在MR环境中可能不会使用其正常功能，或部分保留产品功能。若适用，需说明MR环境中具备的产品功能。例如：植入式心脏起搏器可能仅保留固定起搏功能，而禁用传感功能、无线通信功能等。</w:t>
      </w:r>
    </w:p>
    <w:p w14:paraId="2037C338">
      <w:pPr>
        <w:numPr>
          <w:ilvl w:val="1"/>
          <w:numId w:val="23"/>
        </w:numPr>
        <w:overflowPunct w:val="0"/>
        <w:autoSpaceDE w:val="0"/>
        <w:autoSpaceDN w:val="0"/>
        <w:snapToGrid w:val="0"/>
        <w:spacing w:line="520" w:lineRule="exact"/>
        <w:ind w:firstLine="640" w:firstLineChars="200"/>
        <w:jc w:val="left"/>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运行模式</w:t>
      </w:r>
    </w:p>
    <w:p w14:paraId="1EF991F1">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若适用，需说明在MR环境下的产品运行模式，以及该模式的控制方式。</w:t>
      </w:r>
    </w:p>
    <w:p w14:paraId="0334CE1F">
      <w:pPr>
        <w:numPr>
          <w:ilvl w:val="1"/>
          <w:numId w:val="23"/>
        </w:numPr>
        <w:overflowPunct w:val="0"/>
        <w:autoSpaceDE w:val="0"/>
        <w:autoSpaceDN w:val="0"/>
        <w:snapToGrid w:val="0"/>
        <w:spacing w:line="520" w:lineRule="exact"/>
        <w:ind w:firstLine="640" w:firstLineChars="200"/>
        <w:jc w:val="left"/>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产品接口和联合使用（若适用）</w:t>
      </w:r>
    </w:p>
    <w:p w14:paraId="5CA668F2">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若MR环境下，申报产品预期与除MR设备之外的其他产品联合使用，两者存在机械、电气、通信连接关系，需提供产品接口设计说明，以及联合使用产品的详细信息。</w:t>
      </w:r>
    </w:p>
    <w:p w14:paraId="77BBF992">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color w:val="000000" w:themeColor="text1"/>
          <w:sz w:val="32"/>
          <w:szCs w:val="32"/>
        </w:rPr>
        <w:t>例如：电极导线应说明配套使用的脉冲发生器，并声明仅完整系统可以视为MR条件安全。</w:t>
      </w:r>
    </w:p>
    <w:p w14:paraId="0D1038E5">
      <w:pPr>
        <w:numPr>
          <w:ilvl w:val="0"/>
          <w:numId w:val="26"/>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联合使用器械</w:t>
      </w:r>
    </w:p>
    <w:p w14:paraId="25C6E5CE">
      <w:pPr>
        <w:overflowPunct w:val="0"/>
        <w:autoSpaceDE w:val="0"/>
        <w:autoSpaceDN w:val="0"/>
        <w:snapToGrid w:val="0"/>
        <w:spacing w:line="520" w:lineRule="exact"/>
        <w:ind w:firstLine="640" w:firstLineChars="200"/>
        <w:jc w:val="left"/>
        <w:rPr>
          <w:rFonts w:eastAsia="仿宋_GB2312"/>
          <w:snapToGrid w:val="0"/>
          <w:color w:val="000000" w:themeColor="text1"/>
          <w:kern w:val="0"/>
          <w:sz w:val="32"/>
          <w:szCs w:val="32"/>
        </w:rPr>
      </w:pPr>
      <w:r>
        <w:rPr>
          <w:rFonts w:eastAsia="仿宋_GB2312"/>
          <w:snapToGrid w:val="0"/>
          <w:color w:val="000000" w:themeColor="text1"/>
          <w:kern w:val="0"/>
          <w:sz w:val="32"/>
          <w:szCs w:val="32"/>
        </w:rPr>
        <w:t>需说明联用器械的类型、型号、上市信息等。若申报产品可通过专用接口支持第三方辅助设备，需具体说明第三方辅助设备的产品型号、上市信息、器械联用的集成测试报告等。</w:t>
      </w:r>
    </w:p>
    <w:p w14:paraId="4C5BB7FE">
      <w:pPr>
        <w:numPr>
          <w:ilvl w:val="0"/>
          <w:numId w:val="26"/>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连接方式</w:t>
      </w:r>
    </w:p>
    <w:p w14:paraId="5562F345">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需说明产品接口信息，例如：</w:t>
      </w:r>
    </w:p>
    <w:p w14:paraId="01E4976B">
      <w:pPr>
        <w:pStyle w:val="28"/>
        <w:numPr>
          <w:ilvl w:val="0"/>
          <w:numId w:val="27"/>
        </w:numPr>
        <w:snapToGrid w:val="0"/>
        <w:spacing w:line="520" w:lineRule="exact"/>
        <w:ind w:firstLineChars="0"/>
        <w:rPr>
          <w:rFonts w:eastAsia="仿宋_GB2312"/>
          <w:snapToGrid w:val="0"/>
          <w:color w:val="000000" w:themeColor="text1"/>
          <w:kern w:val="0"/>
          <w:sz w:val="32"/>
          <w:szCs w:val="32"/>
        </w:rPr>
      </w:pPr>
      <w:r>
        <w:rPr>
          <w:rFonts w:eastAsia="仿宋_GB2312"/>
          <w:snapToGrid w:val="0"/>
          <w:color w:val="000000" w:themeColor="text1"/>
          <w:kern w:val="0"/>
          <w:sz w:val="32"/>
          <w:szCs w:val="32"/>
        </w:rPr>
        <w:t>接口类型，例如：标准接口、专用接口、无线连接等；</w:t>
      </w:r>
    </w:p>
    <w:p w14:paraId="0A3A85B8">
      <w:pPr>
        <w:pStyle w:val="28"/>
        <w:numPr>
          <w:ilvl w:val="0"/>
          <w:numId w:val="27"/>
        </w:numPr>
        <w:snapToGrid w:val="0"/>
        <w:spacing w:line="520" w:lineRule="exact"/>
        <w:ind w:firstLineChars="0"/>
        <w:rPr>
          <w:rFonts w:eastAsia="仿宋_GB2312"/>
          <w:snapToGrid w:val="0"/>
          <w:color w:val="000000" w:themeColor="text1"/>
          <w:kern w:val="0"/>
          <w:sz w:val="32"/>
          <w:szCs w:val="32"/>
        </w:rPr>
      </w:pPr>
      <w:r>
        <w:rPr>
          <w:rFonts w:eastAsia="仿宋_GB2312"/>
          <w:snapToGrid w:val="0"/>
          <w:color w:val="000000" w:themeColor="text1"/>
          <w:kern w:val="0"/>
          <w:sz w:val="32"/>
          <w:szCs w:val="32"/>
        </w:rPr>
        <w:t>接口功能，例如：信号控制、数据交换等；</w:t>
      </w:r>
    </w:p>
    <w:p w14:paraId="557B3162">
      <w:pPr>
        <w:pStyle w:val="28"/>
        <w:numPr>
          <w:ilvl w:val="0"/>
          <w:numId w:val="27"/>
        </w:numPr>
        <w:snapToGrid w:val="0"/>
        <w:spacing w:line="520" w:lineRule="exact"/>
        <w:ind w:firstLineChars="0"/>
        <w:rPr>
          <w:rFonts w:eastAsia="仿宋_GB2312"/>
          <w:color w:val="000000" w:themeColor="text1"/>
          <w:sz w:val="32"/>
          <w:szCs w:val="32"/>
        </w:rPr>
      </w:pPr>
      <w:r>
        <w:rPr>
          <w:rFonts w:eastAsia="仿宋_GB2312"/>
          <w:snapToGrid w:val="0"/>
          <w:color w:val="000000" w:themeColor="text1"/>
          <w:kern w:val="0"/>
          <w:sz w:val="32"/>
          <w:szCs w:val="32"/>
        </w:rPr>
        <w:t>是否为联合使用设备提供电源。</w:t>
      </w:r>
    </w:p>
    <w:p w14:paraId="7EFB1CB4">
      <w:pPr>
        <w:numPr>
          <w:ilvl w:val="1"/>
          <w:numId w:val="23"/>
        </w:numPr>
        <w:overflowPunct w:val="0"/>
        <w:autoSpaceDE w:val="0"/>
        <w:autoSpaceDN w:val="0"/>
        <w:snapToGrid w:val="0"/>
        <w:spacing w:line="520" w:lineRule="exact"/>
        <w:ind w:firstLine="640" w:firstLineChars="200"/>
        <w:jc w:val="left"/>
        <w:outlineLvl w:val="4"/>
        <w:rPr>
          <w:rFonts w:eastAsia="仿宋_GB2312"/>
          <w:color w:val="000000" w:themeColor="text1"/>
          <w:sz w:val="32"/>
          <w:szCs w:val="32"/>
        </w:rPr>
      </w:pPr>
      <w:r>
        <w:rPr>
          <w:rFonts w:eastAsia="仿宋_GB2312"/>
          <w:color w:val="000000" w:themeColor="text1"/>
          <w:sz w:val="32"/>
          <w:szCs w:val="32"/>
        </w:rPr>
        <w:t>与其他</w:t>
      </w:r>
      <w:r>
        <w:rPr>
          <w:rFonts w:eastAsia="仿宋_GB2312"/>
          <w:snapToGrid w:val="0"/>
          <w:color w:val="000000" w:themeColor="text1"/>
          <w:kern w:val="0"/>
          <w:sz w:val="32"/>
          <w:szCs w:val="32"/>
        </w:rPr>
        <w:t>医疗</w:t>
      </w:r>
      <w:r>
        <w:rPr>
          <w:rFonts w:eastAsia="仿宋_GB2312"/>
          <w:color w:val="000000" w:themeColor="text1"/>
          <w:sz w:val="32"/>
          <w:szCs w:val="32"/>
        </w:rPr>
        <w:t>器械在MR环境中共存的情况</w:t>
      </w:r>
    </w:p>
    <w:p w14:paraId="4A25A52B">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若适用，需说明申报产品预期位置的特定距离范围内，是否允许其他器械等存在。</w:t>
      </w:r>
    </w:p>
    <w:p w14:paraId="081395FA">
      <w:pPr>
        <w:numPr>
          <w:ilvl w:val="1"/>
          <w:numId w:val="23"/>
        </w:numPr>
        <w:overflowPunct w:val="0"/>
        <w:autoSpaceDE w:val="0"/>
        <w:autoSpaceDN w:val="0"/>
        <w:snapToGrid w:val="0"/>
        <w:spacing w:line="520" w:lineRule="exact"/>
        <w:ind w:firstLine="640" w:firstLineChars="200"/>
        <w:jc w:val="left"/>
        <w:outlineLvl w:val="4"/>
        <w:rPr>
          <w:rFonts w:eastAsia="仿宋_GB2312"/>
          <w:color w:val="000000" w:themeColor="text1"/>
          <w:sz w:val="32"/>
          <w:szCs w:val="32"/>
        </w:rPr>
      </w:pPr>
      <w:r>
        <w:rPr>
          <w:rFonts w:eastAsia="仿宋_GB2312"/>
          <w:color w:val="000000" w:themeColor="text1"/>
          <w:sz w:val="32"/>
          <w:szCs w:val="32"/>
        </w:rPr>
        <w:t>网络安全问题</w:t>
      </w:r>
    </w:p>
    <w:p w14:paraId="286AC717">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磁共振环境下使用，不应发生网络安全相关风险，例如：医疗器械在MR环境下不应损害患者隐私保护的相关规定。</w:t>
      </w:r>
    </w:p>
    <w:p w14:paraId="45E2A5F8">
      <w:pPr>
        <w:numPr>
          <w:ilvl w:val="0"/>
          <w:numId w:val="22"/>
        </w:numPr>
        <w:overflowPunct w:val="0"/>
        <w:autoSpaceDE w:val="0"/>
        <w:autoSpaceDN w:val="0"/>
        <w:snapToGrid w:val="0"/>
        <w:spacing w:line="520" w:lineRule="exact"/>
        <w:ind w:left="0" w:firstLine="640" w:firstLineChars="200"/>
        <w:jc w:val="left"/>
        <w:outlineLvl w:val="3"/>
        <w:rPr>
          <w:rFonts w:eastAsia="仿宋_GB2312"/>
          <w:color w:val="000000" w:themeColor="text1"/>
          <w:sz w:val="32"/>
          <w:szCs w:val="32"/>
        </w:rPr>
      </w:pPr>
      <w:r>
        <w:rPr>
          <w:rFonts w:eastAsia="仿宋_GB2312"/>
          <w:color w:val="000000" w:themeColor="text1"/>
          <w:sz w:val="32"/>
          <w:szCs w:val="32"/>
        </w:rPr>
        <w:t>风险管理</w:t>
      </w:r>
    </w:p>
    <w:p w14:paraId="15CAE16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关于MR环境风险，申请人应依据产品MR环境安全等级，提供针对性的风险管理分析报告和总结报告，确保全部剩余风险均可接受。</w:t>
      </w:r>
    </w:p>
    <w:p w14:paraId="2A1FC88D">
      <w:pPr>
        <w:numPr>
          <w:ilvl w:val="0"/>
          <w:numId w:val="22"/>
        </w:numPr>
        <w:overflowPunct w:val="0"/>
        <w:autoSpaceDE w:val="0"/>
        <w:autoSpaceDN w:val="0"/>
        <w:snapToGrid w:val="0"/>
        <w:spacing w:line="520" w:lineRule="exact"/>
        <w:ind w:left="0" w:firstLine="640" w:firstLineChars="200"/>
        <w:jc w:val="left"/>
        <w:outlineLvl w:val="3"/>
        <w:rPr>
          <w:rFonts w:eastAsia="仿宋_GB2312"/>
          <w:color w:val="000000" w:themeColor="text1"/>
          <w:sz w:val="32"/>
          <w:szCs w:val="32"/>
        </w:rPr>
      </w:pPr>
      <w:r>
        <w:rPr>
          <w:rFonts w:eastAsia="仿宋_GB2312"/>
          <w:color w:val="000000" w:themeColor="text1"/>
          <w:sz w:val="32"/>
          <w:szCs w:val="32"/>
        </w:rPr>
        <w:t>验证与确认</w:t>
      </w:r>
    </w:p>
    <w:p w14:paraId="1B01A774">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需提供磁共振环境安全测试计划和测试报告，证明申报产品在MR环境中的安全性和有效性均已符合要求。需同时提供MR环境安全的可追溯性分析报告，即追溯磁共振环境安全需求规范、设计规范、测试验证、风险管理的关系表。</w:t>
      </w:r>
    </w:p>
    <w:p w14:paraId="20329083">
      <w:pPr>
        <w:pStyle w:val="28"/>
        <w:numPr>
          <w:ilvl w:val="0"/>
          <w:numId w:val="21"/>
        </w:numPr>
        <w:snapToGrid w:val="0"/>
        <w:spacing w:line="520" w:lineRule="exact"/>
        <w:ind w:left="0" w:firstLine="640"/>
        <w:outlineLvl w:val="2"/>
        <w:rPr>
          <w:rFonts w:eastAsia="仿宋_GB2312"/>
          <w:color w:val="000000" w:themeColor="text1"/>
          <w:sz w:val="32"/>
          <w:szCs w:val="32"/>
        </w:rPr>
      </w:pPr>
      <w:r>
        <w:rPr>
          <w:rFonts w:eastAsia="楷体_GB2312"/>
          <w:color w:val="000000" w:themeColor="text1"/>
          <w:sz w:val="32"/>
          <w:szCs w:val="32"/>
        </w:rPr>
        <w:t>测试报告</w:t>
      </w:r>
    </w:p>
    <w:p w14:paraId="3C24B463">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申请人提供的检测报告是磁共振环境安全评价研究报告的重要组成部分，需按照本指导原则要求，提供专项测试报告和测试总结报告。</w:t>
      </w:r>
    </w:p>
    <w:p w14:paraId="7898914C">
      <w:pPr>
        <w:numPr>
          <w:ilvl w:val="0"/>
          <w:numId w:val="28"/>
        </w:numPr>
        <w:overflowPunct w:val="0"/>
        <w:autoSpaceDE w:val="0"/>
        <w:autoSpaceDN w:val="0"/>
        <w:snapToGrid w:val="0"/>
        <w:spacing w:line="520" w:lineRule="exact"/>
        <w:ind w:left="0" w:firstLine="640" w:firstLineChars="200"/>
        <w:jc w:val="left"/>
        <w:outlineLvl w:val="3"/>
        <w:rPr>
          <w:rFonts w:eastAsia="仿宋_GB2312"/>
          <w:color w:val="000000" w:themeColor="text1"/>
          <w:sz w:val="32"/>
          <w:szCs w:val="32"/>
        </w:rPr>
      </w:pPr>
      <w:r>
        <w:rPr>
          <w:rFonts w:eastAsia="仿宋_GB2312"/>
          <w:color w:val="000000" w:themeColor="text1"/>
          <w:sz w:val="32"/>
          <w:szCs w:val="32"/>
        </w:rPr>
        <w:t>专项测试报告</w:t>
      </w:r>
    </w:p>
    <w:p w14:paraId="5310191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针对单项MR环境风险，申请人需开展科学分析、仿真建模、台架测试等工作，并形成测试报告。所有</w:t>
      </w:r>
      <w:r>
        <w:rPr>
          <w:rFonts w:hint="eastAsia" w:eastAsia="仿宋_GB2312"/>
          <w:color w:val="000000" w:themeColor="text1"/>
          <w:sz w:val="32"/>
          <w:szCs w:val="32"/>
          <w:lang w:val="en-US" w:eastAsia="zh-CN"/>
        </w:rPr>
        <w:t>型号规格/</w:t>
      </w:r>
      <w:r>
        <w:rPr>
          <w:rFonts w:eastAsia="仿宋_GB2312"/>
          <w:color w:val="000000" w:themeColor="text1"/>
          <w:sz w:val="32"/>
          <w:szCs w:val="32"/>
        </w:rPr>
        <w:t>尺寸</w:t>
      </w:r>
      <w:r>
        <w:rPr>
          <w:rFonts w:hint="eastAsia" w:eastAsia="仿宋_GB2312"/>
          <w:color w:val="000000" w:themeColor="text1"/>
          <w:sz w:val="32"/>
          <w:szCs w:val="32"/>
          <w:lang w:val="en-US" w:eastAsia="zh-CN"/>
        </w:rPr>
        <w:t>的</w:t>
      </w:r>
      <w:r>
        <w:rPr>
          <w:rFonts w:eastAsia="仿宋_GB2312"/>
          <w:color w:val="000000" w:themeColor="text1"/>
          <w:sz w:val="32"/>
          <w:szCs w:val="32"/>
        </w:rPr>
        <w:t>器械在每项试验</w:t>
      </w:r>
      <w:r>
        <w:rPr>
          <w:rFonts w:hint="eastAsia" w:eastAsia="仿宋_GB2312"/>
          <w:color w:val="000000" w:themeColor="text1"/>
          <w:sz w:val="32"/>
          <w:szCs w:val="32"/>
          <w:lang w:val="en-US" w:eastAsia="zh-CN"/>
        </w:rPr>
        <w:t>中</w:t>
      </w:r>
      <w:r>
        <w:rPr>
          <w:rFonts w:eastAsia="仿宋_GB2312"/>
          <w:color w:val="000000" w:themeColor="text1"/>
          <w:sz w:val="32"/>
          <w:szCs w:val="32"/>
        </w:rPr>
        <w:t>均需选取代表最恶劣的情形的产品配置进行测试。测试报告需提供以下信息：</w:t>
      </w:r>
    </w:p>
    <w:p w14:paraId="0D730285">
      <w:pPr>
        <w:numPr>
          <w:ilvl w:val="0"/>
          <w:numId w:val="29"/>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测试目的</w:t>
      </w:r>
    </w:p>
    <w:p w14:paraId="73E7B153">
      <w:pPr>
        <w:overflowPunct w:val="0"/>
        <w:autoSpaceDE w:val="0"/>
        <w:autoSpaceDN w:val="0"/>
        <w:snapToGrid w:val="0"/>
        <w:spacing w:line="520" w:lineRule="exact"/>
        <w:ind w:left="640"/>
        <w:outlineLvl w:val="5"/>
        <w:rPr>
          <w:rFonts w:eastAsia="仿宋_GB2312"/>
          <w:color w:val="000000" w:themeColor="text1"/>
          <w:sz w:val="32"/>
          <w:szCs w:val="32"/>
        </w:rPr>
      </w:pPr>
      <w:r>
        <w:rPr>
          <w:rFonts w:eastAsia="仿宋_GB2312"/>
          <w:color w:val="000000" w:themeColor="text1"/>
          <w:sz w:val="32"/>
          <w:szCs w:val="32"/>
        </w:rPr>
        <w:t>测试针对MR环境风险。</w:t>
      </w:r>
    </w:p>
    <w:p w14:paraId="19C8349F">
      <w:pPr>
        <w:numPr>
          <w:ilvl w:val="0"/>
          <w:numId w:val="29"/>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测试设备</w:t>
      </w:r>
    </w:p>
    <w:p w14:paraId="4AA6805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申请人应详述测试用设备和测试模体等必要信息，提供测试过程关键环节的真实照片。</w:t>
      </w:r>
    </w:p>
    <w:p w14:paraId="5C88F5D8">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复合场测试使用的磁共振成像设备，应说明设备类型、场强、系统软件版本、设备型号、制造商。</w:t>
      </w:r>
    </w:p>
    <w:p w14:paraId="1F924F7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测试用的工具软件，应描述工具软件的名称、型号规格、完整版本、供应商、运行环境要求。例如：应说明电磁场仿真工具，包括SPEAG、SEMCAD等。</w:t>
      </w:r>
    </w:p>
    <w:p w14:paraId="40267CF1">
      <w:pPr>
        <w:numPr>
          <w:ilvl w:val="0"/>
          <w:numId w:val="29"/>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测试结果（若适用）</w:t>
      </w:r>
    </w:p>
    <w:p w14:paraId="700B0C2D">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参考相关标准的推荐方法进行测试时，测试报告应按标准要求说明测试结果。</w:t>
      </w:r>
    </w:p>
    <w:p w14:paraId="1245107F">
      <w:pPr>
        <w:numPr>
          <w:ilvl w:val="0"/>
          <w:numId w:val="29"/>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建模仿真（若适用）</w:t>
      </w:r>
    </w:p>
    <w:p w14:paraId="01D777CC">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关于计算机建模仿真测试，报告应符合计算机建模研究报告的要求（附录）。建模软件应参考软件指导原则，说明体系结构图、硬件拓扑图、开发人员、开发历史、核心算法等必要说明。</w:t>
      </w:r>
    </w:p>
    <w:p w14:paraId="2A9EB21B">
      <w:pPr>
        <w:numPr>
          <w:ilvl w:val="0"/>
          <w:numId w:val="29"/>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测试样本量</w:t>
      </w:r>
    </w:p>
    <w:p w14:paraId="67D9482C">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需提供统计学分析，说明测试样本量和重复测试次数的确定过程。</w:t>
      </w:r>
    </w:p>
    <w:p w14:paraId="6A5ABD65">
      <w:pPr>
        <w:numPr>
          <w:ilvl w:val="0"/>
          <w:numId w:val="28"/>
        </w:numPr>
        <w:overflowPunct w:val="0"/>
        <w:autoSpaceDE w:val="0"/>
        <w:autoSpaceDN w:val="0"/>
        <w:snapToGrid w:val="0"/>
        <w:spacing w:line="520" w:lineRule="exact"/>
        <w:ind w:left="0" w:firstLine="640" w:firstLineChars="200"/>
        <w:jc w:val="left"/>
        <w:outlineLvl w:val="3"/>
        <w:rPr>
          <w:rFonts w:eastAsia="仿宋_GB2312"/>
          <w:color w:val="000000" w:themeColor="text1"/>
          <w:sz w:val="32"/>
          <w:szCs w:val="32"/>
        </w:rPr>
      </w:pPr>
      <w:r>
        <w:rPr>
          <w:rFonts w:eastAsia="仿宋_GB2312"/>
          <w:color w:val="000000" w:themeColor="text1"/>
          <w:sz w:val="32"/>
          <w:szCs w:val="32"/>
        </w:rPr>
        <w:t>测试总结</w:t>
      </w:r>
    </w:p>
    <w:p w14:paraId="06DF8ECA">
      <w:pPr>
        <w:pStyle w:val="28"/>
        <w:snapToGrid w:val="0"/>
        <w:spacing w:line="520" w:lineRule="exact"/>
        <w:ind w:firstLine="640"/>
        <w:rPr>
          <w:rFonts w:eastAsia="仿宋_GB2312"/>
          <w:color w:val="000000" w:themeColor="text1"/>
          <w:sz w:val="32"/>
          <w:szCs w:val="32"/>
        </w:rPr>
      </w:pPr>
      <w:r>
        <w:rPr>
          <w:rFonts w:eastAsia="仿宋_GB2312"/>
          <w:color w:val="000000" w:themeColor="text1"/>
          <w:sz w:val="32"/>
          <w:szCs w:val="32"/>
        </w:rPr>
        <w:t>在提交全部专项测试报告的基础上，需进一步进行测试情况和测试结果的总结分析，并提交测试总结报告，以表格形式列出全部测试结果，明确给出产品MR环境安全评价的符合性结论。</w:t>
      </w:r>
    </w:p>
    <w:p w14:paraId="4240B96A">
      <w:pPr>
        <w:snapToGrid w:val="0"/>
        <w:spacing w:line="520" w:lineRule="exact"/>
        <w:jc w:val="center"/>
        <w:rPr>
          <w:rFonts w:eastAsia="Heiti SC Medium"/>
          <w:color w:val="000000" w:themeColor="text1"/>
          <w:sz w:val="32"/>
          <w:szCs w:val="32"/>
        </w:rPr>
      </w:pPr>
      <w:r>
        <w:rPr>
          <w:rFonts w:eastAsia="Heiti SC Medium"/>
          <w:color w:val="000000" w:themeColor="text1"/>
          <w:sz w:val="32"/>
          <w:szCs w:val="36"/>
        </w:rPr>
        <w:t>表7. 测试结果汇总表</w:t>
      </w:r>
    </w:p>
    <w:tbl>
      <w:tblPr>
        <w:tblStyle w:val="16"/>
        <w:tblW w:w="50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09"/>
        <w:gridCol w:w="1006"/>
        <w:gridCol w:w="1364"/>
        <w:gridCol w:w="1133"/>
        <w:gridCol w:w="2329"/>
        <w:gridCol w:w="1784"/>
      </w:tblGrid>
      <w:tr w14:paraId="424A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5" w:type="pct"/>
            <w:shd w:val="clear" w:color="auto" w:fill="auto"/>
            <w:tcMar>
              <w:left w:w="85" w:type="dxa"/>
              <w:right w:w="85" w:type="dxa"/>
            </w:tcMar>
            <w:vAlign w:val="center"/>
          </w:tcPr>
          <w:p w14:paraId="55620D29">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危害</w:t>
            </w:r>
          </w:p>
          <w:p w14:paraId="5DD46C97">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类型</w:t>
            </w:r>
          </w:p>
        </w:tc>
        <w:tc>
          <w:tcPr>
            <w:tcW w:w="583" w:type="pct"/>
            <w:shd w:val="clear" w:color="auto" w:fill="auto"/>
            <w:tcMar>
              <w:left w:w="85" w:type="dxa"/>
              <w:right w:w="85" w:type="dxa"/>
            </w:tcMar>
            <w:vAlign w:val="center"/>
          </w:tcPr>
          <w:p w14:paraId="2E005651">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测试</w:t>
            </w:r>
          </w:p>
          <w:p w14:paraId="0738A4F0">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方法</w:t>
            </w:r>
          </w:p>
        </w:tc>
        <w:tc>
          <w:tcPr>
            <w:tcW w:w="791" w:type="pct"/>
            <w:shd w:val="clear" w:color="auto" w:fill="auto"/>
            <w:tcMar>
              <w:left w:w="85" w:type="dxa"/>
              <w:right w:w="85" w:type="dxa"/>
            </w:tcMar>
            <w:vAlign w:val="center"/>
          </w:tcPr>
          <w:p w14:paraId="30D8168A">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验收标准和依据</w:t>
            </w:r>
          </w:p>
        </w:tc>
        <w:tc>
          <w:tcPr>
            <w:tcW w:w="657" w:type="pct"/>
            <w:shd w:val="clear" w:color="auto" w:fill="auto"/>
            <w:tcMar>
              <w:left w:w="85" w:type="dxa"/>
              <w:right w:w="85" w:type="dxa"/>
            </w:tcMar>
            <w:vAlign w:val="center"/>
          </w:tcPr>
          <w:p w14:paraId="12FB4EFB">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试验产品配置</w:t>
            </w:r>
          </w:p>
        </w:tc>
        <w:tc>
          <w:tcPr>
            <w:tcW w:w="1350" w:type="pct"/>
            <w:shd w:val="clear" w:color="auto" w:fill="auto"/>
            <w:tcMar>
              <w:left w:w="85" w:type="dxa"/>
              <w:right w:w="85" w:type="dxa"/>
            </w:tcMar>
            <w:vAlign w:val="center"/>
          </w:tcPr>
          <w:p w14:paraId="5F7196AF">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测试结果</w:t>
            </w:r>
          </w:p>
        </w:tc>
        <w:tc>
          <w:tcPr>
            <w:tcW w:w="1034" w:type="pct"/>
            <w:shd w:val="clear" w:color="auto" w:fill="auto"/>
            <w:tcMar>
              <w:left w:w="85" w:type="dxa"/>
              <w:right w:w="85" w:type="dxa"/>
            </w:tcMar>
            <w:vAlign w:val="center"/>
          </w:tcPr>
          <w:p w14:paraId="3E2FABE0">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注册资料的章节索引</w:t>
            </w:r>
          </w:p>
        </w:tc>
      </w:tr>
      <w:tr w14:paraId="7FF5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5" w:type="pct"/>
            <w:shd w:val="clear" w:color="auto" w:fill="auto"/>
            <w:tcMar>
              <w:left w:w="85" w:type="dxa"/>
              <w:right w:w="85" w:type="dxa"/>
            </w:tcMar>
          </w:tcPr>
          <w:p w14:paraId="536353D8">
            <w:pPr>
              <w:snapToGrid w:val="0"/>
              <w:spacing w:line="520" w:lineRule="exact"/>
              <w:rPr>
                <w:rFonts w:eastAsia="仿宋_GB2312"/>
                <w:color w:val="000000" w:themeColor="text1"/>
                <w:sz w:val="28"/>
                <w:szCs w:val="32"/>
              </w:rPr>
            </w:pPr>
            <w:r>
              <w:rPr>
                <w:rFonts w:eastAsia="仿宋_GB2312"/>
                <w:color w:val="000000" w:themeColor="text1"/>
                <w:sz w:val="28"/>
                <w:szCs w:val="32"/>
              </w:rPr>
              <w:t>危害1</w:t>
            </w:r>
          </w:p>
        </w:tc>
        <w:tc>
          <w:tcPr>
            <w:tcW w:w="583" w:type="pct"/>
            <w:shd w:val="clear" w:color="auto" w:fill="auto"/>
            <w:tcMar>
              <w:left w:w="85" w:type="dxa"/>
              <w:right w:w="85" w:type="dxa"/>
            </w:tcMar>
          </w:tcPr>
          <w:p w14:paraId="67CFDACF">
            <w:pPr>
              <w:snapToGrid w:val="0"/>
              <w:spacing w:line="520" w:lineRule="exact"/>
              <w:rPr>
                <w:rFonts w:eastAsia="仿宋_GB2312"/>
                <w:color w:val="000000" w:themeColor="text1"/>
                <w:sz w:val="28"/>
                <w:szCs w:val="32"/>
              </w:rPr>
            </w:pPr>
            <w:r>
              <w:rPr>
                <w:rFonts w:eastAsia="仿宋_GB2312"/>
                <w:color w:val="000000" w:themeColor="text1"/>
                <w:sz w:val="28"/>
                <w:szCs w:val="32"/>
              </w:rPr>
              <w:t>方法1</w:t>
            </w:r>
          </w:p>
        </w:tc>
        <w:tc>
          <w:tcPr>
            <w:tcW w:w="791" w:type="pct"/>
            <w:shd w:val="clear" w:color="auto" w:fill="auto"/>
            <w:tcMar>
              <w:left w:w="85" w:type="dxa"/>
              <w:right w:w="85" w:type="dxa"/>
            </w:tcMar>
          </w:tcPr>
          <w:p w14:paraId="6F1DE180">
            <w:pPr>
              <w:snapToGrid w:val="0"/>
              <w:spacing w:line="520" w:lineRule="exact"/>
              <w:rPr>
                <w:rFonts w:eastAsia="仿宋_GB2312"/>
                <w:color w:val="000000" w:themeColor="text1"/>
                <w:sz w:val="28"/>
                <w:szCs w:val="32"/>
              </w:rPr>
            </w:pPr>
          </w:p>
        </w:tc>
        <w:tc>
          <w:tcPr>
            <w:tcW w:w="657" w:type="pct"/>
            <w:shd w:val="clear" w:color="auto" w:fill="auto"/>
            <w:tcMar>
              <w:left w:w="85" w:type="dxa"/>
              <w:right w:w="85" w:type="dxa"/>
            </w:tcMar>
          </w:tcPr>
          <w:p w14:paraId="4C9993A7">
            <w:pPr>
              <w:snapToGrid w:val="0"/>
              <w:spacing w:line="520" w:lineRule="exact"/>
              <w:rPr>
                <w:rFonts w:eastAsia="仿宋_GB2312"/>
                <w:color w:val="000000" w:themeColor="text1"/>
                <w:sz w:val="28"/>
                <w:szCs w:val="32"/>
              </w:rPr>
            </w:pPr>
          </w:p>
        </w:tc>
        <w:tc>
          <w:tcPr>
            <w:tcW w:w="1350" w:type="pct"/>
            <w:shd w:val="clear" w:color="auto" w:fill="auto"/>
            <w:tcMar>
              <w:left w:w="85" w:type="dxa"/>
              <w:right w:w="85" w:type="dxa"/>
            </w:tcMar>
          </w:tcPr>
          <w:p w14:paraId="1910396A">
            <w:pPr>
              <w:snapToGrid w:val="0"/>
              <w:spacing w:line="520" w:lineRule="exact"/>
              <w:rPr>
                <w:rFonts w:eastAsia="仿宋_GB2312"/>
                <w:color w:val="000000" w:themeColor="text1"/>
                <w:sz w:val="28"/>
                <w:szCs w:val="32"/>
              </w:rPr>
            </w:pPr>
            <w:r>
              <w:rPr>
                <w:rFonts w:eastAsia="仿宋_GB2312"/>
                <w:color w:val="000000" w:themeColor="text1"/>
                <w:sz w:val="28"/>
                <w:szCs w:val="32"/>
              </w:rPr>
              <w:t>测试结果；</w:t>
            </w:r>
          </w:p>
          <w:p w14:paraId="3F99EC9A">
            <w:pPr>
              <w:snapToGrid w:val="0"/>
              <w:spacing w:line="520" w:lineRule="exact"/>
              <w:rPr>
                <w:rFonts w:eastAsia="仿宋_GB2312"/>
                <w:color w:val="000000" w:themeColor="text1"/>
                <w:sz w:val="28"/>
                <w:szCs w:val="32"/>
              </w:rPr>
            </w:pPr>
            <w:r>
              <w:rPr>
                <w:rFonts w:eastAsia="仿宋_GB2312"/>
                <w:color w:val="000000" w:themeColor="text1"/>
                <w:sz w:val="28"/>
                <w:szCs w:val="32"/>
              </w:rPr>
              <w:t>测试小结；</w:t>
            </w:r>
          </w:p>
          <w:p w14:paraId="34ED481B">
            <w:pPr>
              <w:snapToGrid w:val="0"/>
              <w:spacing w:line="520" w:lineRule="exact"/>
              <w:rPr>
                <w:rFonts w:eastAsia="仿宋_GB2312"/>
                <w:color w:val="000000" w:themeColor="text1"/>
                <w:sz w:val="28"/>
                <w:szCs w:val="32"/>
              </w:rPr>
            </w:pPr>
            <w:r>
              <w:rPr>
                <w:rFonts w:eastAsia="仿宋_GB2312"/>
                <w:color w:val="000000" w:themeColor="text1"/>
                <w:sz w:val="28"/>
                <w:szCs w:val="32"/>
              </w:rPr>
              <w:t>测试结论：</w:t>
            </w:r>
          </w:p>
          <w:p w14:paraId="08D09343">
            <w:pPr>
              <w:snapToGrid w:val="0"/>
              <w:spacing w:line="520" w:lineRule="exact"/>
              <w:rPr>
                <w:rFonts w:eastAsia="仿宋_GB2312"/>
                <w:color w:val="000000" w:themeColor="text1"/>
                <w:sz w:val="28"/>
                <w:szCs w:val="32"/>
              </w:rPr>
            </w:pPr>
            <w:r>
              <w:rPr>
                <w:rFonts w:eastAsia="仿宋_GB2312"/>
                <w:color w:val="000000" w:themeColor="text1"/>
                <w:sz w:val="28"/>
                <w:szCs w:val="32"/>
              </w:rPr>
              <w:t>通过/未通过</w:t>
            </w:r>
          </w:p>
        </w:tc>
        <w:tc>
          <w:tcPr>
            <w:tcW w:w="1034" w:type="pct"/>
            <w:shd w:val="clear" w:color="auto" w:fill="auto"/>
            <w:tcMar>
              <w:left w:w="85" w:type="dxa"/>
              <w:right w:w="85" w:type="dxa"/>
            </w:tcMar>
          </w:tcPr>
          <w:p w14:paraId="22BA3FCE">
            <w:pPr>
              <w:snapToGrid w:val="0"/>
              <w:spacing w:line="520" w:lineRule="exact"/>
              <w:rPr>
                <w:rFonts w:eastAsia="仿宋_GB2312"/>
                <w:color w:val="000000" w:themeColor="text1"/>
                <w:sz w:val="28"/>
                <w:szCs w:val="32"/>
              </w:rPr>
            </w:pPr>
          </w:p>
        </w:tc>
      </w:tr>
      <w:tr w14:paraId="60C3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5" w:type="pct"/>
            <w:shd w:val="clear" w:color="auto" w:fill="auto"/>
            <w:tcMar>
              <w:left w:w="85" w:type="dxa"/>
              <w:right w:w="85" w:type="dxa"/>
            </w:tcMar>
            <w:vAlign w:val="center"/>
          </w:tcPr>
          <w:p w14:paraId="63B9D49E">
            <w:pPr>
              <w:snapToGrid w:val="0"/>
              <w:spacing w:line="520" w:lineRule="exact"/>
              <w:rPr>
                <w:rFonts w:eastAsia="仿宋_GB2312"/>
                <w:color w:val="000000" w:themeColor="text1"/>
                <w:sz w:val="28"/>
                <w:szCs w:val="32"/>
              </w:rPr>
            </w:pPr>
            <w:r>
              <w:rPr>
                <w:rFonts w:eastAsia="仿宋_GB2312"/>
                <w:color w:val="000000" w:themeColor="text1"/>
                <w:sz w:val="28"/>
                <w:szCs w:val="32"/>
              </w:rPr>
              <w:t>危害2</w:t>
            </w:r>
          </w:p>
        </w:tc>
        <w:tc>
          <w:tcPr>
            <w:tcW w:w="583" w:type="pct"/>
            <w:shd w:val="clear" w:color="auto" w:fill="auto"/>
            <w:tcMar>
              <w:left w:w="85" w:type="dxa"/>
              <w:right w:w="85" w:type="dxa"/>
            </w:tcMar>
            <w:vAlign w:val="center"/>
          </w:tcPr>
          <w:p w14:paraId="7D7175D9">
            <w:pPr>
              <w:snapToGrid w:val="0"/>
              <w:spacing w:line="520" w:lineRule="exact"/>
              <w:rPr>
                <w:rFonts w:eastAsia="仿宋_GB2312"/>
                <w:color w:val="000000" w:themeColor="text1"/>
                <w:sz w:val="28"/>
                <w:szCs w:val="32"/>
              </w:rPr>
            </w:pPr>
            <w:r>
              <w:rPr>
                <w:rFonts w:eastAsia="仿宋_GB2312"/>
                <w:color w:val="000000" w:themeColor="text1"/>
                <w:sz w:val="28"/>
                <w:szCs w:val="32"/>
              </w:rPr>
              <w:t>方法2</w:t>
            </w:r>
          </w:p>
        </w:tc>
        <w:tc>
          <w:tcPr>
            <w:tcW w:w="791" w:type="pct"/>
            <w:shd w:val="clear" w:color="auto" w:fill="auto"/>
            <w:tcMar>
              <w:left w:w="85" w:type="dxa"/>
              <w:right w:w="85" w:type="dxa"/>
            </w:tcMar>
            <w:vAlign w:val="center"/>
          </w:tcPr>
          <w:p w14:paraId="20FCD12F">
            <w:pPr>
              <w:snapToGrid w:val="0"/>
              <w:spacing w:line="520" w:lineRule="exact"/>
              <w:rPr>
                <w:rFonts w:eastAsia="仿宋_GB2312"/>
                <w:color w:val="000000" w:themeColor="text1"/>
                <w:sz w:val="28"/>
                <w:szCs w:val="32"/>
              </w:rPr>
            </w:pPr>
          </w:p>
        </w:tc>
        <w:tc>
          <w:tcPr>
            <w:tcW w:w="657" w:type="pct"/>
            <w:shd w:val="clear" w:color="auto" w:fill="auto"/>
            <w:tcMar>
              <w:left w:w="85" w:type="dxa"/>
              <w:right w:w="85" w:type="dxa"/>
            </w:tcMar>
            <w:vAlign w:val="center"/>
          </w:tcPr>
          <w:p w14:paraId="56E166F4">
            <w:pPr>
              <w:snapToGrid w:val="0"/>
              <w:spacing w:line="520" w:lineRule="exact"/>
              <w:rPr>
                <w:rFonts w:eastAsia="仿宋_GB2312"/>
                <w:color w:val="000000" w:themeColor="text1"/>
                <w:sz w:val="28"/>
                <w:szCs w:val="32"/>
              </w:rPr>
            </w:pPr>
          </w:p>
        </w:tc>
        <w:tc>
          <w:tcPr>
            <w:tcW w:w="1350" w:type="pct"/>
            <w:shd w:val="clear" w:color="auto" w:fill="auto"/>
            <w:tcMar>
              <w:left w:w="85" w:type="dxa"/>
              <w:right w:w="85" w:type="dxa"/>
            </w:tcMar>
            <w:vAlign w:val="center"/>
          </w:tcPr>
          <w:p w14:paraId="0C941555">
            <w:pPr>
              <w:snapToGrid w:val="0"/>
              <w:spacing w:line="520" w:lineRule="exact"/>
              <w:rPr>
                <w:rFonts w:eastAsia="仿宋_GB2312"/>
                <w:color w:val="000000" w:themeColor="text1"/>
                <w:sz w:val="28"/>
                <w:szCs w:val="32"/>
              </w:rPr>
            </w:pPr>
          </w:p>
        </w:tc>
        <w:tc>
          <w:tcPr>
            <w:tcW w:w="1034" w:type="pct"/>
            <w:shd w:val="clear" w:color="auto" w:fill="auto"/>
            <w:tcMar>
              <w:left w:w="85" w:type="dxa"/>
              <w:right w:w="85" w:type="dxa"/>
            </w:tcMar>
            <w:vAlign w:val="center"/>
          </w:tcPr>
          <w:p w14:paraId="7755535A">
            <w:pPr>
              <w:snapToGrid w:val="0"/>
              <w:spacing w:line="520" w:lineRule="exact"/>
              <w:rPr>
                <w:rFonts w:eastAsia="仿宋_GB2312"/>
                <w:color w:val="000000" w:themeColor="text1"/>
                <w:sz w:val="28"/>
                <w:szCs w:val="32"/>
              </w:rPr>
            </w:pPr>
          </w:p>
        </w:tc>
      </w:tr>
      <w:tr w14:paraId="0B86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5" w:type="pct"/>
            <w:shd w:val="clear" w:color="auto" w:fill="auto"/>
            <w:tcMar>
              <w:left w:w="85" w:type="dxa"/>
              <w:right w:w="85" w:type="dxa"/>
            </w:tcMar>
            <w:vAlign w:val="center"/>
          </w:tcPr>
          <w:p w14:paraId="1949046D">
            <w:pPr>
              <w:snapToGrid w:val="0"/>
              <w:spacing w:line="520" w:lineRule="exact"/>
              <w:rPr>
                <w:rFonts w:eastAsia="仿宋_GB2312"/>
                <w:color w:val="000000" w:themeColor="text1"/>
                <w:sz w:val="28"/>
                <w:szCs w:val="32"/>
              </w:rPr>
            </w:pPr>
            <w:r>
              <w:rPr>
                <w:rFonts w:eastAsia="仿宋_GB2312"/>
                <w:color w:val="000000" w:themeColor="text1"/>
                <w:sz w:val="28"/>
                <w:szCs w:val="32"/>
              </w:rPr>
              <w:t>危害n</w:t>
            </w:r>
          </w:p>
        </w:tc>
        <w:tc>
          <w:tcPr>
            <w:tcW w:w="583" w:type="pct"/>
            <w:shd w:val="clear" w:color="auto" w:fill="auto"/>
            <w:tcMar>
              <w:left w:w="85" w:type="dxa"/>
              <w:right w:w="85" w:type="dxa"/>
            </w:tcMar>
            <w:vAlign w:val="center"/>
          </w:tcPr>
          <w:p w14:paraId="12473FD2">
            <w:pPr>
              <w:snapToGrid w:val="0"/>
              <w:spacing w:line="520" w:lineRule="exact"/>
              <w:rPr>
                <w:rFonts w:eastAsia="仿宋_GB2312"/>
                <w:color w:val="000000" w:themeColor="text1"/>
                <w:sz w:val="28"/>
                <w:szCs w:val="32"/>
              </w:rPr>
            </w:pPr>
            <w:r>
              <w:rPr>
                <w:rFonts w:eastAsia="仿宋_GB2312"/>
                <w:color w:val="000000" w:themeColor="text1"/>
                <w:sz w:val="28"/>
                <w:szCs w:val="32"/>
              </w:rPr>
              <w:t>方法n</w:t>
            </w:r>
          </w:p>
        </w:tc>
        <w:tc>
          <w:tcPr>
            <w:tcW w:w="791" w:type="pct"/>
            <w:shd w:val="clear" w:color="auto" w:fill="auto"/>
            <w:tcMar>
              <w:left w:w="85" w:type="dxa"/>
              <w:right w:w="85" w:type="dxa"/>
            </w:tcMar>
            <w:vAlign w:val="center"/>
          </w:tcPr>
          <w:p w14:paraId="1EEE5953">
            <w:pPr>
              <w:snapToGrid w:val="0"/>
              <w:spacing w:line="520" w:lineRule="exact"/>
              <w:rPr>
                <w:rFonts w:eastAsia="仿宋_GB2312"/>
                <w:color w:val="000000" w:themeColor="text1"/>
                <w:sz w:val="28"/>
                <w:szCs w:val="32"/>
              </w:rPr>
            </w:pPr>
          </w:p>
        </w:tc>
        <w:tc>
          <w:tcPr>
            <w:tcW w:w="657" w:type="pct"/>
            <w:shd w:val="clear" w:color="auto" w:fill="auto"/>
            <w:tcMar>
              <w:left w:w="85" w:type="dxa"/>
              <w:right w:w="85" w:type="dxa"/>
            </w:tcMar>
            <w:vAlign w:val="center"/>
          </w:tcPr>
          <w:p w14:paraId="7C110169">
            <w:pPr>
              <w:snapToGrid w:val="0"/>
              <w:spacing w:line="520" w:lineRule="exact"/>
              <w:rPr>
                <w:rFonts w:eastAsia="仿宋_GB2312"/>
                <w:color w:val="000000" w:themeColor="text1"/>
                <w:sz w:val="28"/>
                <w:szCs w:val="32"/>
              </w:rPr>
            </w:pPr>
          </w:p>
        </w:tc>
        <w:tc>
          <w:tcPr>
            <w:tcW w:w="1350" w:type="pct"/>
            <w:shd w:val="clear" w:color="auto" w:fill="auto"/>
            <w:tcMar>
              <w:left w:w="85" w:type="dxa"/>
              <w:right w:w="85" w:type="dxa"/>
            </w:tcMar>
            <w:vAlign w:val="center"/>
          </w:tcPr>
          <w:p w14:paraId="2DF8C608">
            <w:pPr>
              <w:snapToGrid w:val="0"/>
              <w:spacing w:line="520" w:lineRule="exact"/>
              <w:rPr>
                <w:rFonts w:eastAsia="仿宋_GB2312"/>
                <w:color w:val="000000" w:themeColor="text1"/>
                <w:sz w:val="28"/>
                <w:szCs w:val="32"/>
              </w:rPr>
            </w:pPr>
          </w:p>
        </w:tc>
        <w:tc>
          <w:tcPr>
            <w:tcW w:w="1034" w:type="pct"/>
            <w:shd w:val="clear" w:color="auto" w:fill="auto"/>
            <w:tcMar>
              <w:left w:w="85" w:type="dxa"/>
              <w:right w:w="85" w:type="dxa"/>
            </w:tcMar>
            <w:vAlign w:val="center"/>
          </w:tcPr>
          <w:p w14:paraId="4EB9DDB6">
            <w:pPr>
              <w:snapToGrid w:val="0"/>
              <w:spacing w:line="520" w:lineRule="exact"/>
              <w:rPr>
                <w:rFonts w:eastAsia="仿宋_GB2312"/>
                <w:color w:val="000000" w:themeColor="text1"/>
                <w:sz w:val="28"/>
                <w:szCs w:val="32"/>
              </w:rPr>
            </w:pPr>
          </w:p>
        </w:tc>
      </w:tr>
    </w:tbl>
    <w:p w14:paraId="20AF664A">
      <w:pPr>
        <w:pStyle w:val="28"/>
        <w:snapToGrid w:val="0"/>
        <w:spacing w:line="520" w:lineRule="exact"/>
        <w:ind w:left="640" w:firstLine="0" w:firstLineChars="0"/>
        <w:outlineLvl w:val="2"/>
        <w:rPr>
          <w:rFonts w:eastAsia="仿宋_GB2312"/>
          <w:color w:val="000000" w:themeColor="text1"/>
          <w:sz w:val="32"/>
          <w:szCs w:val="32"/>
        </w:rPr>
      </w:pPr>
    </w:p>
    <w:p w14:paraId="0FE9A464">
      <w:pPr>
        <w:pStyle w:val="28"/>
        <w:numPr>
          <w:ilvl w:val="0"/>
          <w:numId w:val="21"/>
        </w:numPr>
        <w:snapToGrid w:val="0"/>
        <w:spacing w:line="520" w:lineRule="exact"/>
        <w:ind w:left="0" w:firstLine="640"/>
        <w:outlineLvl w:val="2"/>
        <w:rPr>
          <w:rFonts w:eastAsia="仿宋_GB2312"/>
          <w:color w:val="000000" w:themeColor="text1"/>
          <w:sz w:val="32"/>
          <w:szCs w:val="32"/>
        </w:rPr>
      </w:pPr>
      <w:r>
        <w:rPr>
          <w:rFonts w:eastAsia="楷体_GB2312"/>
          <w:color w:val="000000" w:themeColor="text1"/>
          <w:sz w:val="32"/>
          <w:szCs w:val="32"/>
        </w:rPr>
        <w:t>上市后磁共振环境安全分析</w:t>
      </w:r>
    </w:p>
    <w:p w14:paraId="1C8FCBA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磁共振安全评价研究报告</w:t>
      </w:r>
      <w:r>
        <w:rPr>
          <w:rFonts w:hint="eastAsia" w:eastAsia="仿宋_GB2312"/>
          <w:color w:val="000000" w:themeColor="text1"/>
          <w:sz w:val="32"/>
          <w:szCs w:val="32"/>
        </w:rPr>
        <w:t>需</w:t>
      </w:r>
      <w:r>
        <w:rPr>
          <w:rFonts w:eastAsia="仿宋_GB2312"/>
          <w:color w:val="000000" w:themeColor="text1"/>
          <w:sz w:val="32"/>
          <w:szCs w:val="32"/>
        </w:rPr>
        <w:t>提交申报产品上市后临床磁共振环境应用情况的总结说明。若发生相关不良事件，应说明风险情况、影响分析、采取措施、用户告知计划等。</w:t>
      </w:r>
    </w:p>
    <w:p w14:paraId="4D4C5BBF">
      <w:pPr>
        <w:snapToGrid w:val="0"/>
        <w:spacing w:line="520" w:lineRule="exact"/>
        <w:ind w:firstLine="640" w:firstLineChars="200"/>
        <w:rPr>
          <w:rFonts w:eastAsia="仿宋_GB2312"/>
          <w:color w:val="000000" w:themeColor="text1"/>
          <w:kern w:val="0"/>
          <w:sz w:val="32"/>
          <w:szCs w:val="32"/>
        </w:rPr>
      </w:pPr>
      <w:r>
        <w:rPr>
          <w:rFonts w:eastAsia="仿宋_GB2312"/>
          <w:color w:val="000000" w:themeColor="text1"/>
          <w:sz w:val="32"/>
          <w:szCs w:val="32"/>
        </w:rPr>
        <w:t>若产品发生与MR环境安全有关的变更，应提供更新的测试计划、测试报告，以及新增</w:t>
      </w:r>
      <w:r>
        <w:rPr>
          <w:rFonts w:eastAsia="仿宋_GB2312"/>
          <w:color w:val="000000" w:themeColor="text1"/>
          <w:kern w:val="0"/>
          <w:sz w:val="32"/>
          <w:szCs w:val="32"/>
        </w:rPr>
        <w:t>已知剩余缺陷情况说明，并证明新增风险均可接受。</w:t>
      </w:r>
    </w:p>
    <w:p w14:paraId="72B8CC3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申请人应在医疗器械产品全生命周期过程中持续关注磁共振环境安全问题，包括医疗器械产品的设计开发、生产、使用和维护。申请人应结合自身质量管理体系的要求和产品特点来保证医疗器械磁共振环境安全，包括上市前和上市后的相关要求，如风险管理、设计开发、使用维护、用户告知等要求。申请人应持续跟踪与磁共振环境安全相关的国家法律法</w:t>
      </w:r>
      <w:r>
        <w:rPr>
          <w:rFonts w:hint="eastAsia" w:eastAsia="仿宋_GB2312"/>
          <w:color w:val="000000" w:themeColor="text1"/>
          <w:sz w:val="32"/>
          <w:szCs w:val="32"/>
          <w:lang w:val="en-US" w:eastAsia="zh-CN"/>
        </w:rPr>
        <w:t>规</w:t>
      </w:r>
      <w:r>
        <w:rPr>
          <w:rFonts w:eastAsia="仿宋_GB2312"/>
          <w:color w:val="000000" w:themeColor="text1"/>
          <w:sz w:val="32"/>
          <w:szCs w:val="32"/>
        </w:rPr>
        <w:t>、有关部门的规章、标准，确保预期在磁共振环境下使用的申报产品符合相应法律法规和部门规章的要求。</w:t>
      </w:r>
    </w:p>
    <w:p w14:paraId="0185878C">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若适用，</w:t>
      </w:r>
      <w:r>
        <w:rPr>
          <w:rFonts w:hint="eastAsia" w:eastAsia="仿宋_GB2312"/>
          <w:color w:val="000000" w:themeColor="text1"/>
          <w:sz w:val="32"/>
          <w:szCs w:val="32"/>
        </w:rPr>
        <w:t>需</w:t>
      </w:r>
      <w:r>
        <w:rPr>
          <w:rFonts w:eastAsia="仿宋_GB2312"/>
          <w:color w:val="000000" w:themeColor="text1"/>
          <w:sz w:val="32"/>
          <w:szCs w:val="32"/>
        </w:rPr>
        <w:t>提供境外上市申请的相关资料，包括不限于风险管理报告、体内外计算机建模、人体模型库、线圈模型库、仿真方法、建模验证、动物模型、动物试验、组织病理学数据验证资料等。</w:t>
      </w:r>
    </w:p>
    <w:p w14:paraId="57E721C3">
      <w:pPr>
        <w:numPr>
          <w:ilvl w:val="0"/>
          <w:numId w:val="1"/>
        </w:numPr>
        <w:overflowPunct w:val="0"/>
        <w:autoSpaceDE w:val="0"/>
        <w:autoSpaceDN w:val="0"/>
        <w:snapToGrid w:val="0"/>
        <w:spacing w:line="520" w:lineRule="exact"/>
        <w:ind w:left="0" w:firstLine="640" w:firstLineChars="200"/>
        <w:jc w:val="left"/>
        <w:outlineLvl w:val="1"/>
        <w:rPr>
          <w:rFonts w:eastAsia="仿宋_GB2312"/>
          <w:color w:val="000000" w:themeColor="text1"/>
          <w:sz w:val="32"/>
          <w:szCs w:val="32"/>
        </w:rPr>
      </w:pPr>
      <w:r>
        <w:rPr>
          <w:rFonts w:eastAsia="黑体"/>
          <w:color w:val="000000" w:themeColor="text1"/>
          <w:sz w:val="32"/>
          <w:szCs w:val="32"/>
        </w:rPr>
        <w:t>注册申报资料要求</w:t>
      </w:r>
    </w:p>
    <w:p w14:paraId="55A7EB41">
      <w:pPr>
        <w:pStyle w:val="28"/>
        <w:numPr>
          <w:ilvl w:val="0"/>
          <w:numId w:val="30"/>
        </w:numPr>
        <w:snapToGrid w:val="0"/>
        <w:spacing w:line="520" w:lineRule="exact"/>
        <w:ind w:left="0" w:firstLine="640"/>
        <w:outlineLvl w:val="1"/>
        <w:rPr>
          <w:rFonts w:eastAsia="仿宋_GB2312"/>
          <w:color w:val="000000" w:themeColor="text1"/>
          <w:sz w:val="32"/>
          <w:szCs w:val="32"/>
        </w:rPr>
      </w:pPr>
      <w:r>
        <w:rPr>
          <w:rFonts w:eastAsia="楷体_GB2312"/>
          <w:color w:val="000000" w:themeColor="text1"/>
          <w:sz w:val="32"/>
          <w:szCs w:val="32"/>
        </w:rPr>
        <w:t>产品注册</w:t>
      </w:r>
    </w:p>
    <w:p w14:paraId="3D4FFCB4">
      <w:pPr>
        <w:numPr>
          <w:ilvl w:val="0"/>
          <w:numId w:val="31"/>
        </w:numPr>
        <w:overflowPunct w:val="0"/>
        <w:autoSpaceDE w:val="0"/>
        <w:autoSpaceDN w:val="0"/>
        <w:snapToGrid w:val="0"/>
        <w:spacing w:line="520" w:lineRule="exact"/>
        <w:ind w:left="1061"/>
        <w:jc w:val="left"/>
        <w:outlineLvl w:val="2"/>
        <w:rPr>
          <w:rFonts w:eastAsia="仿宋_GB2312"/>
          <w:color w:val="000000" w:themeColor="text1"/>
          <w:sz w:val="32"/>
          <w:szCs w:val="32"/>
        </w:rPr>
      </w:pPr>
      <w:bookmarkStart w:id="8" w:name="_Toc322935369"/>
      <w:r>
        <w:rPr>
          <w:rFonts w:eastAsia="仿宋_GB2312"/>
          <w:color w:val="000000" w:themeColor="text1"/>
          <w:sz w:val="32"/>
          <w:szCs w:val="32"/>
        </w:rPr>
        <w:t>研究资料</w:t>
      </w:r>
    </w:p>
    <w:p w14:paraId="2A2145FD">
      <w:pPr>
        <w:snapToGrid w:val="0"/>
        <w:spacing w:line="520" w:lineRule="exact"/>
        <w:ind w:firstLine="640" w:firstLineChars="200"/>
        <w:rPr>
          <w:rFonts w:eastAsia="仿宋_GB2312"/>
          <w:color w:val="000000" w:themeColor="text1"/>
          <w:sz w:val="32"/>
          <w:szCs w:val="32"/>
        </w:rPr>
      </w:pPr>
      <w:bookmarkStart w:id="9" w:name="_Toc322935367"/>
      <w:r>
        <w:rPr>
          <w:rFonts w:eastAsia="仿宋_GB2312"/>
          <w:color w:val="000000" w:themeColor="text1"/>
          <w:sz w:val="32"/>
          <w:szCs w:val="32"/>
        </w:rPr>
        <w:t>申请人应提交磁共振环境安全评价研究报告，具体要求详见第四节。</w:t>
      </w:r>
    </w:p>
    <w:p w14:paraId="579B88A3">
      <w:pPr>
        <w:numPr>
          <w:ilvl w:val="0"/>
          <w:numId w:val="31"/>
        </w:numPr>
        <w:overflowPunct w:val="0"/>
        <w:autoSpaceDE w:val="0"/>
        <w:autoSpaceDN w:val="0"/>
        <w:snapToGrid w:val="0"/>
        <w:spacing w:line="520" w:lineRule="exact"/>
        <w:ind w:left="1061"/>
        <w:jc w:val="left"/>
        <w:outlineLvl w:val="2"/>
        <w:rPr>
          <w:rFonts w:eastAsia="仿宋_GB2312"/>
          <w:color w:val="000000" w:themeColor="text1"/>
          <w:sz w:val="32"/>
          <w:szCs w:val="32"/>
        </w:rPr>
      </w:pPr>
      <w:r>
        <w:rPr>
          <w:rFonts w:eastAsia="仿宋_GB2312"/>
          <w:color w:val="000000" w:themeColor="text1"/>
          <w:sz w:val="32"/>
          <w:szCs w:val="32"/>
        </w:rPr>
        <w:t>产品技术要求</w:t>
      </w:r>
    </w:p>
    <w:p w14:paraId="6865D353">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产品技术要求明确适配的磁共振环境的具体要求、磁共振环境安全的条款要求（附录）。</w:t>
      </w:r>
    </w:p>
    <w:p w14:paraId="4D57F6E1">
      <w:pPr>
        <w:numPr>
          <w:ilvl w:val="0"/>
          <w:numId w:val="31"/>
        </w:numPr>
        <w:overflowPunct w:val="0"/>
        <w:autoSpaceDE w:val="0"/>
        <w:autoSpaceDN w:val="0"/>
        <w:snapToGrid w:val="0"/>
        <w:spacing w:line="520" w:lineRule="exact"/>
        <w:ind w:left="1061"/>
        <w:jc w:val="left"/>
        <w:outlineLvl w:val="2"/>
        <w:rPr>
          <w:rFonts w:eastAsia="仿宋_GB2312"/>
          <w:color w:val="000000" w:themeColor="text1"/>
          <w:sz w:val="32"/>
          <w:szCs w:val="32"/>
        </w:rPr>
      </w:pPr>
      <w:r>
        <w:rPr>
          <w:rFonts w:eastAsia="仿宋_GB2312"/>
          <w:color w:val="000000" w:themeColor="text1"/>
          <w:sz w:val="32"/>
          <w:szCs w:val="32"/>
        </w:rPr>
        <w:t>说明书</w:t>
      </w:r>
    </w:p>
    <w:bookmarkEnd w:id="8"/>
    <w:bookmarkEnd w:id="9"/>
    <w:p w14:paraId="5C6EFFC0">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产品说明书应提供磁共振环境安全相关的</w:t>
      </w:r>
      <w:r>
        <w:rPr>
          <w:rFonts w:eastAsia="仿宋_GB2312"/>
          <w:color w:val="000000" w:themeColor="text1"/>
          <w:sz w:val="32"/>
          <w:szCs w:val="32"/>
          <w:lang w:val="en-AU"/>
        </w:rPr>
        <w:t>必要说明</w:t>
      </w:r>
      <w:r>
        <w:rPr>
          <w:rFonts w:eastAsia="仿宋_GB2312"/>
          <w:color w:val="000000" w:themeColor="text1"/>
          <w:sz w:val="32"/>
          <w:szCs w:val="32"/>
        </w:rPr>
        <w:t>。</w:t>
      </w:r>
    </w:p>
    <w:p w14:paraId="17851E92">
      <w:pPr>
        <w:pStyle w:val="28"/>
        <w:numPr>
          <w:ilvl w:val="0"/>
          <w:numId w:val="30"/>
        </w:numPr>
        <w:snapToGrid w:val="0"/>
        <w:spacing w:line="520" w:lineRule="exact"/>
        <w:ind w:left="0" w:firstLine="640"/>
        <w:outlineLvl w:val="1"/>
        <w:rPr>
          <w:rFonts w:eastAsia="仿宋_GB2312"/>
          <w:color w:val="000000" w:themeColor="text1"/>
          <w:sz w:val="32"/>
          <w:szCs w:val="32"/>
        </w:rPr>
      </w:pPr>
      <w:r>
        <w:rPr>
          <w:rFonts w:eastAsia="仿宋_GB2312"/>
          <w:color w:val="000000" w:themeColor="text1"/>
          <w:sz w:val="32"/>
          <w:szCs w:val="32"/>
        </w:rPr>
        <w:t>变更注册</w:t>
      </w:r>
    </w:p>
    <w:p w14:paraId="610F0359">
      <w:pPr>
        <w:numPr>
          <w:ilvl w:val="0"/>
          <w:numId w:val="32"/>
        </w:numPr>
        <w:overflowPunct w:val="0"/>
        <w:autoSpaceDE w:val="0"/>
        <w:autoSpaceDN w:val="0"/>
        <w:snapToGrid w:val="0"/>
        <w:spacing w:line="520" w:lineRule="exact"/>
        <w:ind w:left="1061"/>
        <w:jc w:val="left"/>
        <w:outlineLvl w:val="2"/>
        <w:rPr>
          <w:rFonts w:eastAsia="仿宋_GB2312"/>
          <w:color w:val="000000" w:themeColor="text1"/>
          <w:sz w:val="32"/>
          <w:szCs w:val="32"/>
        </w:rPr>
      </w:pPr>
      <w:r>
        <w:rPr>
          <w:rFonts w:eastAsia="仿宋_GB2312"/>
          <w:color w:val="000000" w:themeColor="text1"/>
          <w:sz w:val="32"/>
          <w:szCs w:val="32"/>
        </w:rPr>
        <w:t>研究资料</w:t>
      </w:r>
    </w:p>
    <w:p w14:paraId="5C08B2C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医疗器械</w:t>
      </w:r>
      <w:r>
        <w:rPr>
          <w:rFonts w:hint="eastAsia" w:eastAsia="仿宋_GB2312"/>
          <w:color w:val="000000" w:themeColor="text1"/>
          <w:sz w:val="32"/>
          <w:szCs w:val="32"/>
        </w:rPr>
        <w:t>注册</w:t>
      </w:r>
      <w:r>
        <w:rPr>
          <w:rFonts w:eastAsia="仿宋_GB2312"/>
          <w:color w:val="000000" w:themeColor="text1"/>
          <w:sz w:val="32"/>
          <w:szCs w:val="32"/>
        </w:rPr>
        <w:t>变更应根据磁共振环境安全更新情况，论述产品变化部分对MR环境中产品安全性与有效性影响，</w:t>
      </w:r>
      <w:r>
        <w:rPr>
          <w:rFonts w:hint="eastAsia" w:eastAsia="仿宋_GB2312"/>
          <w:color w:val="000000" w:themeColor="text1"/>
          <w:sz w:val="32"/>
          <w:szCs w:val="32"/>
        </w:rPr>
        <w:t>提供与产品</w:t>
      </w:r>
      <w:r>
        <w:rPr>
          <w:rFonts w:eastAsia="仿宋_GB2312"/>
          <w:color w:val="000000" w:themeColor="text1"/>
          <w:sz w:val="32"/>
          <w:szCs w:val="32"/>
        </w:rPr>
        <w:t>变更相关的磁共振环境安全评价研究报告。</w:t>
      </w:r>
    </w:p>
    <w:p w14:paraId="255AE07E">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已上市的医疗器械产品扩展为可在磁共振环境下使用，</w:t>
      </w:r>
      <w:r>
        <w:rPr>
          <w:rFonts w:hint="eastAsia" w:eastAsia="仿宋_GB2312"/>
          <w:color w:val="000000" w:themeColor="text1"/>
          <w:sz w:val="32"/>
          <w:szCs w:val="32"/>
        </w:rPr>
        <w:t>需申请</w:t>
      </w:r>
      <w:r>
        <w:rPr>
          <w:rFonts w:eastAsia="仿宋_GB2312"/>
          <w:color w:val="000000" w:themeColor="text1"/>
          <w:sz w:val="32"/>
          <w:szCs w:val="32"/>
        </w:rPr>
        <w:t>变更注册。</w:t>
      </w:r>
    </w:p>
    <w:p w14:paraId="3D279DF0">
      <w:pPr>
        <w:numPr>
          <w:ilvl w:val="0"/>
          <w:numId w:val="32"/>
        </w:numPr>
        <w:overflowPunct w:val="0"/>
        <w:autoSpaceDE w:val="0"/>
        <w:autoSpaceDN w:val="0"/>
        <w:snapToGrid w:val="0"/>
        <w:spacing w:line="520" w:lineRule="exact"/>
        <w:ind w:left="1061"/>
        <w:jc w:val="left"/>
        <w:outlineLvl w:val="2"/>
        <w:rPr>
          <w:rFonts w:eastAsia="仿宋_GB2312"/>
          <w:color w:val="000000" w:themeColor="text1"/>
          <w:sz w:val="32"/>
          <w:szCs w:val="32"/>
        </w:rPr>
      </w:pPr>
      <w:r>
        <w:rPr>
          <w:rFonts w:eastAsia="仿宋_GB2312"/>
          <w:color w:val="000000" w:themeColor="text1"/>
          <w:sz w:val="32"/>
          <w:szCs w:val="32"/>
        </w:rPr>
        <w:t>产品技术要求</w:t>
      </w:r>
    </w:p>
    <w:p w14:paraId="4EB4DE1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若适用，产品技术要求</w:t>
      </w:r>
      <w:r>
        <w:rPr>
          <w:rFonts w:hint="eastAsia" w:eastAsia="仿宋_GB2312"/>
          <w:color w:val="000000" w:themeColor="text1"/>
          <w:sz w:val="32"/>
          <w:szCs w:val="32"/>
        </w:rPr>
        <w:t>需</w:t>
      </w:r>
      <w:r>
        <w:rPr>
          <w:rFonts w:eastAsia="仿宋_GB2312"/>
          <w:color w:val="000000" w:themeColor="text1"/>
          <w:sz w:val="32"/>
          <w:szCs w:val="32"/>
        </w:rPr>
        <w:t>体现关于磁共振环境安全的变更情况。</w:t>
      </w:r>
    </w:p>
    <w:p w14:paraId="5414D67C">
      <w:pPr>
        <w:numPr>
          <w:ilvl w:val="0"/>
          <w:numId w:val="32"/>
        </w:numPr>
        <w:overflowPunct w:val="0"/>
        <w:autoSpaceDE w:val="0"/>
        <w:autoSpaceDN w:val="0"/>
        <w:snapToGrid w:val="0"/>
        <w:spacing w:line="520" w:lineRule="exact"/>
        <w:ind w:left="1061"/>
        <w:jc w:val="left"/>
        <w:outlineLvl w:val="2"/>
        <w:rPr>
          <w:rFonts w:eastAsia="仿宋_GB2312"/>
          <w:color w:val="000000" w:themeColor="text1"/>
          <w:sz w:val="32"/>
          <w:szCs w:val="32"/>
        </w:rPr>
      </w:pPr>
      <w:r>
        <w:rPr>
          <w:rFonts w:eastAsia="仿宋_GB2312"/>
          <w:color w:val="000000" w:themeColor="text1"/>
          <w:sz w:val="32"/>
          <w:szCs w:val="32"/>
        </w:rPr>
        <w:t>说明书</w:t>
      </w:r>
    </w:p>
    <w:p w14:paraId="0150CA25">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若适用，说明书</w:t>
      </w:r>
      <w:r>
        <w:rPr>
          <w:rFonts w:hint="eastAsia" w:eastAsia="仿宋_GB2312"/>
          <w:color w:val="000000" w:themeColor="text1"/>
          <w:sz w:val="32"/>
          <w:szCs w:val="32"/>
        </w:rPr>
        <w:t>需</w:t>
      </w:r>
      <w:r>
        <w:rPr>
          <w:rFonts w:eastAsia="仿宋_GB2312"/>
          <w:color w:val="000000" w:themeColor="text1"/>
          <w:sz w:val="32"/>
          <w:szCs w:val="32"/>
        </w:rPr>
        <w:t>体现磁共振环境安全相关的变更内容。</w:t>
      </w:r>
    </w:p>
    <w:p w14:paraId="22140A09">
      <w:pPr>
        <w:pStyle w:val="28"/>
        <w:numPr>
          <w:ilvl w:val="0"/>
          <w:numId w:val="30"/>
        </w:numPr>
        <w:snapToGrid w:val="0"/>
        <w:spacing w:line="520" w:lineRule="exact"/>
        <w:ind w:left="0" w:firstLine="640"/>
        <w:outlineLvl w:val="1"/>
        <w:rPr>
          <w:rFonts w:eastAsia="仿宋_GB2312"/>
          <w:color w:val="000000" w:themeColor="text1"/>
          <w:sz w:val="32"/>
          <w:szCs w:val="32"/>
        </w:rPr>
      </w:pPr>
      <w:r>
        <w:rPr>
          <w:rFonts w:eastAsia="仿宋_GB2312"/>
          <w:color w:val="000000" w:themeColor="text1"/>
          <w:sz w:val="32"/>
          <w:szCs w:val="32"/>
        </w:rPr>
        <w:t>延续注册</w:t>
      </w:r>
    </w:p>
    <w:p w14:paraId="66FBAE11">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若适用，医疗器械延续注册产品分析报告第（六）项</w:t>
      </w:r>
      <w:r>
        <w:rPr>
          <w:rFonts w:hint="eastAsia" w:eastAsia="仿宋_GB2312"/>
          <w:color w:val="000000" w:themeColor="text1"/>
          <w:sz w:val="32"/>
          <w:szCs w:val="32"/>
        </w:rPr>
        <w:t>需</w:t>
      </w:r>
      <w:r>
        <w:rPr>
          <w:rFonts w:eastAsia="仿宋_GB2312"/>
          <w:color w:val="000000" w:themeColor="text1"/>
          <w:sz w:val="32"/>
          <w:szCs w:val="32"/>
        </w:rPr>
        <w:t>单独提交一份上市后磁共振环境下使用的分析报告，具体要求详见附录。</w:t>
      </w:r>
    </w:p>
    <w:p w14:paraId="75A1E863">
      <w:pPr>
        <w:numPr>
          <w:ilvl w:val="0"/>
          <w:numId w:val="1"/>
        </w:numPr>
        <w:overflowPunct w:val="0"/>
        <w:autoSpaceDE w:val="0"/>
        <w:autoSpaceDN w:val="0"/>
        <w:snapToGrid w:val="0"/>
        <w:spacing w:line="520" w:lineRule="exact"/>
        <w:ind w:left="0" w:firstLine="640" w:firstLineChars="200"/>
        <w:jc w:val="left"/>
        <w:outlineLvl w:val="1"/>
        <w:rPr>
          <w:rFonts w:eastAsia="仿宋_GB2312"/>
          <w:snapToGrid w:val="0"/>
          <w:color w:val="000000" w:themeColor="text1"/>
          <w:kern w:val="0"/>
          <w:sz w:val="32"/>
          <w:szCs w:val="32"/>
        </w:rPr>
      </w:pPr>
      <w:r>
        <w:rPr>
          <w:rFonts w:eastAsia="黑体"/>
          <w:color w:val="000000" w:themeColor="text1"/>
          <w:sz w:val="32"/>
          <w:szCs w:val="32"/>
        </w:rPr>
        <w:t>产品技术要求</w:t>
      </w:r>
    </w:p>
    <w:p w14:paraId="3F2F262E">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产品技术要求应按照《医疗器械产品技术要求编写指导原则》的规定进行编制。针对MR环境风险，产品技术要求</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制定详细的磁共振环境安全条款（见附录）。</w:t>
      </w:r>
    </w:p>
    <w:p w14:paraId="11CB618B">
      <w:pPr>
        <w:numPr>
          <w:ilvl w:val="0"/>
          <w:numId w:val="33"/>
        </w:numPr>
        <w:overflowPunct w:val="0"/>
        <w:autoSpaceDE w:val="0"/>
        <w:autoSpaceDN w:val="0"/>
        <w:snapToGrid w:val="0"/>
        <w:spacing w:line="520" w:lineRule="exact"/>
        <w:ind w:left="0" w:firstLine="640" w:firstLineChars="200"/>
        <w:outlineLvl w:val="2"/>
        <w:rPr>
          <w:rFonts w:eastAsia="仿宋_GB2312"/>
          <w:snapToGrid w:val="0"/>
          <w:color w:val="000000" w:themeColor="text1"/>
          <w:kern w:val="0"/>
          <w:sz w:val="32"/>
          <w:szCs w:val="32"/>
        </w:rPr>
      </w:pPr>
      <w:r>
        <w:rPr>
          <w:rFonts w:eastAsia="仿宋_GB2312"/>
          <w:snapToGrid w:val="0"/>
          <w:color w:val="000000" w:themeColor="text1"/>
          <w:kern w:val="0"/>
          <w:sz w:val="32"/>
          <w:szCs w:val="32"/>
        </w:rPr>
        <w:t>产品规格型号及其划分说明</w:t>
      </w:r>
    </w:p>
    <w:p w14:paraId="706EF6A7">
      <w:pPr>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提供产品型号规格列表，或产品配置表</w:t>
      </w:r>
      <w:r>
        <w:rPr>
          <w:rFonts w:hint="eastAsia" w:eastAsia="仿宋_GB2312"/>
          <w:snapToGrid w:val="0"/>
          <w:color w:val="000000" w:themeColor="text1"/>
          <w:kern w:val="0"/>
          <w:sz w:val="32"/>
          <w:szCs w:val="32"/>
        </w:rPr>
        <w:t>（可</w:t>
      </w:r>
      <w:r>
        <w:rPr>
          <w:rFonts w:eastAsia="仿宋_GB2312"/>
          <w:snapToGrid w:val="0"/>
          <w:color w:val="000000" w:themeColor="text1"/>
          <w:kern w:val="0"/>
          <w:sz w:val="32"/>
          <w:szCs w:val="32"/>
        </w:rPr>
        <w:t>参考附录I</w:t>
      </w:r>
      <w:r>
        <w:rPr>
          <w:rFonts w:hint="eastAsia" w:eastAsia="仿宋_GB2312"/>
          <w:snapToGrid w:val="0"/>
          <w:color w:val="000000" w:themeColor="text1"/>
          <w:kern w:val="0"/>
          <w:sz w:val="32"/>
          <w:szCs w:val="32"/>
        </w:rPr>
        <w:t>）</w:t>
      </w:r>
      <w:r>
        <w:rPr>
          <w:rFonts w:eastAsia="仿宋_GB2312"/>
          <w:snapToGrid w:val="0"/>
          <w:color w:val="000000" w:themeColor="text1"/>
          <w:kern w:val="0"/>
          <w:sz w:val="32"/>
          <w:szCs w:val="32"/>
        </w:rPr>
        <w:t>。</w:t>
      </w:r>
    </w:p>
    <w:p w14:paraId="15D9EB26">
      <w:pPr>
        <w:numPr>
          <w:ilvl w:val="0"/>
          <w:numId w:val="33"/>
        </w:numPr>
        <w:overflowPunct w:val="0"/>
        <w:autoSpaceDE w:val="0"/>
        <w:autoSpaceDN w:val="0"/>
        <w:snapToGrid w:val="0"/>
        <w:spacing w:line="520" w:lineRule="exact"/>
        <w:ind w:left="0" w:firstLine="640" w:firstLineChars="200"/>
        <w:outlineLvl w:val="2"/>
        <w:rPr>
          <w:rFonts w:eastAsia="仿宋_GB2312"/>
          <w:snapToGrid w:val="0"/>
          <w:color w:val="000000" w:themeColor="text1"/>
          <w:kern w:val="0"/>
          <w:sz w:val="32"/>
          <w:szCs w:val="32"/>
        </w:rPr>
      </w:pPr>
      <w:r>
        <w:rPr>
          <w:rFonts w:eastAsia="仿宋_GB2312"/>
          <w:snapToGrid w:val="0"/>
          <w:color w:val="000000" w:themeColor="text1"/>
          <w:kern w:val="0"/>
          <w:sz w:val="32"/>
          <w:szCs w:val="32"/>
        </w:rPr>
        <w:t>性能指标</w:t>
      </w:r>
    </w:p>
    <w:p w14:paraId="0A1FE2D7">
      <w:pPr>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符合的相关标准</w:t>
      </w:r>
      <w:r>
        <w:rPr>
          <w:rFonts w:hint="eastAsia" w:eastAsia="仿宋_GB2312"/>
          <w:snapToGrid w:val="0"/>
          <w:color w:val="000000" w:themeColor="text1"/>
          <w:kern w:val="0"/>
          <w:sz w:val="32"/>
          <w:szCs w:val="32"/>
        </w:rPr>
        <w:t>的</w:t>
      </w:r>
      <w:r>
        <w:rPr>
          <w:rFonts w:eastAsia="仿宋_GB2312"/>
          <w:snapToGrid w:val="0"/>
          <w:color w:val="000000" w:themeColor="text1"/>
          <w:kern w:val="0"/>
          <w:sz w:val="32"/>
          <w:szCs w:val="32"/>
        </w:rPr>
        <w:t>要求（若适用）</w:t>
      </w:r>
      <w:r>
        <w:rPr>
          <w:rFonts w:hint="eastAsia" w:eastAsia="仿宋_GB2312"/>
          <w:snapToGrid w:val="0"/>
          <w:color w:val="000000" w:themeColor="text1"/>
          <w:kern w:val="0"/>
          <w:sz w:val="32"/>
          <w:szCs w:val="32"/>
        </w:rPr>
        <w:t>，并</w:t>
      </w:r>
      <w:r>
        <w:rPr>
          <w:rFonts w:eastAsia="仿宋_GB2312"/>
          <w:snapToGrid w:val="0"/>
          <w:color w:val="000000" w:themeColor="text1"/>
          <w:kern w:val="0"/>
          <w:sz w:val="32"/>
          <w:szCs w:val="32"/>
        </w:rPr>
        <w:t>依据产品实际情况，列出具体参数值。</w:t>
      </w:r>
    </w:p>
    <w:p w14:paraId="64023232">
      <w:pPr>
        <w:numPr>
          <w:ilvl w:val="0"/>
          <w:numId w:val="33"/>
        </w:numPr>
        <w:overflowPunct w:val="0"/>
        <w:autoSpaceDE w:val="0"/>
        <w:autoSpaceDN w:val="0"/>
        <w:snapToGrid w:val="0"/>
        <w:spacing w:line="520" w:lineRule="exact"/>
        <w:ind w:left="0" w:firstLine="640" w:firstLineChars="200"/>
        <w:outlineLvl w:val="2"/>
        <w:rPr>
          <w:rFonts w:eastAsia="仿宋_GB2312"/>
          <w:snapToGrid w:val="0"/>
          <w:color w:val="000000" w:themeColor="text1"/>
          <w:kern w:val="0"/>
          <w:sz w:val="32"/>
          <w:szCs w:val="32"/>
        </w:rPr>
      </w:pPr>
      <w:r>
        <w:rPr>
          <w:rFonts w:eastAsia="仿宋_GB2312"/>
          <w:snapToGrid w:val="0"/>
          <w:color w:val="000000" w:themeColor="text1"/>
          <w:kern w:val="0"/>
          <w:sz w:val="32"/>
          <w:szCs w:val="32"/>
        </w:rPr>
        <w:t>检验方法</w:t>
      </w:r>
    </w:p>
    <w:p w14:paraId="206F5A8E">
      <w:pPr>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详述检验方法，明确符合的标准号及条款号。</w:t>
      </w:r>
    </w:p>
    <w:p w14:paraId="6211AF5C">
      <w:pPr>
        <w:numPr>
          <w:ilvl w:val="0"/>
          <w:numId w:val="33"/>
        </w:numPr>
        <w:overflowPunct w:val="0"/>
        <w:autoSpaceDE w:val="0"/>
        <w:autoSpaceDN w:val="0"/>
        <w:snapToGrid w:val="0"/>
        <w:spacing w:line="520" w:lineRule="exact"/>
        <w:ind w:left="0" w:firstLine="640" w:firstLineChars="200"/>
        <w:outlineLvl w:val="2"/>
        <w:rPr>
          <w:rFonts w:eastAsia="仿宋_GB2312"/>
          <w:snapToGrid w:val="0"/>
          <w:color w:val="000000" w:themeColor="text1"/>
          <w:kern w:val="0"/>
          <w:sz w:val="32"/>
          <w:szCs w:val="32"/>
        </w:rPr>
      </w:pPr>
      <w:r>
        <w:rPr>
          <w:rFonts w:eastAsia="仿宋_GB2312"/>
          <w:snapToGrid w:val="0"/>
          <w:color w:val="000000" w:themeColor="text1"/>
          <w:kern w:val="0"/>
          <w:sz w:val="32"/>
          <w:szCs w:val="32"/>
        </w:rPr>
        <w:t>附录</w:t>
      </w:r>
    </w:p>
    <w:p w14:paraId="69CBB650">
      <w:pPr>
        <w:overflowPunct w:val="0"/>
        <w:autoSpaceDE w:val="0"/>
        <w:autoSpaceDN w:val="0"/>
        <w:snapToGrid w:val="0"/>
        <w:spacing w:line="520" w:lineRule="exact"/>
        <w:ind w:left="640"/>
        <w:outlineLvl w:val="2"/>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需载明磁共振环境安全信息</w:t>
      </w:r>
      <w:r>
        <w:rPr>
          <w:rFonts w:eastAsia="仿宋_GB2312"/>
          <w:snapToGrid w:val="0"/>
          <w:color w:val="000000" w:themeColor="text1"/>
          <w:kern w:val="0"/>
          <w:sz w:val="32"/>
          <w:szCs w:val="32"/>
        </w:rPr>
        <w:t>。</w:t>
      </w:r>
    </w:p>
    <w:p w14:paraId="733ED5D9">
      <w:pPr>
        <w:numPr>
          <w:ilvl w:val="0"/>
          <w:numId w:val="1"/>
        </w:numPr>
        <w:overflowPunct w:val="0"/>
        <w:autoSpaceDE w:val="0"/>
        <w:autoSpaceDN w:val="0"/>
        <w:snapToGrid w:val="0"/>
        <w:spacing w:line="520" w:lineRule="exact"/>
        <w:ind w:left="0" w:firstLine="640" w:firstLineChars="200"/>
        <w:jc w:val="left"/>
        <w:outlineLvl w:val="1"/>
        <w:rPr>
          <w:rFonts w:eastAsia="黑体"/>
          <w:snapToGrid w:val="0"/>
          <w:color w:val="000000" w:themeColor="text1"/>
          <w:kern w:val="0"/>
          <w:sz w:val="32"/>
          <w:szCs w:val="32"/>
        </w:rPr>
      </w:pPr>
      <w:bookmarkStart w:id="10" w:name="_Toc432753652"/>
      <w:r>
        <w:rPr>
          <w:rFonts w:eastAsia="黑体"/>
          <w:color w:val="000000" w:themeColor="text1"/>
          <w:sz w:val="32"/>
          <w:szCs w:val="32"/>
        </w:rPr>
        <w:t>注册单元</w:t>
      </w:r>
      <w:bookmarkEnd w:id="10"/>
    </w:p>
    <w:p w14:paraId="5238733D">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若申报产品存在多个型号规格或配置，应根据产品适用范围、技术原理、结构组成、性能指标等关键因素进行注册单元划分。</w:t>
      </w:r>
    </w:p>
    <w:p w14:paraId="38D99D51">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以有源医疗器械为例（无源器械可供参考），</w:t>
      </w:r>
      <w:r>
        <w:rPr>
          <w:rFonts w:hint="eastAsia" w:eastAsia="仿宋_GB2312"/>
          <w:snapToGrid w:val="0"/>
          <w:color w:val="000000" w:themeColor="text1"/>
          <w:kern w:val="0"/>
          <w:sz w:val="32"/>
          <w:szCs w:val="32"/>
        </w:rPr>
        <w:t>典型示例</w:t>
      </w:r>
      <w:r>
        <w:rPr>
          <w:rFonts w:eastAsia="仿宋_GB2312"/>
          <w:snapToGrid w:val="0"/>
          <w:color w:val="000000" w:themeColor="text1"/>
          <w:kern w:val="0"/>
          <w:sz w:val="32"/>
          <w:szCs w:val="32"/>
        </w:rPr>
        <w:t>如下：</w:t>
      </w:r>
    </w:p>
    <w:p w14:paraId="38B2CD8C">
      <w:pPr>
        <w:numPr>
          <w:ilvl w:val="0"/>
          <w:numId w:val="34"/>
        </w:numPr>
        <w:overflowPunct w:val="0"/>
        <w:autoSpaceDE w:val="0"/>
        <w:autoSpaceDN w:val="0"/>
        <w:snapToGrid w:val="0"/>
        <w:spacing w:line="520" w:lineRule="exact"/>
        <w:ind w:left="0" w:firstLine="640" w:firstLineChars="200"/>
        <w:jc w:val="left"/>
        <w:outlineLvl w:val="2"/>
        <w:rPr>
          <w:rFonts w:eastAsia="仿宋_GB2312"/>
          <w:snapToGrid w:val="0"/>
          <w:color w:val="000000" w:themeColor="text1"/>
          <w:kern w:val="0"/>
          <w:sz w:val="32"/>
          <w:szCs w:val="32"/>
        </w:rPr>
      </w:pPr>
      <w:r>
        <w:rPr>
          <w:rFonts w:eastAsia="楷体_GB2312"/>
          <w:snapToGrid w:val="0"/>
          <w:color w:val="000000" w:themeColor="text1"/>
          <w:kern w:val="0"/>
          <w:sz w:val="32"/>
          <w:szCs w:val="32"/>
        </w:rPr>
        <w:t>MR环境</w:t>
      </w:r>
      <w:r>
        <w:rPr>
          <w:rFonts w:hint="eastAsia" w:eastAsia="楷体_GB2312"/>
          <w:snapToGrid w:val="0"/>
          <w:color w:val="000000" w:themeColor="text1"/>
          <w:kern w:val="0"/>
          <w:sz w:val="32"/>
          <w:szCs w:val="32"/>
        </w:rPr>
        <w:t>安全等级</w:t>
      </w:r>
    </w:p>
    <w:p w14:paraId="5A044972">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MR环境安全等级不同的产品，</w:t>
      </w:r>
      <w:r>
        <w:rPr>
          <w:rFonts w:hint="eastAsia" w:eastAsia="仿宋_GB2312"/>
          <w:snapToGrid w:val="0"/>
          <w:color w:val="000000" w:themeColor="text1"/>
          <w:kern w:val="0"/>
          <w:sz w:val="32"/>
          <w:szCs w:val="32"/>
        </w:rPr>
        <w:t>其</w:t>
      </w:r>
      <w:r>
        <w:rPr>
          <w:rFonts w:eastAsia="仿宋_GB2312"/>
          <w:snapToGrid w:val="0"/>
          <w:color w:val="000000" w:themeColor="text1"/>
          <w:kern w:val="0"/>
          <w:sz w:val="32"/>
          <w:szCs w:val="32"/>
        </w:rPr>
        <w:t>原材料、产品设计可能差异较大</w:t>
      </w:r>
      <w:r>
        <w:rPr>
          <w:rFonts w:hint="eastAsia" w:eastAsia="仿宋_GB2312"/>
          <w:snapToGrid w:val="0"/>
          <w:color w:val="000000" w:themeColor="text1"/>
          <w:kern w:val="0"/>
          <w:sz w:val="32"/>
          <w:szCs w:val="32"/>
        </w:rPr>
        <w:t>，</w:t>
      </w:r>
      <w:r>
        <w:rPr>
          <w:rFonts w:eastAsia="仿宋_GB2312"/>
          <w:snapToGrid w:val="0"/>
          <w:color w:val="000000" w:themeColor="text1"/>
          <w:kern w:val="0"/>
          <w:sz w:val="32"/>
          <w:szCs w:val="32"/>
        </w:rPr>
        <w:t>原则上划分为不同的注册单元。</w:t>
      </w:r>
    </w:p>
    <w:p w14:paraId="58098680">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在产品基本组成不变的前提下，</w:t>
      </w:r>
      <w:r>
        <w:rPr>
          <w:rFonts w:hint="eastAsia" w:eastAsia="仿宋_GB2312"/>
          <w:snapToGrid w:val="0"/>
          <w:color w:val="000000" w:themeColor="text1"/>
          <w:kern w:val="0"/>
          <w:sz w:val="32"/>
          <w:szCs w:val="32"/>
        </w:rPr>
        <w:t>申报产品可能具有</w:t>
      </w:r>
      <w:r>
        <w:rPr>
          <w:rFonts w:eastAsia="仿宋_GB2312"/>
          <w:snapToGrid w:val="0"/>
          <w:color w:val="000000" w:themeColor="text1"/>
          <w:kern w:val="0"/>
          <w:sz w:val="32"/>
          <w:szCs w:val="32"/>
        </w:rPr>
        <w:t>多个产品配置</w:t>
      </w:r>
      <w:r>
        <w:rPr>
          <w:rFonts w:hint="eastAsia" w:eastAsia="仿宋_GB2312"/>
          <w:snapToGrid w:val="0"/>
          <w:color w:val="000000" w:themeColor="text1"/>
          <w:kern w:val="0"/>
          <w:sz w:val="32"/>
          <w:szCs w:val="32"/>
        </w:rPr>
        <w:t>，</w:t>
      </w:r>
      <w:r>
        <w:rPr>
          <w:rFonts w:eastAsia="仿宋_GB2312"/>
          <w:snapToGrid w:val="0"/>
          <w:color w:val="000000" w:themeColor="text1"/>
          <w:kern w:val="0"/>
          <w:sz w:val="32"/>
          <w:szCs w:val="32"/>
        </w:rPr>
        <w:t>不同产品配置</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考虑的MR环境安全</w:t>
      </w:r>
      <w:r>
        <w:rPr>
          <w:rFonts w:hint="eastAsia" w:eastAsia="仿宋_GB2312"/>
          <w:snapToGrid w:val="0"/>
          <w:color w:val="000000" w:themeColor="text1"/>
          <w:kern w:val="0"/>
          <w:sz w:val="32"/>
          <w:szCs w:val="32"/>
        </w:rPr>
        <w:t>评价的</w:t>
      </w:r>
      <w:r>
        <w:rPr>
          <w:rFonts w:eastAsia="仿宋_GB2312"/>
          <w:snapToGrid w:val="0"/>
          <w:color w:val="000000" w:themeColor="text1"/>
          <w:kern w:val="0"/>
          <w:sz w:val="32"/>
          <w:szCs w:val="32"/>
        </w:rPr>
        <w:t>最恶劣情况并不相同，其MR环境安全等级也可能不相同。</w:t>
      </w:r>
    </w:p>
    <w:p w14:paraId="3985CE4D">
      <w:pPr>
        <w:numPr>
          <w:ilvl w:val="0"/>
          <w:numId w:val="1"/>
        </w:numPr>
        <w:overflowPunct w:val="0"/>
        <w:autoSpaceDE w:val="0"/>
        <w:autoSpaceDN w:val="0"/>
        <w:snapToGrid w:val="0"/>
        <w:spacing w:line="520" w:lineRule="exact"/>
        <w:ind w:left="0" w:firstLine="640" w:firstLineChars="200"/>
        <w:jc w:val="left"/>
        <w:outlineLvl w:val="1"/>
        <w:rPr>
          <w:rFonts w:eastAsia="仿宋_GB2312"/>
          <w:snapToGrid w:val="0"/>
          <w:color w:val="000000" w:themeColor="text1"/>
          <w:kern w:val="0"/>
          <w:sz w:val="32"/>
          <w:szCs w:val="32"/>
        </w:rPr>
      </w:pPr>
      <w:r>
        <w:rPr>
          <w:rFonts w:eastAsia="黑体"/>
          <w:color w:val="000000" w:themeColor="text1"/>
          <w:kern w:val="0"/>
          <w:sz w:val="32"/>
          <w:szCs w:val="32"/>
        </w:rPr>
        <w:t>产品检测报告</w:t>
      </w:r>
    </w:p>
    <w:p w14:paraId="670B0418">
      <w:pPr>
        <w:numPr>
          <w:ilvl w:val="0"/>
          <w:numId w:val="35"/>
        </w:numPr>
        <w:overflowPunct w:val="0"/>
        <w:autoSpaceDE w:val="0"/>
        <w:autoSpaceDN w:val="0"/>
        <w:snapToGrid w:val="0"/>
        <w:spacing w:line="520" w:lineRule="exact"/>
        <w:jc w:val="left"/>
        <w:outlineLvl w:val="2"/>
        <w:rPr>
          <w:rFonts w:eastAsia="仿宋_GB2312"/>
          <w:snapToGrid w:val="0"/>
          <w:color w:val="000000" w:themeColor="text1"/>
          <w:kern w:val="0"/>
          <w:sz w:val="32"/>
          <w:szCs w:val="32"/>
        </w:rPr>
      </w:pPr>
      <w:r>
        <w:rPr>
          <w:rFonts w:eastAsia="楷体_GB2312"/>
          <w:snapToGrid w:val="0"/>
          <w:color w:val="000000" w:themeColor="text1"/>
          <w:kern w:val="0"/>
          <w:sz w:val="32"/>
          <w:szCs w:val="32"/>
        </w:rPr>
        <w:t>注册单元的典型产品</w:t>
      </w:r>
    </w:p>
    <w:p w14:paraId="05C79504">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检测样机的选取应考虑产品功能、性能、预期用途、安全指标、主要部件、结构、组合方式等。典型产品一般应选取功能最齐全、结构最复杂、风险最高的产品。</w:t>
      </w:r>
    </w:p>
    <w:p w14:paraId="09E92D49">
      <w:pPr>
        <w:numPr>
          <w:ilvl w:val="0"/>
          <w:numId w:val="35"/>
        </w:numPr>
        <w:overflowPunct w:val="0"/>
        <w:autoSpaceDE w:val="0"/>
        <w:autoSpaceDN w:val="0"/>
        <w:snapToGrid w:val="0"/>
        <w:spacing w:line="520" w:lineRule="exact"/>
        <w:ind w:left="0" w:firstLine="640" w:firstLineChars="200"/>
        <w:jc w:val="left"/>
        <w:outlineLvl w:val="2"/>
        <w:rPr>
          <w:rFonts w:eastAsia="仿宋_GB2312"/>
          <w:snapToGrid w:val="0"/>
          <w:color w:val="000000" w:themeColor="text1"/>
          <w:kern w:val="0"/>
          <w:sz w:val="32"/>
          <w:szCs w:val="32"/>
        </w:rPr>
      </w:pPr>
      <w:r>
        <w:rPr>
          <w:rFonts w:eastAsia="楷体_GB2312"/>
          <w:snapToGrid w:val="0"/>
          <w:color w:val="000000" w:themeColor="text1"/>
          <w:kern w:val="0"/>
          <w:sz w:val="32"/>
          <w:szCs w:val="32"/>
        </w:rPr>
        <w:t>产品</w:t>
      </w:r>
      <w:r>
        <w:rPr>
          <w:rFonts w:hint="eastAsia" w:eastAsia="楷体_GB2312"/>
          <w:snapToGrid w:val="0"/>
          <w:color w:val="000000" w:themeColor="text1"/>
          <w:kern w:val="0"/>
          <w:sz w:val="32"/>
          <w:szCs w:val="32"/>
        </w:rPr>
        <w:t>检测</w:t>
      </w:r>
    </w:p>
    <w:p w14:paraId="64213450">
      <w:pPr>
        <w:snapToGrid w:val="0"/>
        <w:spacing w:line="520" w:lineRule="exact"/>
        <w:ind w:firstLine="640" w:firstLineChars="200"/>
        <w:rPr>
          <w:rFonts w:eastAsia="仿宋_GB2312"/>
          <w:snapToGrid w:val="0"/>
          <w:color w:val="000000" w:themeColor="text1"/>
          <w:kern w:val="0"/>
          <w:sz w:val="32"/>
          <w:szCs w:val="32"/>
        </w:rPr>
      </w:pPr>
      <w:r>
        <w:rPr>
          <w:rFonts w:eastAsia="仿宋_GB2312"/>
          <w:color w:val="000000" w:themeColor="text1"/>
          <w:sz w:val="32"/>
          <w:szCs w:val="32"/>
        </w:rPr>
        <w:t>产品检验应按产品配置进行。若无典型性产品检验配置，则</w:t>
      </w:r>
      <w:r>
        <w:rPr>
          <w:rFonts w:eastAsia="仿宋_GB2312"/>
          <w:snapToGrid w:val="0"/>
          <w:color w:val="000000" w:themeColor="text1"/>
          <w:kern w:val="0"/>
          <w:sz w:val="32"/>
          <w:szCs w:val="32"/>
        </w:rPr>
        <w:t>不同配置应分别提供检测报告。未经检验的产品配置和部件，应提供检验典型性说明，充分解释合理性。</w:t>
      </w:r>
    </w:p>
    <w:p w14:paraId="148B00A5">
      <w:pPr>
        <w:snapToGrid w:val="0"/>
        <w:spacing w:line="520" w:lineRule="exact"/>
        <w:ind w:firstLine="640" w:firstLineChars="200"/>
        <w:rPr>
          <w:rFonts w:eastAsia="仿宋_GB2312"/>
          <w:snapToGrid w:val="0"/>
          <w:color w:val="000000" w:themeColor="text1"/>
          <w:kern w:val="0"/>
          <w:sz w:val="32"/>
          <w:szCs w:val="32"/>
        </w:rPr>
      </w:pPr>
      <w:r>
        <w:rPr>
          <w:rFonts w:eastAsia="仿宋_GB2312"/>
          <w:color w:val="000000" w:themeColor="text1"/>
          <w:sz w:val="32"/>
          <w:szCs w:val="32"/>
        </w:rPr>
        <w:t>申请人应合理选取每项试验代表最恶劣情况的产品配置进行测试，提供科学分析和依据。</w:t>
      </w:r>
      <w:r>
        <w:rPr>
          <w:rFonts w:hint="eastAsia" w:eastAsia="仿宋_GB2312"/>
          <w:color w:val="000000" w:themeColor="text1"/>
          <w:sz w:val="32"/>
          <w:szCs w:val="32"/>
        </w:rPr>
        <w:t>需</w:t>
      </w:r>
      <w:r>
        <w:rPr>
          <w:rFonts w:eastAsia="仿宋_GB2312"/>
          <w:color w:val="000000" w:themeColor="text1"/>
          <w:sz w:val="32"/>
          <w:szCs w:val="32"/>
        </w:rPr>
        <w:t>逐项考虑最恶劣测试条件，例如：磁致位移力和扭矩的最恶劣情形，可能并非射频致热的最恶劣情形。</w:t>
      </w:r>
    </w:p>
    <w:p w14:paraId="6194DBC7">
      <w:pPr>
        <w:snapToGrid w:val="0"/>
        <w:spacing w:line="520" w:lineRule="exact"/>
        <w:ind w:firstLine="640" w:firstLineChars="200"/>
        <w:rPr>
          <w:rFonts w:eastAsia="仿宋_GB2312"/>
          <w:color w:val="000000" w:themeColor="text1"/>
          <w:sz w:val="32"/>
          <w:szCs w:val="32"/>
        </w:rPr>
      </w:pPr>
      <w:r>
        <w:rPr>
          <w:rFonts w:eastAsia="仿宋_GB2312"/>
          <w:snapToGrid w:val="0"/>
          <w:color w:val="000000" w:themeColor="text1"/>
          <w:kern w:val="0"/>
          <w:sz w:val="32"/>
          <w:szCs w:val="32"/>
        </w:rPr>
        <w:t>检测报告</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注明产品配置和样品描述，</w:t>
      </w:r>
      <w:r>
        <w:rPr>
          <w:rFonts w:eastAsia="仿宋_GB2312"/>
          <w:color w:val="000000" w:themeColor="text1"/>
          <w:sz w:val="32"/>
          <w:szCs w:val="32"/>
        </w:rPr>
        <w:t>样品描述应与产品技术要求的部件序号和名称保持一致。</w:t>
      </w:r>
    </w:p>
    <w:p w14:paraId="2E7988A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检测报告</w:t>
      </w:r>
      <w:r>
        <w:rPr>
          <w:rFonts w:hint="eastAsia" w:eastAsia="仿宋_GB2312"/>
          <w:color w:val="000000" w:themeColor="text1"/>
          <w:sz w:val="32"/>
          <w:szCs w:val="32"/>
        </w:rPr>
        <w:t>需</w:t>
      </w:r>
      <w:r>
        <w:rPr>
          <w:rFonts w:eastAsia="仿宋_GB2312"/>
          <w:color w:val="000000" w:themeColor="text1"/>
          <w:sz w:val="32"/>
          <w:szCs w:val="32"/>
        </w:rPr>
        <w:t>提供软件名称、软件发布版本、软件完整版本，以及软件版本信息界面的真实照片。若检验结果依赖于计算机建模仿真，检测报告</w:t>
      </w:r>
      <w:r>
        <w:rPr>
          <w:rFonts w:hint="eastAsia" w:eastAsia="仿宋_GB2312"/>
          <w:color w:val="000000" w:themeColor="text1"/>
          <w:sz w:val="32"/>
          <w:szCs w:val="32"/>
        </w:rPr>
        <w:t>需</w:t>
      </w:r>
      <w:r>
        <w:rPr>
          <w:rFonts w:eastAsia="仿宋_GB2312"/>
          <w:color w:val="000000" w:themeColor="text1"/>
          <w:sz w:val="32"/>
          <w:szCs w:val="32"/>
        </w:rPr>
        <w:t>提供必要的仿真软件信息。</w:t>
      </w:r>
    </w:p>
    <w:p w14:paraId="595009A3">
      <w:pPr>
        <w:numPr>
          <w:ilvl w:val="0"/>
          <w:numId w:val="35"/>
        </w:numPr>
        <w:overflowPunct w:val="0"/>
        <w:autoSpaceDE w:val="0"/>
        <w:autoSpaceDN w:val="0"/>
        <w:snapToGrid w:val="0"/>
        <w:spacing w:line="520" w:lineRule="exact"/>
        <w:ind w:left="0" w:firstLine="640" w:firstLineChars="200"/>
        <w:jc w:val="left"/>
        <w:outlineLvl w:val="2"/>
        <w:rPr>
          <w:rFonts w:eastAsia="仿宋_GB2312"/>
          <w:color w:val="000000" w:themeColor="text1"/>
          <w:sz w:val="32"/>
          <w:szCs w:val="32"/>
        </w:rPr>
      </w:pPr>
      <w:r>
        <w:rPr>
          <w:rFonts w:eastAsia="楷体_GB2312"/>
          <w:snapToGrid w:val="0"/>
          <w:color w:val="000000" w:themeColor="text1"/>
          <w:kern w:val="0"/>
          <w:sz w:val="32"/>
          <w:szCs w:val="32"/>
        </w:rPr>
        <w:t>关于检验情况的说明</w:t>
      </w:r>
    </w:p>
    <w:p w14:paraId="69A399FA">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MR环境安全评价研究报告</w:t>
      </w:r>
      <w:r>
        <w:rPr>
          <w:rFonts w:hint="eastAsia" w:eastAsia="仿宋_GB2312"/>
          <w:color w:val="000000" w:themeColor="text1"/>
          <w:sz w:val="32"/>
          <w:szCs w:val="32"/>
        </w:rPr>
        <w:t>需包含</w:t>
      </w:r>
      <w:r>
        <w:rPr>
          <w:rFonts w:eastAsia="仿宋_GB2312"/>
          <w:snapToGrid w:val="0"/>
          <w:color w:val="000000" w:themeColor="text1"/>
          <w:kern w:val="0"/>
          <w:sz w:val="32"/>
          <w:szCs w:val="32"/>
        </w:rPr>
        <w:t>检验</w:t>
      </w:r>
      <w:r>
        <w:rPr>
          <w:rFonts w:eastAsia="仿宋_GB2312"/>
          <w:color w:val="000000" w:themeColor="text1"/>
          <w:sz w:val="32"/>
          <w:szCs w:val="32"/>
        </w:rPr>
        <w:t>情况说明</w:t>
      </w:r>
      <w:r>
        <w:rPr>
          <w:rFonts w:hint="eastAsia" w:eastAsia="仿宋_GB2312"/>
          <w:color w:val="000000" w:themeColor="text1"/>
          <w:sz w:val="32"/>
          <w:szCs w:val="32"/>
        </w:rPr>
        <w:t>，提供</w:t>
      </w:r>
      <w:r>
        <w:rPr>
          <w:rFonts w:eastAsia="仿宋_GB2312"/>
          <w:color w:val="000000" w:themeColor="text1"/>
          <w:sz w:val="32"/>
          <w:szCs w:val="32"/>
        </w:rPr>
        <w:t>检测报告清单，明确检测报告对应的检验配置及检验类型。</w:t>
      </w:r>
    </w:p>
    <w:p w14:paraId="4CF9B364">
      <w:pPr>
        <w:numPr>
          <w:ilvl w:val="0"/>
          <w:numId w:val="1"/>
        </w:numPr>
        <w:overflowPunct w:val="0"/>
        <w:autoSpaceDE w:val="0"/>
        <w:autoSpaceDN w:val="0"/>
        <w:snapToGrid w:val="0"/>
        <w:spacing w:line="520" w:lineRule="exact"/>
        <w:ind w:left="0" w:firstLine="640" w:firstLineChars="200"/>
        <w:jc w:val="left"/>
        <w:outlineLvl w:val="1"/>
        <w:rPr>
          <w:rFonts w:eastAsia="仿宋_GB2312"/>
          <w:snapToGrid w:val="0"/>
          <w:color w:val="000000" w:themeColor="text1"/>
          <w:kern w:val="0"/>
          <w:sz w:val="32"/>
          <w:szCs w:val="32"/>
        </w:rPr>
      </w:pPr>
      <w:r>
        <w:rPr>
          <w:rFonts w:eastAsia="黑体"/>
          <w:snapToGrid w:val="0"/>
          <w:color w:val="000000" w:themeColor="text1"/>
          <w:kern w:val="0"/>
          <w:sz w:val="32"/>
          <w:szCs w:val="32"/>
        </w:rPr>
        <w:t>产品说明书和标签要求</w:t>
      </w:r>
    </w:p>
    <w:p w14:paraId="69F0758E">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产品说</w:t>
      </w:r>
      <w:r>
        <w:rPr>
          <w:rFonts w:eastAsia="仿宋_GB2312"/>
          <w:snapToGrid w:val="0"/>
          <w:color w:val="000000" w:themeColor="text1"/>
          <w:spacing w:val="4"/>
          <w:kern w:val="0"/>
          <w:sz w:val="32"/>
          <w:szCs w:val="32"/>
        </w:rPr>
        <w:t>明书、</w:t>
      </w:r>
      <w:r>
        <w:rPr>
          <w:rFonts w:eastAsia="仿宋_GB2312"/>
          <w:snapToGrid w:val="0"/>
          <w:color w:val="000000" w:themeColor="text1"/>
          <w:kern w:val="0"/>
          <w:sz w:val="32"/>
          <w:szCs w:val="32"/>
        </w:rPr>
        <w:t>标签和包装标识</w:t>
      </w:r>
      <w:r>
        <w:rPr>
          <w:rFonts w:eastAsia="仿宋_GB2312"/>
          <w:snapToGrid w:val="0"/>
          <w:color w:val="000000" w:themeColor="text1"/>
          <w:spacing w:val="4"/>
          <w:kern w:val="0"/>
          <w:sz w:val="32"/>
          <w:szCs w:val="32"/>
        </w:rPr>
        <w:t>应符合《医疗器械说明书和标签管理规定》（原国家食品药品监督管理总局令第6号）</w:t>
      </w:r>
      <w:r>
        <w:rPr>
          <w:rFonts w:eastAsia="仿宋_GB2312"/>
          <w:snapToGrid w:val="0"/>
          <w:color w:val="000000" w:themeColor="text1"/>
          <w:kern w:val="0"/>
          <w:sz w:val="32"/>
          <w:szCs w:val="32"/>
        </w:rPr>
        <w:t>和相关的国家标准、行业标准的要求。</w:t>
      </w:r>
    </w:p>
    <w:p w14:paraId="0DF2BF25">
      <w:pPr>
        <w:numPr>
          <w:ilvl w:val="0"/>
          <w:numId w:val="36"/>
        </w:numPr>
        <w:overflowPunct w:val="0"/>
        <w:autoSpaceDE w:val="0"/>
        <w:autoSpaceDN w:val="0"/>
        <w:snapToGrid w:val="0"/>
        <w:spacing w:line="520" w:lineRule="exact"/>
        <w:ind w:left="0" w:firstLine="640" w:firstLineChars="200"/>
        <w:jc w:val="left"/>
        <w:outlineLvl w:val="2"/>
        <w:rPr>
          <w:rFonts w:eastAsia="仿宋_GB2312"/>
          <w:snapToGrid w:val="0"/>
          <w:color w:val="000000" w:themeColor="text1"/>
          <w:kern w:val="0"/>
          <w:sz w:val="32"/>
          <w:szCs w:val="32"/>
        </w:rPr>
      </w:pPr>
      <w:r>
        <w:rPr>
          <w:rFonts w:eastAsia="楷体_GB2312"/>
          <w:snapToGrid w:val="0"/>
          <w:color w:val="000000" w:themeColor="text1"/>
          <w:kern w:val="0"/>
          <w:sz w:val="32"/>
          <w:szCs w:val="32"/>
        </w:rPr>
        <w:t>MR环境安全</w:t>
      </w:r>
      <w:r>
        <w:rPr>
          <w:rFonts w:hint="eastAsia" w:eastAsia="楷体_GB2312"/>
          <w:snapToGrid w:val="0"/>
          <w:color w:val="000000" w:themeColor="text1"/>
          <w:kern w:val="0"/>
          <w:sz w:val="32"/>
          <w:szCs w:val="32"/>
          <w:lang w:val="en-US" w:eastAsia="zh-CN"/>
        </w:rPr>
        <w:t>相关</w:t>
      </w:r>
      <w:r>
        <w:rPr>
          <w:rFonts w:eastAsia="楷体_GB2312"/>
          <w:snapToGrid w:val="0"/>
          <w:color w:val="000000" w:themeColor="text1"/>
          <w:kern w:val="0"/>
          <w:sz w:val="32"/>
          <w:szCs w:val="32"/>
        </w:rPr>
        <w:t>的随机文件</w:t>
      </w:r>
    </w:p>
    <w:p w14:paraId="0D5485B9">
      <w:pPr>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提供必要的随机文件</w:t>
      </w:r>
      <w:r>
        <w:rPr>
          <w:rFonts w:hint="eastAsia" w:eastAsia="仿宋_GB2312"/>
          <w:snapToGrid w:val="0"/>
          <w:color w:val="000000" w:themeColor="text1"/>
          <w:kern w:val="0"/>
          <w:sz w:val="32"/>
          <w:szCs w:val="32"/>
        </w:rPr>
        <w:t>，</w:t>
      </w:r>
      <w:r>
        <w:rPr>
          <w:rFonts w:eastAsia="仿宋_GB2312"/>
          <w:snapToGrid w:val="0"/>
          <w:color w:val="000000" w:themeColor="text1"/>
          <w:kern w:val="0"/>
          <w:sz w:val="32"/>
          <w:szCs w:val="32"/>
        </w:rPr>
        <w:t>以有源植入式医疗器械为例：</w:t>
      </w:r>
    </w:p>
    <w:p w14:paraId="3DAA9C0A">
      <w:pPr>
        <w:snapToGrid w:val="0"/>
        <w:spacing w:line="520" w:lineRule="exact"/>
        <w:ind w:firstLine="640" w:firstLineChars="200"/>
        <w:jc w:val="center"/>
        <w:rPr>
          <w:rFonts w:eastAsia="Heiti SC Medium"/>
          <w:snapToGrid w:val="0"/>
          <w:color w:val="000000" w:themeColor="text1"/>
          <w:sz w:val="22"/>
          <w:szCs w:val="22"/>
        </w:rPr>
      </w:pPr>
      <w:r>
        <w:rPr>
          <w:rFonts w:eastAsia="Heiti SC Medium"/>
          <w:snapToGrid w:val="0"/>
          <w:color w:val="000000" w:themeColor="text1"/>
          <w:sz w:val="32"/>
          <w:szCs w:val="32"/>
        </w:rPr>
        <w:t>表</w:t>
      </w:r>
      <w:r>
        <w:rPr>
          <w:rFonts w:hint="eastAsia" w:eastAsia="Heiti SC Medium"/>
          <w:snapToGrid w:val="0"/>
          <w:color w:val="000000" w:themeColor="text1"/>
          <w:sz w:val="32"/>
          <w:szCs w:val="32"/>
        </w:rPr>
        <w:t>8</w:t>
      </w:r>
      <w:r>
        <w:rPr>
          <w:rFonts w:eastAsia="Heiti SC Medium"/>
          <w:snapToGrid w:val="0"/>
          <w:color w:val="000000" w:themeColor="text1"/>
          <w:sz w:val="32"/>
          <w:szCs w:val="32"/>
        </w:rPr>
        <w:t>. MR环境安全的相关文件示例</w:t>
      </w:r>
    </w:p>
    <w:tbl>
      <w:tblPr>
        <w:tblStyle w:val="17"/>
        <w:tblW w:w="45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6"/>
        <w:gridCol w:w="4877"/>
      </w:tblGrid>
      <w:tr w14:paraId="54B4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pct"/>
            <w:vAlign w:val="center"/>
          </w:tcPr>
          <w:p w14:paraId="0F184E13">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附随文件类型</w:t>
            </w:r>
          </w:p>
        </w:tc>
        <w:tc>
          <w:tcPr>
            <w:tcW w:w="3129" w:type="pct"/>
            <w:vAlign w:val="center"/>
          </w:tcPr>
          <w:p w14:paraId="32945C0A">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适用人群</w:t>
            </w:r>
          </w:p>
        </w:tc>
      </w:tr>
      <w:tr w14:paraId="7438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pct"/>
            <w:vAlign w:val="center"/>
          </w:tcPr>
          <w:p w14:paraId="7355B901">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患者卡</w:t>
            </w:r>
          </w:p>
        </w:tc>
        <w:tc>
          <w:tcPr>
            <w:tcW w:w="3129" w:type="pct"/>
            <w:vAlign w:val="center"/>
          </w:tcPr>
          <w:p w14:paraId="7FDD0CB9">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患者、放射科医生，磁共振技师</w:t>
            </w:r>
          </w:p>
        </w:tc>
      </w:tr>
      <w:tr w14:paraId="7633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pct"/>
            <w:vAlign w:val="center"/>
          </w:tcPr>
          <w:p w14:paraId="44CD3D1B">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患者说明书</w:t>
            </w:r>
          </w:p>
        </w:tc>
        <w:tc>
          <w:tcPr>
            <w:tcW w:w="3129" w:type="pct"/>
            <w:vAlign w:val="center"/>
          </w:tcPr>
          <w:p w14:paraId="511B301F">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患者</w:t>
            </w:r>
          </w:p>
        </w:tc>
      </w:tr>
      <w:tr w14:paraId="465D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pct"/>
            <w:vAlign w:val="center"/>
          </w:tcPr>
          <w:p w14:paraId="5F7FFDFC">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医疗器械产品说明书</w:t>
            </w:r>
          </w:p>
        </w:tc>
        <w:tc>
          <w:tcPr>
            <w:tcW w:w="3129" w:type="pct"/>
            <w:vAlign w:val="center"/>
          </w:tcPr>
          <w:p w14:paraId="6BAABC47">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临床医生</w:t>
            </w:r>
          </w:p>
        </w:tc>
      </w:tr>
      <w:tr w14:paraId="640F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pct"/>
            <w:vAlign w:val="center"/>
          </w:tcPr>
          <w:p w14:paraId="4F90C50E">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MR环境安全说明书</w:t>
            </w:r>
          </w:p>
        </w:tc>
        <w:tc>
          <w:tcPr>
            <w:tcW w:w="3129" w:type="pct"/>
            <w:vAlign w:val="center"/>
          </w:tcPr>
          <w:p w14:paraId="23BDDC15">
            <w:pPr>
              <w:autoSpaceDE w:val="0"/>
              <w:autoSpaceDN w:val="0"/>
              <w:adjustRightInd w:val="0"/>
              <w:snapToGrid w:val="0"/>
              <w:spacing w:line="520" w:lineRule="exact"/>
              <w:jc w:val="center"/>
              <w:rPr>
                <w:rFonts w:eastAsia="仿宋_GB2312"/>
                <w:snapToGrid w:val="0"/>
                <w:color w:val="000000" w:themeColor="text1"/>
                <w:kern w:val="0"/>
                <w:sz w:val="28"/>
                <w:szCs w:val="28"/>
              </w:rPr>
            </w:pPr>
            <w:r>
              <w:rPr>
                <w:rFonts w:eastAsia="仿宋_GB2312"/>
                <w:snapToGrid w:val="0"/>
                <w:color w:val="000000" w:themeColor="text1"/>
                <w:kern w:val="0"/>
                <w:sz w:val="28"/>
                <w:szCs w:val="28"/>
              </w:rPr>
              <w:t>临床医生、放射科医生、磁共振技师</w:t>
            </w:r>
          </w:p>
        </w:tc>
      </w:tr>
    </w:tbl>
    <w:p w14:paraId="22D32C49">
      <w:pPr>
        <w:snapToGrid w:val="0"/>
        <w:spacing w:line="520" w:lineRule="exact"/>
        <w:rPr>
          <w:rFonts w:eastAsia="仿宋_GB2312"/>
          <w:snapToGrid w:val="0"/>
          <w:color w:val="000000" w:themeColor="text1"/>
          <w:kern w:val="0"/>
          <w:sz w:val="32"/>
          <w:szCs w:val="32"/>
        </w:rPr>
      </w:pPr>
    </w:p>
    <w:p w14:paraId="77057A50">
      <w:pPr>
        <w:numPr>
          <w:ilvl w:val="0"/>
          <w:numId w:val="36"/>
        </w:numPr>
        <w:overflowPunct w:val="0"/>
        <w:autoSpaceDE w:val="0"/>
        <w:autoSpaceDN w:val="0"/>
        <w:snapToGrid w:val="0"/>
        <w:spacing w:line="520" w:lineRule="exact"/>
        <w:ind w:left="0" w:firstLine="640" w:firstLineChars="200"/>
        <w:jc w:val="left"/>
        <w:outlineLvl w:val="2"/>
        <w:rPr>
          <w:rFonts w:eastAsia="楷体_GB2312"/>
          <w:snapToGrid w:val="0"/>
          <w:color w:val="000000" w:themeColor="text1"/>
          <w:kern w:val="0"/>
          <w:sz w:val="32"/>
          <w:szCs w:val="32"/>
        </w:rPr>
      </w:pPr>
      <w:r>
        <w:rPr>
          <w:rFonts w:hint="eastAsia" w:eastAsia="楷体_GB2312"/>
          <w:snapToGrid w:val="0"/>
          <w:color w:val="000000" w:themeColor="text1"/>
          <w:kern w:val="0"/>
          <w:sz w:val="32"/>
          <w:szCs w:val="32"/>
          <w:lang w:val="en-US" w:eastAsia="zh-CN"/>
        </w:rPr>
        <w:t>MR</w:t>
      </w:r>
      <w:r>
        <w:rPr>
          <w:rFonts w:eastAsia="楷体_GB2312"/>
          <w:snapToGrid w:val="0"/>
          <w:color w:val="000000" w:themeColor="text1"/>
          <w:kern w:val="0"/>
          <w:sz w:val="32"/>
          <w:szCs w:val="32"/>
        </w:rPr>
        <w:t>环境安全</w:t>
      </w:r>
      <w:r>
        <w:rPr>
          <w:rFonts w:hint="eastAsia" w:eastAsia="楷体_GB2312"/>
          <w:snapToGrid w:val="0"/>
          <w:color w:val="000000" w:themeColor="text1"/>
          <w:kern w:val="0"/>
          <w:sz w:val="32"/>
          <w:szCs w:val="32"/>
          <w:lang w:val="en-US" w:eastAsia="zh-CN"/>
        </w:rPr>
        <w:t>相关的</w:t>
      </w:r>
      <w:r>
        <w:rPr>
          <w:rFonts w:eastAsia="楷体_GB2312"/>
          <w:snapToGrid w:val="0"/>
          <w:color w:val="000000" w:themeColor="text1"/>
          <w:kern w:val="0"/>
          <w:sz w:val="32"/>
          <w:szCs w:val="32"/>
        </w:rPr>
        <w:t>说明书</w:t>
      </w:r>
      <w:r>
        <w:rPr>
          <w:rFonts w:hint="eastAsia" w:eastAsia="楷体_GB2312"/>
          <w:snapToGrid w:val="0"/>
          <w:color w:val="000000" w:themeColor="text1"/>
          <w:kern w:val="0"/>
          <w:sz w:val="32"/>
          <w:szCs w:val="32"/>
          <w:lang w:val="en-US" w:eastAsia="zh-CN"/>
        </w:rPr>
        <w:t>内容</w:t>
      </w:r>
      <w:r>
        <w:rPr>
          <w:rFonts w:hint="default" w:eastAsia="楷体_GB2312"/>
          <w:snapToGrid w:val="0"/>
          <w:color w:val="000000" w:themeColor="text1"/>
          <w:kern w:val="0"/>
          <w:sz w:val="32"/>
          <w:szCs w:val="32"/>
          <w:lang w:val="en-US" w:eastAsia="zh-CN"/>
        </w:rPr>
        <w:t>要求</w:t>
      </w:r>
    </w:p>
    <w:p w14:paraId="1F8D93D7">
      <w:pPr>
        <w:numPr>
          <w:ilvl w:val="0"/>
          <w:numId w:val="37"/>
        </w:numPr>
        <w:overflowPunct w:val="0"/>
        <w:autoSpaceDE w:val="0"/>
        <w:autoSpaceDN w:val="0"/>
        <w:snapToGrid w:val="0"/>
        <w:spacing w:line="520" w:lineRule="exact"/>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产品型号、配置、组成</w:t>
      </w:r>
    </w:p>
    <w:p w14:paraId="34583E42">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覆盖注册单元内的全部规格型号、产品配置、结构组成。</w:t>
      </w:r>
    </w:p>
    <w:p w14:paraId="148B3324">
      <w:pPr>
        <w:numPr>
          <w:ilvl w:val="0"/>
          <w:numId w:val="37"/>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适用范围与禁忌证</w:t>
      </w:r>
    </w:p>
    <w:p w14:paraId="4527AB78">
      <w:pPr>
        <w:numPr>
          <w:ilvl w:val="0"/>
          <w:numId w:val="38"/>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适用范围</w:t>
      </w:r>
    </w:p>
    <w:p w14:paraId="3484890B">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明确产品预期用途，规定操作人员应具备的技能、知识和培训要求。</w:t>
      </w:r>
    </w:p>
    <w:p w14:paraId="45401A6C">
      <w:pPr>
        <w:numPr>
          <w:ilvl w:val="0"/>
          <w:numId w:val="38"/>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预期使用环境</w:t>
      </w:r>
    </w:p>
    <w:p w14:paraId="30B71060">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明确使用地点和使用环境。</w:t>
      </w:r>
    </w:p>
    <w:p w14:paraId="50BDC60A">
      <w:pPr>
        <w:numPr>
          <w:ilvl w:val="0"/>
          <w:numId w:val="38"/>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产品安装和调试</w:t>
      </w:r>
    </w:p>
    <w:p w14:paraId="7A476C2D">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若适用，</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说明磁共振环境内的产品布置、电源类型、地线埋设、通电试验及性能调试等必要内容，提供安装示意图。</w:t>
      </w:r>
    </w:p>
    <w:p w14:paraId="64B44EC7">
      <w:pPr>
        <w:numPr>
          <w:ilvl w:val="0"/>
          <w:numId w:val="38"/>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适用人群</w:t>
      </w:r>
    </w:p>
    <w:p w14:paraId="0EE93AED">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依据临床评价资料，明确产品适用人群。例如：患者身高不少于1.4m，在仰卧位接受扫描，时间总长小于30min。</w:t>
      </w:r>
    </w:p>
    <w:p w14:paraId="19A3D345">
      <w:pPr>
        <w:numPr>
          <w:ilvl w:val="0"/>
          <w:numId w:val="38"/>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禁忌证</w:t>
      </w:r>
    </w:p>
    <w:p w14:paraId="29548856">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若适用，</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说明产品的禁忌证。</w:t>
      </w:r>
    </w:p>
    <w:p w14:paraId="6F930306">
      <w:pPr>
        <w:numPr>
          <w:ilvl w:val="0"/>
          <w:numId w:val="38"/>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产品接口和联合使用设备</w:t>
      </w:r>
    </w:p>
    <w:p w14:paraId="64A9A61A">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lang w:val="zh-CN"/>
        </w:rPr>
        <w:t>说明</w:t>
      </w:r>
      <w:r>
        <w:rPr>
          <w:rFonts w:eastAsia="仿宋_GB2312"/>
          <w:snapToGrid w:val="0"/>
          <w:color w:val="000000" w:themeColor="text1"/>
          <w:kern w:val="0"/>
          <w:sz w:val="32"/>
          <w:szCs w:val="32"/>
        </w:rPr>
        <w:t>与申报产品联合使用的设备型号和制造商，规范接口要求，以及联合使用注意事项。</w:t>
      </w:r>
    </w:p>
    <w:p w14:paraId="3CA73D10">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若使用时需要医务人员进行连接，</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提供详细连接方法。</w:t>
      </w:r>
    </w:p>
    <w:p w14:paraId="00BCE6A4">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说明外接设备、连接构成的系统需要符合的安全标准，以及其他必要信息。</w:t>
      </w:r>
    </w:p>
    <w:p w14:paraId="6F37C1A7">
      <w:pPr>
        <w:numPr>
          <w:ilvl w:val="0"/>
          <w:numId w:val="37"/>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性能指标</w:t>
      </w:r>
      <w:r>
        <w:rPr>
          <w:rFonts w:eastAsia="楷体_GB2312"/>
          <w:snapToGrid w:val="0"/>
          <w:color w:val="000000" w:themeColor="text1"/>
          <w:kern w:val="0"/>
          <w:sz w:val="32"/>
          <w:szCs w:val="32"/>
        </w:rPr>
        <w:t>和技术参数</w:t>
      </w:r>
    </w:p>
    <w:p w14:paraId="0FB8BAE0">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应提供符合相关标准的产品指标要求。</w:t>
      </w:r>
    </w:p>
    <w:p w14:paraId="4387C8E5">
      <w:pPr>
        <w:overflowPunct w:val="0"/>
        <w:autoSpaceDE w:val="0"/>
        <w:autoSpaceDN w:val="0"/>
        <w:snapToGrid w:val="0"/>
        <w:spacing w:line="520" w:lineRule="exact"/>
        <w:ind w:firstLine="640" w:firstLineChars="200"/>
        <w:jc w:val="left"/>
        <w:rPr>
          <w:rFonts w:eastAsia="仿宋_GB2312"/>
          <w:snapToGrid w:val="0"/>
          <w:color w:val="000000" w:themeColor="text1"/>
          <w:kern w:val="0"/>
          <w:sz w:val="32"/>
          <w:szCs w:val="32"/>
        </w:rPr>
      </w:pPr>
      <w:r>
        <w:rPr>
          <w:rFonts w:eastAsia="仿宋_GB2312"/>
          <w:snapToGrid w:val="0"/>
          <w:color w:val="000000" w:themeColor="text1"/>
          <w:kern w:val="0"/>
          <w:sz w:val="32"/>
          <w:szCs w:val="32"/>
        </w:rPr>
        <w:t>参考国际标准制定产品技术参数的情形，应明确采用理由并提供相关证据。</w:t>
      </w:r>
    </w:p>
    <w:p w14:paraId="06C5E7C6">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除符合相关标准要求之外，说明书还应提供产品技术要求规定的重要性能指标。</w:t>
      </w:r>
    </w:p>
    <w:p w14:paraId="31AFF539">
      <w:pPr>
        <w:numPr>
          <w:ilvl w:val="0"/>
          <w:numId w:val="37"/>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楷体_GB2312"/>
          <w:snapToGrid w:val="0"/>
          <w:color w:val="000000" w:themeColor="text1"/>
          <w:kern w:val="0"/>
          <w:sz w:val="32"/>
          <w:szCs w:val="32"/>
        </w:rPr>
        <w:t>注意</w:t>
      </w:r>
      <w:r>
        <w:rPr>
          <w:rFonts w:eastAsia="仿宋_GB2312"/>
          <w:snapToGrid w:val="0"/>
          <w:color w:val="000000" w:themeColor="text1"/>
          <w:kern w:val="0"/>
          <w:sz w:val="32"/>
          <w:szCs w:val="32"/>
        </w:rPr>
        <w:t>事项</w:t>
      </w:r>
      <w:r>
        <w:rPr>
          <w:rFonts w:eastAsia="楷体_GB2312"/>
          <w:snapToGrid w:val="0"/>
          <w:color w:val="000000" w:themeColor="text1"/>
          <w:kern w:val="0"/>
          <w:sz w:val="32"/>
          <w:szCs w:val="32"/>
        </w:rPr>
        <w:t>、警告以及提示</w:t>
      </w:r>
    </w:p>
    <w:p w14:paraId="4B34FACC">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应提供MR环境安全操作的相关必要信息，说明书中一般以“危险”、“警告”和“注意”的形式出现。</w:t>
      </w:r>
    </w:p>
    <w:p w14:paraId="2224BFD0">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例如：附随文件应当包括关于MR扫描对携带有源植入式医疗器械患者造成伤害的一般警告信息。</w:t>
      </w:r>
    </w:p>
    <w:p w14:paraId="6E12F250">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sz w:val="32"/>
          <w:szCs w:val="32"/>
        </w:rPr>
        <w:t>例如：附随文件应当指导患者在MR扫描前咨询有源植入式医疗器械的</w:t>
      </w:r>
      <w:r>
        <w:rPr>
          <w:rFonts w:hint="eastAsia" w:eastAsia="仿宋_GB2312"/>
          <w:snapToGrid w:val="0"/>
          <w:color w:val="000000" w:themeColor="text1"/>
          <w:sz w:val="32"/>
          <w:szCs w:val="32"/>
        </w:rPr>
        <w:t>相关医</w:t>
      </w:r>
      <w:r>
        <w:rPr>
          <w:rFonts w:eastAsia="仿宋_GB2312"/>
          <w:snapToGrid w:val="0"/>
          <w:color w:val="000000" w:themeColor="text1"/>
          <w:sz w:val="32"/>
          <w:szCs w:val="32"/>
        </w:rPr>
        <w:t>生。</w:t>
      </w:r>
    </w:p>
    <w:p w14:paraId="1D06FA58">
      <w:pPr>
        <w:numPr>
          <w:ilvl w:val="0"/>
          <w:numId w:val="37"/>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产品日常维护和质量控制</w:t>
      </w:r>
    </w:p>
    <w:p w14:paraId="5CF35DBC">
      <w:pPr>
        <w:overflowPunct w:val="0"/>
        <w:autoSpaceDE w:val="0"/>
        <w:autoSpaceDN w:val="0"/>
        <w:snapToGrid w:val="0"/>
        <w:spacing w:line="520" w:lineRule="exact"/>
        <w:ind w:firstLine="640" w:firstLineChars="200"/>
        <w:rPr>
          <w:rFonts w:eastAsia="仿宋_GB2312"/>
          <w:snapToGrid w:val="0"/>
          <w:color w:val="000000" w:themeColor="text1"/>
          <w:kern w:val="0"/>
          <w:sz w:val="32"/>
          <w:szCs w:val="32"/>
        </w:rPr>
      </w:pP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提供整机质量控制的维护周期和质量检验方法，以及相关标准。</w:t>
      </w:r>
    </w:p>
    <w:p w14:paraId="514BD34A">
      <w:pPr>
        <w:numPr>
          <w:ilvl w:val="0"/>
          <w:numId w:val="37"/>
        </w:numPr>
        <w:overflowPunct w:val="0"/>
        <w:autoSpaceDE w:val="0"/>
        <w:autoSpaceDN w:val="0"/>
        <w:snapToGrid w:val="0"/>
        <w:spacing w:line="520" w:lineRule="exact"/>
        <w:ind w:left="0" w:firstLine="640" w:firstLineChars="200"/>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其他</w:t>
      </w:r>
    </w:p>
    <w:p w14:paraId="5C93CB23">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附随文件</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包含指导用户查看</w:t>
      </w:r>
      <w:r>
        <w:rPr>
          <w:rFonts w:hint="eastAsia" w:eastAsia="仿宋_GB2312"/>
          <w:snapToGrid w:val="0"/>
          <w:color w:val="000000" w:themeColor="text1"/>
          <w:kern w:val="0"/>
          <w:sz w:val="32"/>
          <w:szCs w:val="32"/>
        </w:rPr>
        <w:t>产品</w:t>
      </w:r>
      <w:r>
        <w:rPr>
          <w:rFonts w:eastAsia="仿宋_GB2312"/>
          <w:snapToGrid w:val="0"/>
          <w:color w:val="000000" w:themeColor="text1"/>
          <w:kern w:val="0"/>
          <w:sz w:val="32"/>
          <w:szCs w:val="32"/>
        </w:rPr>
        <w:t>MR环境安全标签的声明。</w:t>
      </w:r>
    </w:p>
    <w:p w14:paraId="7EF96AD2">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附随文件</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确认医疗器械以及</w:t>
      </w:r>
      <w:r>
        <w:rPr>
          <w:rFonts w:hint="eastAsia" w:eastAsia="仿宋_GB2312"/>
          <w:snapToGrid w:val="0"/>
          <w:color w:val="000000" w:themeColor="text1"/>
          <w:kern w:val="0"/>
          <w:sz w:val="32"/>
          <w:szCs w:val="32"/>
        </w:rPr>
        <w:t>构成</w:t>
      </w:r>
      <w:r>
        <w:rPr>
          <w:rFonts w:eastAsia="仿宋_GB2312"/>
          <w:snapToGrid w:val="0"/>
          <w:color w:val="000000" w:themeColor="text1"/>
          <w:kern w:val="0"/>
          <w:sz w:val="32"/>
          <w:szCs w:val="32"/>
        </w:rPr>
        <w:t>系统</w:t>
      </w:r>
      <w:r>
        <w:rPr>
          <w:rFonts w:hint="eastAsia" w:eastAsia="仿宋_GB2312"/>
          <w:snapToGrid w:val="0"/>
          <w:color w:val="000000" w:themeColor="text1"/>
          <w:kern w:val="0"/>
          <w:sz w:val="32"/>
          <w:szCs w:val="32"/>
        </w:rPr>
        <w:t>的所有</w:t>
      </w:r>
      <w:r>
        <w:rPr>
          <w:rFonts w:eastAsia="仿宋_GB2312"/>
          <w:snapToGrid w:val="0"/>
          <w:color w:val="000000" w:themeColor="text1"/>
          <w:kern w:val="0"/>
          <w:sz w:val="32"/>
          <w:szCs w:val="32"/>
        </w:rPr>
        <w:t>部件</w:t>
      </w:r>
      <w:r>
        <w:rPr>
          <w:rFonts w:hint="eastAsia" w:eastAsia="仿宋_GB2312"/>
          <w:snapToGrid w:val="0"/>
          <w:color w:val="000000" w:themeColor="text1"/>
          <w:kern w:val="0"/>
          <w:sz w:val="32"/>
          <w:szCs w:val="32"/>
        </w:rPr>
        <w:t>的MR环境安全等级，</w:t>
      </w:r>
      <w:r>
        <w:rPr>
          <w:rFonts w:eastAsia="仿宋_GB2312"/>
          <w:snapToGrid w:val="0"/>
          <w:color w:val="000000" w:themeColor="text1"/>
          <w:kern w:val="0"/>
          <w:sz w:val="32"/>
          <w:szCs w:val="32"/>
        </w:rPr>
        <w:t>说明配患者安全接受</w:t>
      </w:r>
      <w:r>
        <w:rPr>
          <w:rFonts w:hint="eastAsia" w:eastAsia="仿宋_GB2312"/>
          <w:snapToGrid w:val="0"/>
          <w:color w:val="000000" w:themeColor="text1"/>
          <w:kern w:val="0"/>
          <w:sz w:val="32"/>
          <w:szCs w:val="32"/>
        </w:rPr>
        <w:t>MR</w:t>
      </w:r>
      <w:r>
        <w:rPr>
          <w:rFonts w:eastAsia="仿宋_GB2312"/>
          <w:snapToGrid w:val="0"/>
          <w:color w:val="000000" w:themeColor="text1"/>
          <w:kern w:val="0"/>
          <w:sz w:val="32"/>
          <w:szCs w:val="32"/>
        </w:rPr>
        <w:t>扫描的</w:t>
      </w:r>
      <w:r>
        <w:rPr>
          <w:rFonts w:hint="eastAsia" w:eastAsia="仿宋_GB2312"/>
          <w:snapToGrid w:val="0"/>
          <w:color w:val="000000" w:themeColor="text1"/>
          <w:kern w:val="0"/>
          <w:sz w:val="32"/>
          <w:szCs w:val="32"/>
        </w:rPr>
        <w:t>具体</w:t>
      </w:r>
      <w:r>
        <w:rPr>
          <w:rFonts w:eastAsia="仿宋_GB2312"/>
          <w:snapToGrid w:val="0"/>
          <w:color w:val="000000" w:themeColor="text1"/>
          <w:kern w:val="0"/>
          <w:sz w:val="32"/>
          <w:szCs w:val="32"/>
        </w:rPr>
        <w:t>条件</w:t>
      </w:r>
      <w:r>
        <w:rPr>
          <w:rFonts w:hint="eastAsia" w:eastAsia="仿宋_GB2312"/>
          <w:snapToGrid w:val="0"/>
          <w:color w:val="000000" w:themeColor="text1"/>
          <w:kern w:val="0"/>
          <w:sz w:val="32"/>
          <w:szCs w:val="32"/>
        </w:rPr>
        <w:t>和要求</w:t>
      </w:r>
      <w:r>
        <w:rPr>
          <w:rFonts w:eastAsia="仿宋_GB2312"/>
          <w:snapToGrid w:val="0"/>
          <w:color w:val="000000" w:themeColor="text1"/>
          <w:kern w:val="0"/>
          <w:sz w:val="32"/>
          <w:szCs w:val="32"/>
        </w:rPr>
        <w:t>。</w:t>
      </w:r>
    </w:p>
    <w:p w14:paraId="6861D13B">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附随文件</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包括对患者安全实施MR扫描的说明</w:t>
      </w:r>
      <w:r>
        <w:rPr>
          <w:rFonts w:hint="eastAsia" w:eastAsia="仿宋_GB2312"/>
          <w:snapToGrid w:val="0"/>
          <w:color w:val="000000" w:themeColor="text1"/>
          <w:kern w:val="0"/>
          <w:sz w:val="32"/>
          <w:szCs w:val="32"/>
        </w:rPr>
        <w:t>，例如</w:t>
      </w:r>
      <w:r>
        <w:rPr>
          <w:rFonts w:eastAsia="仿宋_GB2312"/>
          <w:snapToGrid w:val="0"/>
          <w:color w:val="000000" w:themeColor="text1"/>
          <w:kern w:val="0"/>
          <w:sz w:val="32"/>
          <w:szCs w:val="32"/>
        </w:rPr>
        <w:t>患者准备、程序说明、特殊工作模式、所需桌边设备、扫描中</w:t>
      </w:r>
      <w:r>
        <w:rPr>
          <w:rFonts w:hint="eastAsia" w:eastAsia="仿宋_GB2312"/>
          <w:snapToGrid w:val="0"/>
          <w:color w:val="000000" w:themeColor="text1"/>
          <w:kern w:val="0"/>
          <w:sz w:val="32"/>
          <w:szCs w:val="32"/>
        </w:rPr>
        <w:t>和</w:t>
      </w:r>
      <w:r>
        <w:rPr>
          <w:rFonts w:eastAsia="仿宋_GB2312"/>
          <w:snapToGrid w:val="0"/>
          <w:color w:val="000000" w:themeColor="text1"/>
          <w:kern w:val="0"/>
          <w:sz w:val="32"/>
          <w:szCs w:val="32"/>
        </w:rPr>
        <w:t>结束后的患者监测或干预</w:t>
      </w:r>
      <w:r>
        <w:rPr>
          <w:rFonts w:hint="eastAsia" w:eastAsia="仿宋_GB2312"/>
          <w:snapToGrid w:val="0"/>
          <w:color w:val="000000" w:themeColor="text1"/>
          <w:kern w:val="0"/>
          <w:sz w:val="32"/>
          <w:szCs w:val="32"/>
        </w:rPr>
        <w:t>措施等，</w:t>
      </w:r>
      <w:r>
        <w:rPr>
          <w:rFonts w:eastAsia="仿宋_GB2312"/>
          <w:snapToGrid w:val="0"/>
          <w:color w:val="000000" w:themeColor="text1"/>
          <w:kern w:val="0"/>
          <w:sz w:val="32"/>
          <w:szCs w:val="32"/>
        </w:rPr>
        <w:t>或者确保安全性的其他类似说明。</w:t>
      </w:r>
    </w:p>
    <w:p w14:paraId="4D1232B5">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附随</w:t>
      </w:r>
      <w:r>
        <w:rPr>
          <w:rFonts w:hint="eastAsia" w:eastAsia="仿宋_GB2312"/>
          <w:snapToGrid w:val="0"/>
          <w:color w:val="000000" w:themeColor="text1"/>
          <w:kern w:val="0"/>
          <w:sz w:val="32"/>
          <w:szCs w:val="32"/>
        </w:rPr>
        <w:t>文件需</w:t>
      </w:r>
      <w:r>
        <w:rPr>
          <w:rFonts w:eastAsia="仿宋_GB2312"/>
          <w:snapToGrid w:val="0"/>
          <w:color w:val="000000" w:themeColor="text1"/>
          <w:kern w:val="0"/>
          <w:sz w:val="32"/>
          <w:szCs w:val="32"/>
        </w:rPr>
        <w:t>说明MR扫描中的所有计划和预期器械操作。</w:t>
      </w:r>
    </w:p>
    <w:p w14:paraId="32671397">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例如：有源植入式医疗器械</w:t>
      </w:r>
      <w:r>
        <w:rPr>
          <w:rFonts w:hint="eastAsia" w:eastAsia="仿宋_GB2312"/>
          <w:snapToGrid w:val="0"/>
          <w:color w:val="000000" w:themeColor="text1"/>
          <w:kern w:val="0"/>
          <w:sz w:val="32"/>
          <w:szCs w:val="32"/>
        </w:rPr>
        <w:t>可能</w:t>
      </w:r>
      <w:r>
        <w:rPr>
          <w:rFonts w:eastAsia="仿宋_GB2312"/>
          <w:snapToGrid w:val="0"/>
          <w:color w:val="000000" w:themeColor="text1"/>
          <w:kern w:val="0"/>
          <w:sz w:val="32"/>
          <w:szCs w:val="32"/>
        </w:rPr>
        <w:t>干扰MR数据采集，造成MR</w:t>
      </w:r>
      <w:r>
        <w:rPr>
          <w:rFonts w:hint="eastAsia" w:eastAsia="仿宋_GB2312"/>
          <w:snapToGrid w:val="0"/>
          <w:color w:val="000000" w:themeColor="text1"/>
          <w:kern w:val="0"/>
          <w:sz w:val="32"/>
          <w:szCs w:val="32"/>
        </w:rPr>
        <w:t>图像</w:t>
      </w:r>
      <w:r>
        <w:rPr>
          <w:rFonts w:eastAsia="仿宋_GB2312"/>
          <w:snapToGrid w:val="0"/>
          <w:color w:val="000000" w:themeColor="text1"/>
          <w:kern w:val="0"/>
          <w:sz w:val="32"/>
          <w:szCs w:val="32"/>
        </w:rPr>
        <w:t>伪影。附随文件</w:t>
      </w:r>
      <w:r>
        <w:rPr>
          <w:rFonts w:hint="eastAsia" w:eastAsia="仿宋_GB2312"/>
          <w:snapToGrid w:val="0"/>
          <w:color w:val="000000" w:themeColor="text1"/>
          <w:kern w:val="0"/>
          <w:sz w:val="32"/>
          <w:szCs w:val="32"/>
        </w:rPr>
        <w:t>需</w:t>
      </w:r>
      <w:r>
        <w:rPr>
          <w:rFonts w:eastAsia="仿宋_GB2312"/>
          <w:snapToGrid w:val="0"/>
          <w:color w:val="000000" w:themeColor="text1"/>
          <w:kern w:val="0"/>
          <w:sz w:val="32"/>
          <w:szCs w:val="32"/>
        </w:rPr>
        <w:t>包括与有源植入式医疗器械导致MR图像伪影的声明。</w:t>
      </w:r>
    </w:p>
    <w:p w14:paraId="22829352">
      <w:pPr>
        <w:numPr>
          <w:ilvl w:val="0"/>
          <w:numId w:val="36"/>
        </w:numPr>
        <w:overflowPunct w:val="0"/>
        <w:autoSpaceDE w:val="0"/>
        <w:autoSpaceDN w:val="0"/>
        <w:snapToGrid w:val="0"/>
        <w:spacing w:line="520" w:lineRule="exact"/>
        <w:ind w:left="0" w:firstLine="640" w:firstLineChars="200"/>
        <w:jc w:val="left"/>
        <w:outlineLvl w:val="2"/>
        <w:rPr>
          <w:rFonts w:eastAsia="仿宋_GB2312"/>
          <w:snapToGrid w:val="0"/>
          <w:color w:val="000000" w:themeColor="text1"/>
          <w:sz w:val="32"/>
          <w:szCs w:val="32"/>
        </w:rPr>
      </w:pPr>
      <w:bookmarkStart w:id="11" w:name="_Toc521089823"/>
      <w:r>
        <w:rPr>
          <w:rFonts w:hint="eastAsia" w:eastAsia="楷体_GB2312"/>
          <w:snapToGrid w:val="0"/>
          <w:color w:val="000000" w:themeColor="text1"/>
          <w:kern w:val="0"/>
          <w:sz w:val="32"/>
          <w:szCs w:val="32"/>
          <w:lang w:val="en-US" w:eastAsia="zh-CN"/>
        </w:rPr>
        <w:t>MR</w:t>
      </w:r>
      <w:r>
        <w:rPr>
          <w:rFonts w:eastAsia="楷体_GB2312"/>
          <w:snapToGrid w:val="0"/>
          <w:color w:val="000000" w:themeColor="text1"/>
          <w:kern w:val="0"/>
          <w:sz w:val="32"/>
          <w:szCs w:val="32"/>
        </w:rPr>
        <w:t>环境安全</w:t>
      </w:r>
      <w:r>
        <w:rPr>
          <w:rFonts w:hint="eastAsia" w:eastAsia="楷体_GB2312"/>
          <w:snapToGrid w:val="0"/>
          <w:color w:val="000000" w:themeColor="text1"/>
          <w:kern w:val="0"/>
          <w:sz w:val="32"/>
          <w:szCs w:val="32"/>
          <w:lang w:val="en-US" w:eastAsia="zh-CN"/>
        </w:rPr>
        <w:t>相关的</w:t>
      </w:r>
      <w:r>
        <w:rPr>
          <w:rFonts w:eastAsia="楷体_GB2312"/>
          <w:snapToGrid w:val="0"/>
          <w:color w:val="000000" w:themeColor="text1"/>
          <w:kern w:val="0"/>
          <w:sz w:val="32"/>
          <w:szCs w:val="32"/>
        </w:rPr>
        <w:t>标签</w:t>
      </w:r>
      <w:bookmarkEnd w:id="11"/>
      <w:r>
        <w:rPr>
          <w:rFonts w:hint="eastAsia" w:eastAsia="楷体_GB2312"/>
          <w:snapToGrid w:val="0"/>
          <w:color w:val="000000" w:themeColor="text1"/>
          <w:kern w:val="0"/>
          <w:sz w:val="32"/>
          <w:szCs w:val="32"/>
          <w:lang w:val="en-US" w:eastAsia="zh-CN"/>
        </w:rPr>
        <w:t>内容要求</w:t>
      </w:r>
    </w:p>
    <w:p w14:paraId="1F2A1183">
      <w:pPr>
        <w:snapToGrid w:val="0"/>
        <w:spacing w:line="520" w:lineRule="exact"/>
        <w:ind w:firstLine="640" w:firstLineChars="200"/>
        <w:rPr>
          <w:rFonts w:eastAsia="仿宋_GB2312"/>
          <w:color w:val="000000" w:themeColor="text1"/>
          <w:sz w:val="32"/>
          <w:szCs w:val="36"/>
        </w:rPr>
      </w:pPr>
      <w:r>
        <w:rPr>
          <w:rFonts w:eastAsia="仿宋_GB2312"/>
          <w:color w:val="000000" w:themeColor="text1"/>
          <w:sz w:val="32"/>
          <w:szCs w:val="36"/>
        </w:rPr>
        <w:t>根据申请人评估结果，</w:t>
      </w:r>
      <w:r>
        <w:rPr>
          <w:rFonts w:hint="eastAsia" w:eastAsia="仿宋_GB2312"/>
          <w:color w:val="000000" w:themeColor="text1"/>
          <w:sz w:val="32"/>
          <w:szCs w:val="36"/>
          <w:lang w:val="en-US" w:eastAsia="zh-CN"/>
        </w:rPr>
        <w:t>并</w:t>
      </w:r>
      <w:r>
        <w:rPr>
          <w:rFonts w:hint="eastAsia" w:eastAsia="仿宋_GB2312"/>
          <w:color w:val="000000" w:themeColor="text1"/>
          <w:sz w:val="32"/>
          <w:szCs w:val="36"/>
        </w:rPr>
        <w:t>结合产品注册申报的宣称内容</w:t>
      </w:r>
      <w:r>
        <w:rPr>
          <w:rFonts w:hint="eastAsia" w:eastAsia="仿宋_GB2312"/>
          <w:color w:val="000000" w:themeColor="text1"/>
          <w:sz w:val="32"/>
          <w:szCs w:val="36"/>
          <w:lang w:eastAsia="zh-CN"/>
        </w:rPr>
        <w:t>，</w:t>
      </w:r>
      <w:r>
        <w:rPr>
          <w:rFonts w:hint="eastAsia" w:eastAsia="仿宋_GB2312"/>
          <w:color w:val="000000" w:themeColor="text1"/>
          <w:sz w:val="32"/>
          <w:szCs w:val="36"/>
          <w:lang w:val="en-US" w:eastAsia="zh-CN"/>
        </w:rPr>
        <w:t>需</w:t>
      </w:r>
      <w:r>
        <w:rPr>
          <w:rFonts w:eastAsia="仿宋_GB2312"/>
          <w:color w:val="000000" w:themeColor="text1"/>
          <w:sz w:val="32"/>
          <w:szCs w:val="36"/>
        </w:rPr>
        <w:t>将医疗器械标识为MR安全、MR不安全或MR条件安全，并在标签中包含YY/T 1928</w:t>
      </w:r>
      <w:r>
        <w:rPr>
          <w:rFonts w:hint="eastAsia" w:eastAsia="仿宋_GB2312"/>
          <w:color w:val="000000" w:themeColor="text1"/>
          <w:sz w:val="32"/>
          <w:szCs w:val="36"/>
        </w:rPr>
        <w:t>规定</w:t>
      </w:r>
      <w:r>
        <w:rPr>
          <w:rFonts w:eastAsia="仿宋_GB2312"/>
          <w:color w:val="000000" w:themeColor="text1"/>
          <w:sz w:val="32"/>
          <w:szCs w:val="36"/>
        </w:rPr>
        <w:t>的符号、术语。</w:t>
      </w:r>
    </w:p>
    <w:p w14:paraId="6855325A">
      <w:pPr>
        <w:snapToGrid w:val="0"/>
        <w:spacing w:line="520" w:lineRule="exact"/>
        <w:ind w:firstLine="640" w:firstLineChars="200"/>
        <w:rPr>
          <w:rFonts w:eastAsia="仿宋_GB2312"/>
          <w:color w:val="000000" w:themeColor="text1"/>
          <w:sz w:val="32"/>
          <w:szCs w:val="36"/>
        </w:rPr>
      </w:pPr>
      <w:r>
        <w:rPr>
          <w:rFonts w:eastAsia="仿宋_GB2312"/>
          <w:color w:val="000000" w:themeColor="text1"/>
          <w:sz w:val="32"/>
          <w:szCs w:val="36"/>
        </w:rPr>
        <w:t>MR安全标签应包括</w:t>
      </w:r>
      <w:r>
        <w:rPr>
          <w:rFonts w:eastAsia="仿宋_GB2312"/>
          <w:snapToGrid w:val="0"/>
          <w:color w:val="000000" w:themeColor="text1"/>
          <w:kern w:val="0"/>
          <w:sz w:val="32"/>
          <w:szCs w:val="32"/>
        </w:rPr>
        <w:t>针对</w:t>
      </w:r>
      <w:r>
        <w:rPr>
          <w:rFonts w:eastAsia="仿宋_GB2312"/>
          <w:color w:val="000000" w:themeColor="text1"/>
          <w:sz w:val="32"/>
          <w:szCs w:val="36"/>
        </w:rPr>
        <w:t>患者和医疗保健提供者的信息。对于特定的医疗器械，</w:t>
      </w:r>
      <w:r>
        <w:rPr>
          <w:rFonts w:hint="eastAsia" w:eastAsia="仿宋_GB2312"/>
          <w:color w:val="000000" w:themeColor="text1"/>
          <w:sz w:val="32"/>
          <w:szCs w:val="36"/>
        </w:rPr>
        <w:t>需</w:t>
      </w:r>
      <w:r>
        <w:rPr>
          <w:rFonts w:eastAsia="仿宋_GB2312"/>
          <w:color w:val="000000" w:themeColor="text1"/>
          <w:sz w:val="32"/>
          <w:szCs w:val="36"/>
        </w:rPr>
        <w:t>包括以下信息：植入或开具医疗器械的</w:t>
      </w:r>
      <w:r>
        <w:rPr>
          <w:rFonts w:hint="eastAsia" w:eastAsia="仿宋_GB2312"/>
          <w:color w:val="000000" w:themeColor="text1"/>
          <w:sz w:val="32"/>
          <w:szCs w:val="36"/>
        </w:rPr>
        <w:t>医务人员</w:t>
      </w:r>
      <w:r>
        <w:rPr>
          <w:rFonts w:eastAsia="仿宋_GB2312"/>
          <w:color w:val="000000" w:themeColor="text1"/>
          <w:sz w:val="32"/>
          <w:szCs w:val="36"/>
        </w:rPr>
        <w:t>的信息、使用医疗器械为患者提供持续护理的医生或其他</w:t>
      </w:r>
      <w:r>
        <w:rPr>
          <w:rFonts w:hint="eastAsia" w:eastAsia="仿宋_GB2312"/>
          <w:color w:val="000000" w:themeColor="text1"/>
          <w:sz w:val="32"/>
          <w:szCs w:val="36"/>
        </w:rPr>
        <w:t>医务人员</w:t>
      </w:r>
      <w:r>
        <w:rPr>
          <w:rFonts w:eastAsia="仿宋_GB2312"/>
          <w:color w:val="000000" w:themeColor="text1"/>
          <w:sz w:val="32"/>
          <w:szCs w:val="36"/>
        </w:rPr>
        <w:t>的信息</w:t>
      </w:r>
      <w:r>
        <w:rPr>
          <w:rFonts w:hint="eastAsia" w:eastAsia="仿宋_GB2312"/>
          <w:color w:val="000000" w:themeColor="text1"/>
          <w:sz w:val="32"/>
          <w:szCs w:val="36"/>
        </w:rPr>
        <w:t>，</w:t>
      </w:r>
      <w:r>
        <w:rPr>
          <w:rFonts w:eastAsia="仿宋_GB2312"/>
          <w:color w:val="000000" w:themeColor="text1"/>
          <w:sz w:val="32"/>
          <w:szCs w:val="36"/>
        </w:rPr>
        <w:t>以及开具MR检查的</w:t>
      </w:r>
      <w:r>
        <w:rPr>
          <w:rFonts w:hint="eastAsia" w:eastAsia="仿宋_GB2312"/>
          <w:color w:val="000000" w:themeColor="text1"/>
          <w:sz w:val="32"/>
          <w:szCs w:val="36"/>
        </w:rPr>
        <w:t>医务人员</w:t>
      </w:r>
      <w:r>
        <w:rPr>
          <w:rFonts w:eastAsia="仿宋_GB2312"/>
          <w:color w:val="000000" w:themeColor="text1"/>
          <w:sz w:val="32"/>
          <w:szCs w:val="36"/>
        </w:rPr>
        <w:t>的信息。在编制标签信息时，</w:t>
      </w:r>
      <w:r>
        <w:rPr>
          <w:rFonts w:hint="eastAsia" w:eastAsia="仿宋_GB2312"/>
          <w:color w:val="000000" w:themeColor="text1"/>
          <w:sz w:val="32"/>
          <w:szCs w:val="36"/>
        </w:rPr>
        <w:t>需</w:t>
      </w:r>
      <w:r>
        <w:rPr>
          <w:rFonts w:eastAsia="仿宋_GB2312"/>
          <w:color w:val="000000" w:themeColor="text1"/>
          <w:sz w:val="32"/>
          <w:szCs w:val="36"/>
        </w:rPr>
        <w:t>注意</w:t>
      </w:r>
      <w:r>
        <w:rPr>
          <w:rFonts w:hint="eastAsia" w:eastAsia="仿宋_GB2312"/>
          <w:color w:val="000000" w:themeColor="text1"/>
          <w:sz w:val="32"/>
          <w:szCs w:val="36"/>
        </w:rPr>
        <w:t>负责</w:t>
      </w:r>
      <w:r>
        <w:rPr>
          <w:rFonts w:eastAsia="仿宋_GB2312"/>
          <w:color w:val="000000" w:themeColor="text1"/>
          <w:sz w:val="32"/>
          <w:szCs w:val="36"/>
        </w:rPr>
        <w:t>MR检查的</w:t>
      </w:r>
      <w:r>
        <w:rPr>
          <w:rFonts w:hint="eastAsia" w:eastAsia="仿宋_GB2312"/>
          <w:color w:val="000000" w:themeColor="text1"/>
          <w:sz w:val="32"/>
          <w:szCs w:val="36"/>
        </w:rPr>
        <w:t>医务人员通常不是</w:t>
      </w:r>
      <w:r>
        <w:rPr>
          <w:rFonts w:eastAsia="仿宋_GB2312"/>
          <w:color w:val="000000" w:themeColor="text1"/>
          <w:sz w:val="32"/>
          <w:szCs w:val="36"/>
        </w:rPr>
        <w:t>为患者植入或提供器械</w:t>
      </w:r>
      <w:r>
        <w:rPr>
          <w:rFonts w:hint="eastAsia" w:eastAsia="仿宋_GB2312"/>
          <w:color w:val="000000" w:themeColor="text1"/>
          <w:sz w:val="32"/>
          <w:szCs w:val="36"/>
        </w:rPr>
        <w:t>的人员</w:t>
      </w:r>
      <w:r>
        <w:rPr>
          <w:rFonts w:eastAsia="仿宋_GB2312"/>
          <w:color w:val="000000" w:themeColor="text1"/>
          <w:sz w:val="32"/>
          <w:szCs w:val="36"/>
        </w:rPr>
        <w:t>，也不是向患者提供后续护理的</w:t>
      </w:r>
      <w:r>
        <w:rPr>
          <w:rFonts w:hint="eastAsia" w:eastAsia="仿宋_GB2312"/>
          <w:color w:val="000000" w:themeColor="text1"/>
          <w:sz w:val="32"/>
          <w:szCs w:val="36"/>
        </w:rPr>
        <w:t>人员</w:t>
      </w:r>
      <w:r>
        <w:rPr>
          <w:rFonts w:eastAsia="仿宋_GB2312"/>
          <w:color w:val="000000" w:themeColor="text1"/>
          <w:sz w:val="32"/>
          <w:szCs w:val="36"/>
        </w:rPr>
        <w:t>。</w:t>
      </w:r>
    </w:p>
    <w:p w14:paraId="008CAAC2">
      <w:pPr>
        <w:snapToGrid w:val="0"/>
        <w:spacing w:line="520" w:lineRule="exact"/>
        <w:ind w:firstLine="640" w:firstLineChars="200"/>
        <w:rPr>
          <w:rFonts w:eastAsia="仿宋_GB2312"/>
          <w:color w:val="000000" w:themeColor="text1"/>
          <w:sz w:val="32"/>
          <w:szCs w:val="36"/>
        </w:rPr>
      </w:pPr>
      <w:r>
        <w:rPr>
          <w:rFonts w:eastAsia="仿宋_GB2312"/>
          <w:color w:val="000000" w:themeColor="text1"/>
          <w:sz w:val="32"/>
          <w:szCs w:val="36"/>
        </w:rPr>
        <w:t>患者标签应清楚明确地标识医疗器械，并标识医疗器械的MR环境安全等级。</w:t>
      </w:r>
      <w:r>
        <w:rPr>
          <w:rFonts w:hint="eastAsia" w:eastAsia="仿宋_GB2312"/>
          <w:color w:val="000000" w:themeColor="text1"/>
          <w:sz w:val="32"/>
          <w:szCs w:val="36"/>
        </w:rPr>
        <w:t>若</w:t>
      </w:r>
      <w:r>
        <w:rPr>
          <w:rFonts w:eastAsia="仿宋_GB2312"/>
          <w:color w:val="000000" w:themeColor="text1"/>
          <w:sz w:val="32"/>
          <w:szCs w:val="36"/>
        </w:rPr>
        <w:t>医疗器械</w:t>
      </w:r>
      <w:r>
        <w:rPr>
          <w:rFonts w:hint="eastAsia" w:eastAsia="仿宋_GB2312"/>
          <w:color w:val="000000" w:themeColor="text1"/>
          <w:sz w:val="32"/>
          <w:szCs w:val="36"/>
        </w:rPr>
        <w:t>属于</w:t>
      </w:r>
      <w:r>
        <w:rPr>
          <w:rFonts w:eastAsia="仿宋_GB2312"/>
          <w:color w:val="000000" w:themeColor="text1"/>
          <w:sz w:val="32"/>
          <w:szCs w:val="36"/>
        </w:rPr>
        <w:t>MR条件安全，</w:t>
      </w:r>
      <w:r>
        <w:rPr>
          <w:rFonts w:hint="eastAsia" w:eastAsia="仿宋_GB2312"/>
          <w:color w:val="000000" w:themeColor="text1"/>
          <w:sz w:val="32"/>
          <w:szCs w:val="36"/>
        </w:rPr>
        <w:t>需</w:t>
      </w:r>
      <w:r>
        <w:rPr>
          <w:rFonts w:eastAsia="仿宋_GB2312"/>
          <w:color w:val="000000" w:themeColor="text1"/>
          <w:sz w:val="32"/>
          <w:szCs w:val="36"/>
        </w:rPr>
        <w:t>提供MRI扫描</w:t>
      </w:r>
      <w:r>
        <w:rPr>
          <w:rFonts w:hint="eastAsia" w:eastAsia="仿宋_GB2312"/>
          <w:color w:val="000000" w:themeColor="text1"/>
          <w:sz w:val="32"/>
          <w:szCs w:val="36"/>
        </w:rPr>
        <w:t>的条件或</w:t>
      </w:r>
      <w:r>
        <w:rPr>
          <w:rFonts w:eastAsia="仿宋_GB2312"/>
          <w:color w:val="000000" w:themeColor="text1"/>
          <w:sz w:val="32"/>
          <w:szCs w:val="36"/>
        </w:rPr>
        <w:t>指导用户如何找到</w:t>
      </w:r>
      <w:r>
        <w:rPr>
          <w:rFonts w:hint="eastAsia" w:eastAsia="仿宋_GB2312"/>
          <w:color w:val="000000" w:themeColor="text1"/>
          <w:sz w:val="32"/>
          <w:szCs w:val="36"/>
        </w:rPr>
        <w:t>相关信息</w:t>
      </w:r>
      <w:r>
        <w:rPr>
          <w:rFonts w:eastAsia="仿宋_GB2312"/>
          <w:color w:val="000000" w:themeColor="text1"/>
          <w:sz w:val="32"/>
          <w:szCs w:val="36"/>
        </w:rPr>
        <w:t>。对于MR环境不安全的植入物和固定在患者身体的外部医疗器械，患者卡应明确告知患者，当器械植入或固定在患者身体时，患者不应接受MR检查。对于MR环境条件安全</w:t>
      </w:r>
      <w:r>
        <w:rPr>
          <w:rFonts w:hint="eastAsia" w:eastAsia="仿宋_GB2312"/>
          <w:color w:val="000000" w:themeColor="text1"/>
          <w:sz w:val="32"/>
          <w:szCs w:val="36"/>
        </w:rPr>
        <w:t>的</w:t>
      </w:r>
      <w:r>
        <w:rPr>
          <w:rFonts w:eastAsia="仿宋_GB2312"/>
          <w:color w:val="000000" w:themeColor="text1"/>
          <w:sz w:val="32"/>
          <w:szCs w:val="36"/>
        </w:rPr>
        <w:t>医疗器械，患者卡应指示患者在MR检查前咨询专业人员，并告知放射科医生</w:t>
      </w:r>
      <w:r>
        <w:rPr>
          <w:rFonts w:hint="eastAsia" w:eastAsia="仿宋_GB2312"/>
          <w:color w:val="000000" w:themeColor="text1"/>
          <w:sz w:val="32"/>
          <w:szCs w:val="36"/>
          <w:lang w:val="en-US" w:eastAsia="zh-CN"/>
        </w:rPr>
        <w:t>患者</w:t>
      </w:r>
      <w:r>
        <w:rPr>
          <w:rFonts w:eastAsia="仿宋_GB2312"/>
          <w:color w:val="000000" w:themeColor="text1"/>
          <w:sz w:val="32"/>
          <w:szCs w:val="36"/>
        </w:rPr>
        <w:t>已植入MR环境条件安全的医疗器械。</w:t>
      </w:r>
    </w:p>
    <w:p w14:paraId="02889E55">
      <w:pPr>
        <w:snapToGrid w:val="0"/>
        <w:spacing w:line="520" w:lineRule="exact"/>
        <w:ind w:firstLine="640" w:firstLineChars="200"/>
        <w:rPr>
          <w:rFonts w:eastAsia="仿宋_GB2312"/>
          <w:snapToGrid w:val="0"/>
          <w:color w:val="000000" w:themeColor="text1"/>
          <w:sz w:val="22"/>
          <w:szCs w:val="22"/>
        </w:rPr>
      </w:pPr>
      <w:r>
        <w:rPr>
          <w:rFonts w:eastAsia="仿宋_GB2312"/>
          <w:color w:val="000000" w:themeColor="text1"/>
          <w:sz w:val="32"/>
          <w:szCs w:val="36"/>
        </w:rPr>
        <w:t>为</w:t>
      </w:r>
      <w:r>
        <w:rPr>
          <w:rFonts w:hint="eastAsia" w:eastAsia="仿宋_GB2312"/>
          <w:color w:val="000000" w:themeColor="text1"/>
          <w:sz w:val="32"/>
          <w:szCs w:val="36"/>
        </w:rPr>
        <w:t>有效</w:t>
      </w:r>
      <w:r>
        <w:rPr>
          <w:rFonts w:eastAsia="仿宋_GB2312"/>
          <w:color w:val="000000" w:themeColor="text1"/>
          <w:sz w:val="32"/>
          <w:szCs w:val="36"/>
        </w:rPr>
        <w:t>识别患者</w:t>
      </w:r>
      <w:r>
        <w:rPr>
          <w:rFonts w:hint="eastAsia" w:eastAsia="仿宋_GB2312"/>
          <w:color w:val="000000" w:themeColor="text1"/>
          <w:sz w:val="32"/>
          <w:szCs w:val="36"/>
        </w:rPr>
        <w:t>携带</w:t>
      </w:r>
      <w:r>
        <w:rPr>
          <w:rFonts w:eastAsia="仿宋_GB2312"/>
          <w:color w:val="000000" w:themeColor="text1"/>
          <w:sz w:val="32"/>
          <w:szCs w:val="36"/>
        </w:rPr>
        <w:t>的特定医疗器械、医疗器械</w:t>
      </w:r>
      <w:r>
        <w:rPr>
          <w:rFonts w:eastAsia="仿宋_GB2312"/>
          <w:snapToGrid w:val="0"/>
          <w:color w:val="000000" w:themeColor="text1"/>
          <w:kern w:val="0"/>
          <w:sz w:val="32"/>
          <w:szCs w:val="32"/>
        </w:rPr>
        <w:t>MR</w:t>
      </w:r>
      <w:r>
        <w:rPr>
          <w:rFonts w:hint="eastAsia" w:eastAsia="仿宋_GB2312"/>
          <w:snapToGrid w:val="0"/>
          <w:color w:val="000000" w:themeColor="text1"/>
          <w:kern w:val="0"/>
          <w:sz w:val="32"/>
          <w:szCs w:val="32"/>
        </w:rPr>
        <w:t>环境</w:t>
      </w:r>
      <w:r>
        <w:rPr>
          <w:rFonts w:eastAsia="仿宋_GB2312"/>
          <w:color w:val="000000" w:themeColor="text1"/>
          <w:sz w:val="32"/>
          <w:szCs w:val="36"/>
        </w:rPr>
        <w:t>安全</w:t>
      </w:r>
      <w:r>
        <w:rPr>
          <w:rFonts w:hint="eastAsia" w:eastAsia="仿宋_GB2312"/>
          <w:color w:val="000000" w:themeColor="text1"/>
          <w:sz w:val="32"/>
          <w:szCs w:val="36"/>
        </w:rPr>
        <w:t>等级</w:t>
      </w:r>
      <w:r>
        <w:rPr>
          <w:rFonts w:eastAsia="仿宋_GB2312"/>
          <w:color w:val="000000" w:themeColor="text1"/>
          <w:sz w:val="32"/>
          <w:szCs w:val="36"/>
        </w:rPr>
        <w:t>以及使用条件，建议患者标签应包括患者医疗器械卡，</w:t>
      </w:r>
      <w:r>
        <w:rPr>
          <w:rFonts w:hint="eastAsia" w:eastAsia="仿宋_GB2312"/>
          <w:color w:val="000000" w:themeColor="text1"/>
          <w:sz w:val="32"/>
          <w:szCs w:val="36"/>
        </w:rPr>
        <w:t>包括</w:t>
      </w:r>
      <w:r>
        <w:rPr>
          <w:rFonts w:eastAsia="仿宋_GB2312"/>
          <w:color w:val="000000" w:themeColor="text1"/>
          <w:sz w:val="32"/>
          <w:szCs w:val="36"/>
        </w:rPr>
        <w:t>植入医疗器械和固定在患者身体或患者佩戴的外部医疗器械。</w:t>
      </w:r>
    </w:p>
    <w:p w14:paraId="3102C11B">
      <w:pPr>
        <w:widowControl/>
        <w:snapToGrid w:val="0"/>
        <w:spacing w:line="520" w:lineRule="exact"/>
        <w:jc w:val="left"/>
        <w:rPr>
          <w:rFonts w:eastAsia="仿宋_GB2312"/>
          <w:color w:val="000000" w:themeColor="text1"/>
          <w:kern w:val="0"/>
          <w:sz w:val="32"/>
          <w:szCs w:val="32"/>
        </w:rPr>
      </w:pPr>
      <w:bookmarkStart w:id="12" w:name="_Toc432753656"/>
      <w:r>
        <w:rPr>
          <w:rFonts w:eastAsia="仿宋_GB2312"/>
          <w:color w:val="000000" w:themeColor="text1"/>
          <w:kern w:val="0"/>
          <w:sz w:val="32"/>
          <w:szCs w:val="32"/>
        </w:rPr>
        <w:br w:type="page"/>
      </w:r>
    </w:p>
    <w:p w14:paraId="2E9CD146">
      <w:pPr>
        <w:numPr>
          <w:ilvl w:val="0"/>
          <w:numId w:val="1"/>
        </w:numPr>
        <w:overflowPunct w:val="0"/>
        <w:autoSpaceDE w:val="0"/>
        <w:autoSpaceDN w:val="0"/>
        <w:snapToGrid w:val="0"/>
        <w:spacing w:line="520" w:lineRule="exact"/>
        <w:ind w:left="0" w:firstLine="640" w:firstLineChars="200"/>
        <w:jc w:val="left"/>
        <w:outlineLvl w:val="1"/>
        <w:rPr>
          <w:rFonts w:eastAsia="仿宋_GB2312"/>
          <w:color w:val="000000" w:themeColor="text1"/>
          <w:sz w:val="32"/>
          <w:szCs w:val="32"/>
        </w:rPr>
      </w:pPr>
      <w:r>
        <w:rPr>
          <w:rFonts w:eastAsia="黑体"/>
          <w:snapToGrid w:val="0"/>
          <w:color w:val="000000" w:themeColor="text1"/>
          <w:kern w:val="0"/>
          <w:sz w:val="32"/>
          <w:szCs w:val="32"/>
        </w:rPr>
        <w:t>参考文献</w:t>
      </w:r>
    </w:p>
    <w:p w14:paraId="735F0030">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《医疗器械注册管理办法》（国家食品药品监督管理总局令第4号）</w:t>
      </w:r>
    </w:p>
    <w:p w14:paraId="320BBEC7">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《医疗器械说明书和标签管理规定》（国家食品药品监督管理总局令第6号）</w:t>
      </w:r>
    </w:p>
    <w:p w14:paraId="7EDC1FFA">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国家食品药品监督管理总局关于公布医疗器械注册申报资料要求和批准证明文件格式的公告（国家食品药品监管总局公告2014年第43号）</w:t>
      </w:r>
    </w:p>
    <w:p w14:paraId="469EF88C">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国家食品药品监督管理总局关于发布医疗器械软件注册技术审查指导原则的通告（国家食品药品监管总局通告2015年第50号）</w:t>
      </w:r>
    </w:p>
    <w:p w14:paraId="77A1C163">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 xml:space="preserve">FDA, Design Considerations and Pre-market Submission Recommendations for Interoperable Medical Devices </w:t>
      </w:r>
      <w:r>
        <w:rPr>
          <w:rFonts w:eastAsia="微软雅黑"/>
          <w:color w:val="000000" w:themeColor="text1"/>
          <w:kern w:val="0"/>
          <w:sz w:val="32"/>
          <w:szCs w:val="32"/>
        </w:rPr>
        <w:t>-</w:t>
      </w:r>
      <w:r>
        <w:rPr>
          <w:rFonts w:eastAsia="仿宋_GB2312"/>
          <w:color w:val="000000" w:themeColor="text1"/>
          <w:kern w:val="0"/>
          <w:sz w:val="32"/>
          <w:szCs w:val="32"/>
        </w:rPr>
        <w:t xml:space="preserve"> Draft Guidance for Industry and Food and Drug Administration Staff, 2016-1-26</w:t>
      </w:r>
    </w:p>
    <w:p w14:paraId="7996815F">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 xml:space="preserve">FDA, Assessment of Radiofrequency-Induced Heating in the Magnetic Resonance (MR) Environment for Multi-Configuration Passive Medical Devices </w:t>
      </w:r>
      <w:r>
        <w:rPr>
          <w:rFonts w:eastAsia="微软雅黑"/>
          <w:color w:val="000000" w:themeColor="text1"/>
          <w:kern w:val="0"/>
          <w:sz w:val="32"/>
          <w:szCs w:val="32"/>
        </w:rPr>
        <w:t>-</w:t>
      </w:r>
      <w:r>
        <w:rPr>
          <w:rFonts w:eastAsia="仿宋_GB2312"/>
          <w:color w:val="000000" w:themeColor="text1"/>
          <w:kern w:val="0"/>
          <w:sz w:val="32"/>
          <w:szCs w:val="32"/>
        </w:rPr>
        <w:t xml:space="preserve"> Guidance for Industry and Food and Drug Administration Staff, 2016-3-22</w:t>
      </w:r>
    </w:p>
    <w:p w14:paraId="5953DA1B">
      <w:pPr>
        <w:pStyle w:val="28"/>
        <w:numPr>
          <w:ilvl w:val="0"/>
          <w:numId w:val="39"/>
        </w:numPr>
        <w:snapToGrid w:val="0"/>
        <w:spacing w:line="520" w:lineRule="exact"/>
        <w:ind w:firstLine="640"/>
        <w:rPr>
          <w:rFonts w:eastAsia="仿宋_GB2312"/>
          <w:color w:val="000000" w:themeColor="text1"/>
          <w:kern w:val="0"/>
          <w:sz w:val="32"/>
          <w:szCs w:val="32"/>
        </w:rPr>
      </w:pPr>
      <w:r>
        <w:rPr>
          <w:rFonts w:eastAsia="仿宋_GB2312"/>
          <w:color w:val="000000" w:themeColor="text1"/>
          <w:kern w:val="0"/>
          <w:sz w:val="32"/>
          <w:szCs w:val="32"/>
        </w:rPr>
        <w:t>IEC 60601-1 Edition3.1：2012, Medical electrical equipment - Part 1： General requirements for basic safety and essential performance</w:t>
      </w:r>
    </w:p>
    <w:p w14:paraId="35601D2A">
      <w:pPr>
        <w:widowControl/>
        <w:snapToGrid w:val="0"/>
        <w:spacing w:line="520" w:lineRule="exact"/>
        <w:jc w:val="left"/>
        <w:rPr>
          <w:rFonts w:eastAsia="仿宋_GB2312"/>
          <w:color w:val="000000" w:themeColor="text1"/>
          <w:kern w:val="0"/>
          <w:sz w:val="32"/>
          <w:szCs w:val="32"/>
        </w:rPr>
      </w:pPr>
      <w:r>
        <w:rPr>
          <w:rFonts w:eastAsia="仿宋_GB2312"/>
          <w:color w:val="000000" w:themeColor="text1"/>
          <w:kern w:val="0"/>
          <w:sz w:val="32"/>
          <w:szCs w:val="32"/>
        </w:rPr>
        <w:br w:type="page"/>
      </w:r>
    </w:p>
    <w:bookmarkEnd w:id="12"/>
    <w:p w14:paraId="721B6F4F">
      <w:pPr>
        <w:pStyle w:val="28"/>
        <w:numPr>
          <w:ilvl w:val="0"/>
          <w:numId w:val="40"/>
        </w:numPr>
        <w:overflowPunct w:val="0"/>
        <w:autoSpaceDE w:val="0"/>
        <w:autoSpaceDN w:val="0"/>
        <w:snapToGrid w:val="0"/>
        <w:spacing w:line="520" w:lineRule="exact"/>
        <w:ind w:left="3200" w:hanging="3200" w:hangingChars="1000"/>
        <w:jc w:val="left"/>
        <w:outlineLvl w:val="0"/>
        <w:rPr>
          <w:rFonts w:eastAsia="仿宋_GB2312"/>
          <w:snapToGrid w:val="0"/>
          <w:color w:val="000000" w:themeColor="text1"/>
          <w:kern w:val="0"/>
          <w:sz w:val="32"/>
          <w:szCs w:val="32"/>
        </w:rPr>
      </w:pPr>
    </w:p>
    <w:p w14:paraId="58E7B611">
      <w:pPr>
        <w:pStyle w:val="28"/>
        <w:overflowPunct w:val="0"/>
        <w:autoSpaceDE w:val="0"/>
        <w:autoSpaceDN w:val="0"/>
        <w:snapToGrid w:val="0"/>
        <w:spacing w:line="520" w:lineRule="exact"/>
        <w:ind w:firstLine="0" w:firstLineChars="0"/>
        <w:jc w:val="center"/>
        <w:outlineLvl w:val="0"/>
        <w:rPr>
          <w:rFonts w:eastAsia="仿宋_GB2312"/>
          <w:snapToGrid w:val="0"/>
          <w:color w:val="000000" w:themeColor="text1"/>
          <w:kern w:val="0"/>
          <w:sz w:val="32"/>
          <w:szCs w:val="32"/>
        </w:rPr>
      </w:pPr>
      <w:r>
        <w:rPr>
          <w:rFonts w:eastAsia="仿宋_GB2312"/>
          <w:snapToGrid w:val="0"/>
          <w:color w:val="000000" w:themeColor="text1"/>
          <w:kern w:val="0"/>
          <w:sz w:val="44"/>
          <w:szCs w:val="44"/>
        </w:rPr>
        <w:t>适用标准和术语说明</w:t>
      </w:r>
    </w:p>
    <w:p w14:paraId="71E420F2">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一、适用标准</w:t>
      </w:r>
    </w:p>
    <w:p w14:paraId="0E0A6EE3">
      <w:pPr>
        <w:snapToGrid w:val="0"/>
        <w:spacing w:line="520" w:lineRule="exact"/>
        <w:ind w:firstLine="640" w:firstLineChars="200"/>
        <w:rPr>
          <w:rFonts w:eastAsia="仿宋_GB2312"/>
          <w:snapToGrid w:val="0"/>
          <w:color w:val="000000" w:themeColor="text1"/>
          <w:kern w:val="0"/>
          <w:sz w:val="32"/>
          <w:szCs w:val="32"/>
        </w:rPr>
      </w:pPr>
      <w:r>
        <w:rPr>
          <w:rFonts w:eastAsia="仿宋_GB2312"/>
          <w:color w:val="000000" w:themeColor="text1"/>
          <w:sz w:val="32"/>
          <w:szCs w:val="32"/>
        </w:rPr>
        <w:t>申请人应提供符合性声明，列表阐述申报产品应符合的</w:t>
      </w:r>
      <w:r>
        <w:rPr>
          <w:rFonts w:eastAsia="仿宋_GB2312"/>
          <w:color w:val="000000" w:themeColor="text1"/>
          <w:sz w:val="32"/>
          <w:szCs w:val="32"/>
          <w:lang w:val="en-AU"/>
        </w:rPr>
        <w:t>国家标准</w:t>
      </w:r>
      <w:r>
        <w:rPr>
          <w:rFonts w:eastAsia="仿宋_GB2312"/>
          <w:color w:val="000000" w:themeColor="text1"/>
          <w:sz w:val="32"/>
          <w:szCs w:val="32"/>
        </w:rPr>
        <w:t>和行业标准，以及参考的相关国际标准、国际指南文件。考虑到医疗器械行业快速发展，以及磁共振环境安全评价意识和认知水平不断提升，合理采用国际标准和指南文件，有助于充分评估医疗器械MR环境风险。可能存在本列表中未明确包含、与特定医疗器械相关、且包含MR环境安全性相关信息的标准。其他器械的指导原则也可能包含MR环境安全测试和标签的具体建议。</w:t>
      </w:r>
    </w:p>
    <w:p w14:paraId="2FA4D9DA">
      <w:pPr>
        <w:numPr>
          <w:ilvl w:val="0"/>
          <w:numId w:val="41"/>
        </w:num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国家标准和行业标准</w:t>
      </w:r>
    </w:p>
    <w:p w14:paraId="5D722BC3">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GB 16174.1</w:t>
      </w:r>
      <w:r>
        <w:rPr>
          <w:rFonts w:hint="eastAsia" w:eastAsia="仿宋_GB2312"/>
          <w:snapToGrid w:val="0"/>
          <w:color w:val="000000" w:themeColor="text1"/>
          <w:kern w:val="0"/>
          <w:sz w:val="32"/>
          <w:szCs w:val="32"/>
          <w:lang w:val="en-US" w:eastAsia="zh-CN"/>
        </w:rPr>
        <w:t xml:space="preserve"> 手术植入物 有源植入式医疗器械 第1部分：安全、标记和制造商所提供信息的通用要求</w:t>
      </w:r>
    </w:p>
    <w:p w14:paraId="263EC0CA">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 xml:space="preserve">YY </w:t>
      </w:r>
      <w:r>
        <w:rPr>
          <w:rFonts w:hint="eastAsia" w:eastAsia="仿宋_GB2312"/>
          <w:snapToGrid w:val="0"/>
          <w:color w:val="000000" w:themeColor="text1"/>
          <w:kern w:val="0"/>
          <w:sz w:val="32"/>
          <w:szCs w:val="32"/>
          <w:lang w:val="en-US" w:eastAsia="zh-CN"/>
        </w:rPr>
        <w:t xml:space="preserve">9706.233 医用电气设备 第2-33部分：医疗诊断用磁共振设备的基本安全和基本性能专用要求 </w:t>
      </w:r>
    </w:p>
    <w:p w14:paraId="144339C9">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YY/T 0987.1 外科植入物　磁共振兼容性　第1部分：安全标记</w:t>
      </w:r>
    </w:p>
    <w:p w14:paraId="61EBE230">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YY/T 0987.</w:t>
      </w:r>
      <w:r>
        <w:rPr>
          <w:rFonts w:hint="eastAsia" w:eastAsia="仿宋_GB2312"/>
          <w:snapToGrid w:val="0"/>
          <w:color w:val="000000" w:themeColor="text1"/>
          <w:kern w:val="0"/>
          <w:sz w:val="32"/>
          <w:szCs w:val="32"/>
          <w:lang w:val="en-US" w:eastAsia="zh-CN"/>
        </w:rPr>
        <w:t>2</w:t>
      </w:r>
      <w:r>
        <w:rPr>
          <w:rFonts w:eastAsia="仿宋_GB2312"/>
          <w:snapToGrid w:val="0"/>
          <w:color w:val="000000" w:themeColor="text1"/>
          <w:kern w:val="0"/>
          <w:sz w:val="32"/>
          <w:szCs w:val="32"/>
        </w:rPr>
        <w:t xml:space="preserve"> 外科植入物　磁共振兼容性　第2部分：磁致位移力试验方法</w:t>
      </w:r>
    </w:p>
    <w:p w14:paraId="29A0284D">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YY/T 0987.</w:t>
      </w:r>
      <w:r>
        <w:rPr>
          <w:rFonts w:hint="eastAsia" w:eastAsia="仿宋_GB2312"/>
          <w:snapToGrid w:val="0"/>
          <w:color w:val="000000" w:themeColor="text1"/>
          <w:kern w:val="0"/>
          <w:sz w:val="32"/>
          <w:szCs w:val="32"/>
          <w:lang w:val="en-US" w:eastAsia="zh-CN"/>
        </w:rPr>
        <w:t>3</w:t>
      </w:r>
      <w:r>
        <w:rPr>
          <w:rFonts w:eastAsia="仿宋_GB2312"/>
          <w:snapToGrid w:val="0"/>
          <w:color w:val="000000" w:themeColor="text1"/>
          <w:kern w:val="0"/>
          <w:sz w:val="32"/>
          <w:szCs w:val="32"/>
        </w:rPr>
        <w:t xml:space="preserve"> 外科植入物　磁共振兼容性　</w:t>
      </w:r>
      <w:r>
        <w:rPr>
          <w:rFonts w:hint="eastAsia" w:eastAsia="仿宋_GB2312"/>
          <w:snapToGrid w:val="0"/>
          <w:color w:val="000000" w:themeColor="text1"/>
          <w:kern w:val="0"/>
          <w:sz w:val="32"/>
          <w:szCs w:val="32"/>
          <w:lang w:eastAsia="zh-CN"/>
        </w:rPr>
        <w:t>第</w:t>
      </w:r>
      <w:r>
        <w:rPr>
          <w:rFonts w:eastAsia="仿宋_GB2312"/>
          <w:snapToGrid w:val="0"/>
          <w:color w:val="000000" w:themeColor="text1"/>
          <w:kern w:val="0"/>
          <w:sz w:val="32"/>
          <w:szCs w:val="32"/>
        </w:rPr>
        <w:t>3部分：图像伪影评价方法</w:t>
      </w:r>
    </w:p>
    <w:p w14:paraId="0A98D063">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YY/T 0987.</w:t>
      </w:r>
      <w:r>
        <w:rPr>
          <w:rFonts w:hint="eastAsia" w:eastAsia="仿宋_GB2312"/>
          <w:snapToGrid w:val="0"/>
          <w:color w:val="000000" w:themeColor="text1"/>
          <w:kern w:val="0"/>
          <w:sz w:val="32"/>
          <w:szCs w:val="32"/>
          <w:lang w:val="en-US" w:eastAsia="zh-CN"/>
        </w:rPr>
        <w:t>4</w:t>
      </w:r>
      <w:r>
        <w:rPr>
          <w:rFonts w:eastAsia="仿宋_GB2312"/>
          <w:snapToGrid w:val="0"/>
          <w:color w:val="000000" w:themeColor="text1"/>
          <w:kern w:val="0"/>
          <w:sz w:val="32"/>
          <w:szCs w:val="32"/>
        </w:rPr>
        <w:t xml:space="preserve"> 外科植入物　磁共振兼容性　第4部分：射频致热试验方法</w:t>
      </w:r>
    </w:p>
    <w:p w14:paraId="10A28D03">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YY/T 0987.</w:t>
      </w:r>
      <w:r>
        <w:rPr>
          <w:rFonts w:hint="eastAsia" w:eastAsia="仿宋_GB2312"/>
          <w:snapToGrid w:val="0"/>
          <w:color w:val="000000" w:themeColor="text1"/>
          <w:kern w:val="0"/>
          <w:sz w:val="32"/>
          <w:szCs w:val="32"/>
          <w:lang w:val="en-US" w:eastAsia="zh-CN"/>
        </w:rPr>
        <w:t>5</w:t>
      </w:r>
      <w:r>
        <w:rPr>
          <w:rFonts w:eastAsia="仿宋_GB2312"/>
          <w:snapToGrid w:val="0"/>
          <w:color w:val="000000" w:themeColor="text1"/>
          <w:kern w:val="0"/>
          <w:sz w:val="32"/>
          <w:szCs w:val="32"/>
        </w:rPr>
        <w:t xml:space="preserve"> 外科植入物　磁共振兼容性　</w:t>
      </w:r>
      <w:r>
        <w:rPr>
          <w:rFonts w:hint="eastAsia" w:eastAsia="仿宋_GB2312"/>
          <w:snapToGrid w:val="0"/>
          <w:color w:val="000000" w:themeColor="text1"/>
          <w:kern w:val="0"/>
          <w:sz w:val="32"/>
          <w:szCs w:val="32"/>
          <w:lang w:eastAsia="zh-CN"/>
        </w:rPr>
        <w:t>第</w:t>
      </w:r>
      <w:r>
        <w:rPr>
          <w:rFonts w:eastAsia="仿宋_GB2312"/>
          <w:snapToGrid w:val="0"/>
          <w:color w:val="000000" w:themeColor="text1"/>
          <w:kern w:val="0"/>
          <w:sz w:val="32"/>
          <w:szCs w:val="32"/>
        </w:rPr>
        <w:t>5部分：磁致扭矩试验方法</w:t>
      </w:r>
    </w:p>
    <w:p w14:paraId="4014E025">
      <w:pPr>
        <w:numPr>
          <w:ilvl w:val="0"/>
          <w:numId w:val="42"/>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YY/T 0663.2 心血管植入物 血管内器械 第2部分：血管支架</w:t>
      </w:r>
    </w:p>
    <w:p w14:paraId="4A113DA4">
      <w:pPr>
        <w:numPr>
          <w:ilvl w:val="0"/>
          <w:numId w:val="41"/>
        </w:numPr>
        <w:snapToGrid w:val="0"/>
        <w:spacing w:line="520" w:lineRule="exact"/>
        <w:ind w:left="0" w:leftChars="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国际标准</w:t>
      </w:r>
    </w:p>
    <w:p w14:paraId="20645752">
      <w:pPr>
        <w:numPr>
          <w:ilvl w:val="0"/>
          <w:numId w:val="43"/>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ASTM F2052</w:t>
      </w:r>
      <w:r>
        <w:rPr>
          <w:rFonts w:hint="eastAsia" w:eastAsia="仿宋_GB2312"/>
          <w:snapToGrid w:val="0"/>
          <w:color w:val="000000" w:themeColor="text1"/>
          <w:kern w:val="0"/>
          <w:sz w:val="32"/>
          <w:szCs w:val="32"/>
          <w:lang w:val="en-US" w:eastAsia="zh-CN"/>
        </w:rPr>
        <w:t xml:space="preserve"> </w:t>
      </w:r>
      <w:r>
        <w:rPr>
          <w:rFonts w:eastAsia="仿宋_GB2312"/>
          <w:snapToGrid w:val="0"/>
          <w:color w:val="000000" w:themeColor="text1"/>
          <w:kern w:val="0"/>
          <w:sz w:val="32"/>
          <w:szCs w:val="32"/>
        </w:rPr>
        <w:t>测量磁共振环境下医疗器械磁致位移力的标准试验方法。</w:t>
      </w:r>
    </w:p>
    <w:p w14:paraId="549D3277">
      <w:pPr>
        <w:numPr>
          <w:ilvl w:val="0"/>
          <w:numId w:val="43"/>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ASTM F2119</w:t>
      </w:r>
      <w:r>
        <w:rPr>
          <w:rFonts w:hint="eastAsia" w:eastAsia="仿宋_GB2312"/>
          <w:snapToGrid w:val="0"/>
          <w:color w:val="000000" w:themeColor="text1"/>
          <w:kern w:val="0"/>
          <w:sz w:val="32"/>
          <w:szCs w:val="32"/>
          <w:lang w:val="en-US" w:eastAsia="zh-CN"/>
        </w:rPr>
        <w:t xml:space="preserve"> </w:t>
      </w:r>
      <w:r>
        <w:rPr>
          <w:rFonts w:eastAsia="仿宋_GB2312"/>
          <w:snapToGrid w:val="0"/>
          <w:color w:val="000000" w:themeColor="text1"/>
          <w:kern w:val="0"/>
          <w:sz w:val="32"/>
          <w:szCs w:val="32"/>
        </w:rPr>
        <w:t>评价无源植入物MR图像伪影的标准试验方法。</w:t>
      </w:r>
    </w:p>
    <w:p w14:paraId="7523E304">
      <w:pPr>
        <w:numPr>
          <w:ilvl w:val="0"/>
          <w:numId w:val="43"/>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ASTM F2182</w:t>
      </w:r>
      <w:r>
        <w:rPr>
          <w:rFonts w:hint="eastAsia" w:eastAsia="仿宋_GB2312"/>
          <w:snapToGrid w:val="0"/>
          <w:color w:val="000000" w:themeColor="text1"/>
          <w:kern w:val="0"/>
          <w:sz w:val="32"/>
          <w:szCs w:val="32"/>
          <w:lang w:val="en-US" w:eastAsia="zh-CN"/>
        </w:rPr>
        <w:t xml:space="preserve"> </w:t>
      </w:r>
      <w:r>
        <w:rPr>
          <w:rFonts w:eastAsia="仿宋_GB2312"/>
          <w:snapToGrid w:val="0"/>
          <w:color w:val="000000" w:themeColor="text1"/>
          <w:kern w:val="0"/>
          <w:sz w:val="32"/>
          <w:szCs w:val="32"/>
        </w:rPr>
        <w:t>测量磁共振成像过程中无源植入物附近射频感应致热的标准试验方法。</w:t>
      </w:r>
    </w:p>
    <w:p w14:paraId="6674D635">
      <w:pPr>
        <w:numPr>
          <w:ilvl w:val="0"/>
          <w:numId w:val="43"/>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ASTM F2213</w:t>
      </w:r>
      <w:r>
        <w:rPr>
          <w:rFonts w:hint="eastAsia" w:eastAsia="仿宋_GB2312"/>
          <w:snapToGrid w:val="0"/>
          <w:color w:val="000000" w:themeColor="text1"/>
          <w:kern w:val="0"/>
          <w:sz w:val="32"/>
          <w:szCs w:val="32"/>
          <w:lang w:val="en-US" w:eastAsia="zh-CN"/>
        </w:rPr>
        <w:t xml:space="preserve"> </w:t>
      </w:r>
      <w:r>
        <w:rPr>
          <w:rFonts w:eastAsia="仿宋_GB2312"/>
          <w:snapToGrid w:val="0"/>
          <w:color w:val="000000" w:themeColor="text1"/>
          <w:kern w:val="0"/>
          <w:sz w:val="32"/>
          <w:szCs w:val="32"/>
        </w:rPr>
        <w:t>测量磁共振环境下医疗器械磁致扭矩的标准试验方法。</w:t>
      </w:r>
    </w:p>
    <w:p w14:paraId="678B7C9E">
      <w:pPr>
        <w:numPr>
          <w:ilvl w:val="0"/>
          <w:numId w:val="43"/>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ASTM F2503</w:t>
      </w:r>
      <w:r>
        <w:rPr>
          <w:rFonts w:hint="eastAsia" w:eastAsia="仿宋_GB2312"/>
          <w:snapToGrid w:val="0"/>
          <w:color w:val="000000" w:themeColor="text1"/>
          <w:kern w:val="0"/>
          <w:sz w:val="32"/>
          <w:szCs w:val="32"/>
          <w:lang w:val="en-US" w:eastAsia="zh-CN"/>
        </w:rPr>
        <w:t xml:space="preserve"> </w:t>
      </w:r>
      <w:r>
        <w:rPr>
          <w:rFonts w:eastAsia="仿宋_GB2312"/>
          <w:snapToGrid w:val="0"/>
          <w:color w:val="000000" w:themeColor="text1"/>
          <w:kern w:val="0"/>
          <w:sz w:val="32"/>
          <w:szCs w:val="32"/>
        </w:rPr>
        <w:t>磁共振环境下医疗器械和其他物品的安全标识标准规范。</w:t>
      </w:r>
    </w:p>
    <w:p w14:paraId="5978D8BE">
      <w:pPr>
        <w:numPr>
          <w:ilvl w:val="0"/>
          <w:numId w:val="43"/>
        </w:numPr>
        <w:overflowPunct w:val="0"/>
        <w:autoSpaceDE w:val="0"/>
        <w:autoSpaceDN w:val="0"/>
        <w:snapToGrid w:val="0"/>
        <w:spacing w:line="520" w:lineRule="exact"/>
        <w:ind w:left="0"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ISO/TS 10974</w:t>
      </w:r>
      <w:r>
        <w:rPr>
          <w:rFonts w:hint="eastAsia" w:eastAsia="仿宋_GB2312"/>
          <w:snapToGrid w:val="0"/>
          <w:color w:val="000000" w:themeColor="text1"/>
          <w:kern w:val="0"/>
          <w:sz w:val="32"/>
          <w:szCs w:val="32"/>
          <w:lang w:val="en-US" w:eastAsia="zh-CN"/>
        </w:rPr>
        <w:t xml:space="preserve"> </w:t>
      </w:r>
      <w:r>
        <w:rPr>
          <w:rFonts w:eastAsia="仿宋_GB2312"/>
          <w:snapToGrid w:val="0"/>
          <w:color w:val="000000" w:themeColor="text1"/>
          <w:kern w:val="0"/>
          <w:sz w:val="32"/>
          <w:szCs w:val="32"/>
        </w:rPr>
        <w:t>携带有源植入式医疗器械的患者进行磁共振成像安全性评估。</w:t>
      </w:r>
    </w:p>
    <w:p w14:paraId="3F48CD77">
      <w:pPr>
        <w:overflowPunct w:val="0"/>
        <w:autoSpaceDE w:val="0"/>
        <w:autoSpaceDN w:val="0"/>
        <w:snapToGrid w:val="0"/>
        <w:spacing w:line="520" w:lineRule="exact"/>
        <w:ind w:left="640"/>
        <w:jc w:val="left"/>
        <w:outlineLvl w:val="1"/>
        <w:rPr>
          <w:rFonts w:eastAsia="仿宋_GB2312"/>
          <w:snapToGrid w:val="0"/>
          <w:color w:val="000000" w:themeColor="text1"/>
          <w:kern w:val="0"/>
          <w:sz w:val="32"/>
          <w:szCs w:val="32"/>
        </w:rPr>
      </w:pPr>
      <w:r>
        <w:rPr>
          <w:rFonts w:eastAsia="仿宋_GB2312"/>
          <w:snapToGrid w:val="0"/>
          <w:color w:val="000000" w:themeColor="text1"/>
          <w:kern w:val="0"/>
          <w:sz w:val="32"/>
          <w:szCs w:val="32"/>
        </w:rPr>
        <w:t>二、术语解释</w:t>
      </w:r>
    </w:p>
    <w:p w14:paraId="141CF668">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行业标准YY</w:t>
      </w:r>
      <w:r>
        <w:rPr>
          <w:rFonts w:hint="eastAsia" w:eastAsia="仿宋_GB2312"/>
          <w:snapToGrid w:val="0"/>
          <w:color w:val="000000" w:themeColor="text1"/>
          <w:kern w:val="0"/>
          <w:sz w:val="32"/>
          <w:szCs w:val="32"/>
          <w:lang w:val="en-US" w:eastAsia="zh-CN"/>
        </w:rPr>
        <w:t>/T</w:t>
      </w:r>
      <w:r>
        <w:rPr>
          <w:rFonts w:eastAsia="仿宋_GB2312"/>
          <w:snapToGrid w:val="0"/>
          <w:color w:val="000000" w:themeColor="text1"/>
          <w:kern w:val="0"/>
          <w:sz w:val="32"/>
          <w:szCs w:val="32"/>
        </w:rPr>
        <w:t xml:space="preserve"> </w:t>
      </w:r>
      <w:r>
        <w:rPr>
          <w:rFonts w:hint="eastAsia" w:eastAsia="仿宋_GB2312"/>
          <w:snapToGrid w:val="0"/>
          <w:color w:val="000000" w:themeColor="text1"/>
          <w:kern w:val="0"/>
          <w:sz w:val="32"/>
          <w:szCs w:val="32"/>
          <w:lang w:val="en-US" w:eastAsia="zh-CN"/>
        </w:rPr>
        <w:t>1928</w:t>
      </w:r>
      <w:r>
        <w:rPr>
          <w:rFonts w:eastAsia="仿宋_GB2312"/>
          <w:snapToGrid w:val="0"/>
          <w:color w:val="000000" w:themeColor="text1"/>
          <w:kern w:val="0"/>
          <w:sz w:val="32"/>
          <w:szCs w:val="32"/>
        </w:rPr>
        <w:t>、医疗器械分类目录、医疗器械命名术语指南的术语和定义适用于本文件。</w:t>
      </w:r>
    </w:p>
    <w:p w14:paraId="34B86465">
      <w:pPr>
        <w:widowControl/>
        <w:snapToGrid w:val="0"/>
        <w:spacing w:line="520" w:lineRule="exact"/>
        <w:jc w:val="left"/>
        <w:rPr>
          <w:rFonts w:eastAsia="仿宋_GB2312"/>
          <w:color w:val="000000" w:themeColor="text1"/>
          <w:szCs w:val="22"/>
        </w:rPr>
      </w:pPr>
      <w:r>
        <w:rPr>
          <w:rFonts w:eastAsia="仿宋_GB2312"/>
          <w:color w:val="000000" w:themeColor="text1"/>
          <w:sz w:val="22"/>
        </w:rPr>
        <w:br w:type="page"/>
      </w:r>
    </w:p>
    <w:p w14:paraId="5E2FCD2B">
      <w:pPr>
        <w:pStyle w:val="28"/>
        <w:numPr>
          <w:ilvl w:val="0"/>
          <w:numId w:val="40"/>
        </w:numPr>
        <w:overflowPunct w:val="0"/>
        <w:autoSpaceDE w:val="0"/>
        <w:autoSpaceDN w:val="0"/>
        <w:snapToGrid w:val="0"/>
        <w:spacing w:line="520" w:lineRule="exact"/>
        <w:ind w:left="2266" w:hanging="2265" w:hangingChars="708"/>
        <w:jc w:val="left"/>
        <w:outlineLvl w:val="0"/>
        <w:rPr>
          <w:rFonts w:ascii="FZXiaoBiaoSong-B05" w:hAnsi="FZXiaoBiaoSong-B05" w:eastAsia="FZXiaoBiaoSong-B05"/>
          <w:color w:val="000000" w:themeColor="text1"/>
          <w:szCs w:val="22"/>
        </w:rPr>
      </w:pPr>
      <w:r>
        <w:rPr>
          <w:rFonts w:eastAsia="仿宋_GB2312"/>
          <w:snapToGrid w:val="0"/>
          <w:color w:val="000000" w:themeColor="text1"/>
          <w:kern w:val="0"/>
          <w:sz w:val="32"/>
          <w:szCs w:val="32"/>
        </w:rPr>
        <w:br w:type="textWrapping"/>
      </w:r>
      <w:r>
        <w:rPr>
          <w:rFonts w:ascii="FZXiaoBiaoSong-B05" w:hAnsi="FZXiaoBiaoSong-B05" w:eastAsia="FZXiaoBiaoSong-B05"/>
          <w:snapToGrid w:val="0"/>
          <w:color w:val="000000" w:themeColor="text1"/>
          <w:kern w:val="0"/>
          <w:sz w:val="44"/>
          <w:szCs w:val="44"/>
        </w:rPr>
        <w:t>测试结果汇总示例</w:t>
      </w:r>
    </w:p>
    <w:p w14:paraId="2958D809">
      <w:pPr>
        <w:overflowPunct w:val="0"/>
        <w:autoSpaceDE w:val="0"/>
        <w:autoSpaceDN w:val="0"/>
        <w:snapToGrid w:val="0"/>
        <w:spacing w:line="520" w:lineRule="exact"/>
        <w:jc w:val="center"/>
        <w:rPr>
          <w:rFonts w:eastAsia="仿宋_GB2312"/>
          <w:color w:val="000000" w:themeColor="text1"/>
          <w:kern w:val="0"/>
          <w:sz w:val="32"/>
          <w:szCs w:val="32"/>
        </w:rPr>
      </w:pPr>
    </w:p>
    <w:p w14:paraId="343E3727">
      <w:pPr>
        <w:overflowPunct w:val="0"/>
        <w:autoSpaceDE w:val="0"/>
        <w:autoSpaceDN w:val="0"/>
        <w:snapToGrid w:val="0"/>
        <w:spacing w:line="520" w:lineRule="exact"/>
        <w:jc w:val="center"/>
        <w:rPr>
          <w:rFonts w:eastAsia="仿宋_GB2312"/>
          <w:color w:val="000000" w:themeColor="text1"/>
          <w:kern w:val="0"/>
          <w:sz w:val="32"/>
          <w:szCs w:val="32"/>
        </w:rPr>
      </w:pPr>
      <w:r>
        <w:rPr>
          <w:rFonts w:eastAsia="仿宋_GB2312"/>
          <w:color w:val="000000" w:themeColor="text1"/>
          <w:kern w:val="0"/>
          <w:sz w:val="32"/>
          <w:szCs w:val="32"/>
        </w:rPr>
        <w:t>表1. 无源植入式医疗器械的测试结果示例</w:t>
      </w:r>
    </w:p>
    <w:tbl>
      <w:tblPr>
        <w:tblStyle w:val="16"/>
        <w:tblW w:w="54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854"/>
        <w:gridCol w:w="1425"/>
        <w:gridCol w:w="1423"/>
        <w:gridCol w:w="990"/>
        <w:gridCol w:w="3186"/>
        <w:gridCol w:w="1410"/>
      </w:tblGrid>
      <w:tr w14:paraId="2239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0" w:type="pct"/>
            <w:shd w:val="clear" w:color="auto" w:fill="auto"/>
            <w:tcMar>
              <w:left w:w="85" w:type="dxa"/>
              <w:right w:w="85" w:type="dxa"/>
            </w:tcMar>
          </w:tcPr>
          <w:p w14:paraId="0056F454">
            <w:pPr>
              <w:snapToGrid w:val="0"/>
              <w:spacing w:line="520" w:lineRule="exact"/>
              <w:rPr>
                <w:rFonts w:eastAsia="仿宋_GB2312"/>
                <w:color w:val="000000" w:themeColor="text1"/>
                <w:sz w:val="28"/>
                <w:szCs w:val="32"/>
              </w:rPr>
            </w:pPr>
            <w:r>
              <w:rPr>
                <w:rFonts w:eastAsia="仿宋_GB2312"/>
                <w:color w:val="000000" w:themeColor="text1"/>
                <w:sz w:val="28"/>
                <w:szCs w:val="32"/>
              </w:rPr>
              <w:t>已知</w:t>
            </w:r>
          </w:p>
          <w:p w14:paraId="7C477F5C">
            <w:pPr>
              <w:snapToGrid w:val="0"/>
              <w:spacing w:line="520" w:lineRule="exact"/>
              <w:rPr>
                <w:rFonts w:eastAsia="仿宋_GB2312"/>
                <w:color w:val="000000" w:themeColor="text1"/>
                <w:sz w:val="28"/>
                <w:szCs w:val="32"/>
              </w:rPr>
            </w:pPr>
            <w:r>
              <w:rPr>
                <w:rFonts w:eastAsia="仿宋_GB2312"/>
                <w:color w:val="000000" w:themeColor="text1"/>
                <w:sz w:val="28"/>
                <w:szCs w:val="32"/>
              </w:rPr>
              <w:t>危害</w:t>
            </w:r>
          </w:p>
        </w:tc>
        <w:tc>
          <w:tcPr>
            <w:tcW w:w="767" w:type="pct"/>
            <w:shd w:val="clear" w:color="auto" w:fill="auto"/>
            <w:tcMar>
              <w:left w:w="85" w:type="dxa"/>
              <w:right w:w="85" w:type="dxa"/>
            </w:tcMar>
          </w:tcPr>
          <w:p w14:paraId="25D070FE">
            <w:pPr>
              <w:snapToGrid w:val="0"/>
              <w:spacing w:line="520" w:lineRule="exact"/>
              <w:rPr>
                <w:rFonts w:eastAsia="仿宋_GB2312"/>
                <w:color w:val="000000" w:themeColor="text1"/>
                <w:sz w:val="28"/>
                <w:szCs w:val="32"/>
              </w:rPr>
            </w:pPr>
            <w:r>
              <w:rPr>
                <w:rFonts w:eastAsia="仿宋_GB2312"/>
                <w:color w:val="000000" w:themeColor="text1"/>
                <w:sz w:val="28"/>
                <w:szCs w:val="32"/>
              </w:rPr>
              <w:t>测试方法</w:t>
            </w:r>
          </w:p>
        </w:tc>
        <w:tc>
          <w:tcPr>
            <w:tcW w:w="766" w:type="pct"/>
            <w:shd w:val="clear" w:color="auto" w:fill="auto"/>
            <w:tcMar>
              <w:left w:w="85" w:type="dxa"/>
              <w:right w:w="85" w:type="dxa"/>
            </w:tcMar>
          </w:tcPr>
          <w:p w14:paraId="003B7DF9">
            <w:pPr>
              <w:snapToGrid w:val="0"/>
              <w:spacing w:line="520" w:lineRule="exact"/>
              <w:rPr>
                <w:rFonts w:eastAsia="仿宋_GB2312"/>
                <w:color w:val="000000" w:themeColor="text1"/>
                <w:sz w:val="28"/>
                <w:szCs w:val="32"/>
              </w:rPr>
            </w:pPr>
            <w:r>
              <w:rPr>
                <w:rFonts w:eastAsia="仿宋_GB2312"/>
                <w:color w:val="000000" w:themeColor="text1"/>
                <w:sz w:val="28"/>
                <w:szCs w:val="32"/>
              </w:rPr>
              <w:t>验收标准</w:t>
            </w:r>
          </w:p>
        </w:tc>
        <w:tc>
          <w:tcPr>
            <w:tcW w:w="533" w:type="pct"/>
            <w:shd w:val="clear" w:color="auto" w:fill="auto"/>
            <w:tcMar>
              <w:left w:w="85" w:type="dxa"/>
              <w:right w:w="85" w:type="dxa"/>
            </w:tcMar>
          </w:tcPr>
          <w:p w14:paraId="704B92ED">
            <w:pPr>
              <w:snapToGrid w:val="0"/>
              <w:spacing w:line="520" w:lineRule="exact"/>
              <w:rPr>
                <w:rFonts w:eastAsia="仿宋_GB2312"/>
                <w:color w:val="000000" w:themeColor="text1"/>
                <w:sz w:val="28"/>
                <w:szCs w:val="32"/>
              </w:rPr>
            </w:pPr>
            <w:r>
              <w:rPr>
                <w:rFonts w:eastAsia="仿宋_GB2312"/>
                <w:color w:val="000000" w:themeColor="text1"/>
                <w:sz w:val="28"/>
                <w:szCs w:val="32"/>
              </w:rPr>
              <w:t>产品</w:t>
            </w:r>
          </w:p>
          <w:p w14:paraId="2B56C9B9">
            <w:pPr>
              <w:snapToGrid w:val="0"/>
              <w:spacing w:line="520" w:lineRule="exact"/>
              <w:rPr>
                <w:rFonts w:eastAsia="仿宋_GB2312"/>
                <w:color w:val="000000" w:themeColor="text1"/>
                <w:sz w:val="28"/>
                <w:szCs w:val="32"/>
              </w:rPr>
            </w:pPr>
            <w:r>
              <w:rPr>
                <w:rFonts w:eastAsia="仿宋_GB2312"/>
                <w:color w:val="000000" w:themeColor="text1"/>
                <w:sz w:val="28"/>
                <w:szCs w:val="32"/>
              </w:rPr>
              <w:t>配置</w:t>
            </w:r>
          </w:p>
        </w:tc>
        <w:tc>
          <w:tcPr>
            <w:tcW w:w="1715" w:type="pct"/>
            <w:shd w:val="clear" w:color="auto" w:fill="auto"/>
            <w:tcMar>
              <w:left w:w="85" w:type="dxa"/>
              <w:right w:w="85" w:type="dxa"/>
            </w:tcMar>
          </w:tcPr>
          <w:p w14:paraId="54CB3E37">
            <w:pPr>
              <w:snapToGrid w:val="0"/>
              <w:spacing w:line="520" w:lineRule="exact"/>
              <w:jc w:val="center"/>
              <w:rPr>
                <w:rFonts w:eastAsia="仿宋_GB2312"/>
                <w:color w:val="000000" w:themeColor="text1"/>
                <w:sz w:val="28"/>
                <w:szCs w:val="32"/>
              </w:rPr>
            </w:pPr>
            <w:r>
              <w:rPr>
                <w:rFonts w:eastAsia="仿宋_GB2312"/>
                <w:color w:val="000000" w:themeColor="text1"/>
                <w:sz w:val="28"/>
                <w:szCs w:val="32"/>
              </w:rPr>
              <w:t>测试结果</w:t>
            </w:r>
          </w:p>
        </w:tc>
        <w:tc>
          <w:tcPr>
            <w:tcW w:w="759" w:type="pct"/>
            <w:shd w:val="clear" w:color="auto" w:fill="auto"/>
            <w:tcMar>
              <w:left w:w="85" w:type="dxa"/>
              <w:right w:w="85" w:type="dxa"/>
            </w:tcMar>
          </w:tcPr>
          <w:p w14:paraId="70BD377C">
            <w:pPr>
              <w:snapToGrid w:val="0"/>
              <w:spacing w:line="520" w:lineRule="exact"/>
              <w:rPr>
                <w:rFonts w:eastAsia="仿宋_GB2312"/>
                <w:color w:val="000000" w:themeColor="text1"/>
                <w:sz w:val="28"/>
                <w:szCs w:val="32"/>
              </w:rPr>
            </w:pPr>
            <w:r>
              <w:rPr>
                <w:rFonts w:eastAsia="仿宋_GB2312"/>
                <w:color w:val="000000" w:themeColor="text1"/>
                <w:sz w:val="28"/>
                <w:szCs w:val="32"/>
              </w:rPr>
              <w:t>提交材料中的位置</w:t>
            </w:r>
          </w:p>
        </w:tc>
      </w:tr>
      <w:tr w14:paraId="48A7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0" w:type="pct"/>
            <w:shd w:val="clear" w:color="auto" w:fill="auto"/>
            <w:tcMar>
              <w:left w:w="85" w:type="dxa"/>
              <w:right w:w="85" w:type="dxa"/>
            </w:tcMar>
          </w:tcPr>
          <w:p w14:paraId="216C3733">
            <w:pPr>
              <w:snapToGrid w:val="0"/>
              <w:spacing w:line="520" w:lineRule="exact"/>
              <w:rPr>
                <w:rFonts w:eastAsia="仿宋_GB2312"/>
                <w:color w:val="000000" w:themeColor="text1"/>
                <w:sz w:val="28"/>
                <w:szCs w:val="32"/>
              </w:rPr>
            </w:pPr>
            <w:r>
              <w:rPr>
                <w:rFonts w:eastAsia="仿宋_GB2312"/>
                <w:color w:val="000000" w:themeColor="text1"/>
                <w:sz w:val="28"/>
                <w:szCs w:val="32"/>
              </w:rPr>
              <w:t>图像伪影</w:t>
            </w:r>
          </w:p>
        </w:tc>
        <w:tc>
          <w:tcPr>
            <w:tcW w:w="767" w:type="pct"/>
            <w:shd w:val="clear" w:color="auto" w:fill="auto"/>
            <w:tcMar>
              <w:left w:w="85" w:type="dxa"/>
              <w:right w:w="85" w:type="dxa"/>
            </w:tcMar>
          </w:tcPr>
          <w:p w14:paraId="534B3510">
            <w:pPr>
              <w:snapToGrid w:val="0"/>
              <w:spacing w:line="520" w:lineRule="exact"/>
              <w:rPr>
                <w:rFonts w:eastAsia="仿宋_GB2312"/>
                <w:color w:val="000000" w:themeColor="text1"/>
                <w:sz w:val="28"/>
                <w:szCs w:val="32"/>
              </w:rPr>
            </w:pPr>
            <w:r>
              <w:rPr>
                <w:rFonts w:eastAsia="仿宋_GB2312"/>
                <w:color w:val="000000" w:themeColor="text1"/>
                <w:sz w:val="28"/>
                <w:szCs w:val="32"/>
              </w:rPr>
              <w:t>ASTM F2119-13</w:t>
            </w:r>
          </w:p>
        </w:tc>
        <w:tc>
          <w:tcPr>
            <w:tcW w:w="766" w:type="pct"/>
            <w:shd w:val="clear" w:color="auto" w:fill="auto"/>
            <w:tcMar>
              <w:left w:w="85" w:type="dxa"/>
              <w:right w:w="85" w:type="dxa"/>
            </w:tcMar>
          </w:tcPr>
          <w:p w14:paraId="4BB41356">
            <w:pPr>
              <w:snapToGrid w:val="0"/>
              <w:spacing w:line="520" w:lineRule="exact"/>
              <w:rPr>
                <w:rFonts w:eastAsia="仿宋_GB2312"/>
                <w:color w:val="000000" w:themeColor="text1"/>
                <w:sz w:val="28"/>
                <w:szCs w:val="32"/>
              </w:rPr>
            </w:pPr>
            <w:r>
              <w:rPr>
                <w:rFonts w:eastAsia="仿宋_GB2312"/>
                <w:color w:val="000000" w:themeColor="text1"/>
                <w:sz w:val="28"/>
                <w:szCs w:val="32"/>
              </w:rPr>
              <w:t>定性分析</w:t>
            </w:r>
          </w:p>
        </w:tc>
        <w:tc>
          <w:tcPr>
            <w:tcW w:w="533" w:type="pct"/>
            <w:shd w:val="clear" w:color="auto" w:fill="auto"/>
            <w:tcMar>
              <w:left w:w="85" w:type="dxa"/>
              <w:right w:w="85" w:type="dxa"/>
            </w:tcMar>
          </w:tcPr>
          <w:p w14:paraId="708BBC41">
            <w:pPr>
              <w:snapToGrid w:val="0"/>
              <w:spacing w:line="520" w:lineRule="exact"/>
              <w:rPr>
                <w:rFonts w:eastAsia="仿宋_GB2312"/>
                <w:color w:val="000000" w:themeColor="text1"/>
                <w:sz w:val="28"/>
                <w:szCs w:val="32"/>
              </w:rPr>
            </w:pPr>
            <w:r>
              <w:rPr>
                <w:rFonts w:eastAsia="仿宋_GB2312"/>
                <w:color w:val="000000" w:themeColor="text1"/>
                <w:sz w:val="28"/>
                <w:szCs w:val="32"/>
              </w:rPr>
              <w:t>40mm</w:t>
            </w:r>
          </w:p>
        </w:tc>
        <w:tc>
          <w:tcPr>
            <w:tcW w:w="1715" w:type="pct"/>
            <w:shd w:val="clear" w:color="auto" w:fill="auto"/>
            <w:tcMar>
              <w:left w:w="85" w:type="dxa"/>
              <w:right w:w="85" w:type="dxa"/>
            </w:tcMar>
          </w:tcPr>
          <w:p w14:paraId="7546C02E">
            <w:pPr>
              <w:snapToGrid w:val="0"/>
              <w:spacing w:line="520" w:lineRule="exact"/>
              <w:rPr>
                <w:rFonts w:eastAsia="仿宋_GB2312"/>
                <w:color w:val="000000" w:themeColor="text1"/>
                <w:sz w:val="28"/>
                <w:szCs w:val="32"/>
              </w:rPr>
            </w:pPr>
            <w:r>
              <w:rPr>
                <w:rFonts w:eastAsia="仿宋_GB2312"/>
                <w:color w:val="000000" w:themeColor="text1"/>
                <w:sz w:val="28"/>
                <w:szCs w:val="32"/>
              </w:rPr>
              <w:t>3T GRE序列，最大伪影范围为器械外延3mm</w:t>
            </w:r>
          </w:p>
        </w:tc>
        <w:tc>
          <w:tcPr>
            <w:tcW w:w="759" w:type="pct"/>
            <w:shd w:val="clear" w:color="auto" w:fill="auto"/>
            <w:tcMar>
              <w:left w:w="85" w:type="dxa"/>
              <w:right w:w="85" w:type="dxa"/>
            </w:tcMar>
          </w:tcPr>
          <w:p w14:paraId="7D33BC8B">
            <w:pPr>
              <w:snapToGrid w:val="0"/>
              <w:spacing w:line="520" w:lineRule="exact"/>
              <w:rPr>
                <w:rFonts w:eastAsia="仿宋_GB2312"/>
                <w:color w:val="000000" w:themeColor="text1"/>
                <w:sz w:val="28"/>
                <w:szCs w:val="32"/>
              </w:rPr>
            </w:pPr>
            <w:r>
              <w:rPr>
                <w:rFonts w:eastAsia="仿宋_GB2312"/>
                <w:color w:val="000000" w:themeColor="text1"/>
                <w:sz w:val="28"/>
                <w:szCs w:val="32"/>
              </w:rPr>
              <w:t>第n章，第n节，第n页</w:t>
            </w:r>
          </w:p>
        </w:tc>
      </w:tr>
      <w:tr w14:paraId="2477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0" w:type="pct"/>
            <w:shd w:val="clear" w:color="auto" w:fill="auto"/>
            <w:tcMar>
              <w:left w:w="85" w:type="dxa"/>
              <w:right w:w="85" w:type="dxa"/>
            </w:tcMar>
          </w:tcPr>
          <w:p w14:paraId="355A9E85">
            <w:pPr>
              <w:snapToGrid w:val="0"/>
              <w:spacing w:line="520" w:lineRule="exact"/>
              <w:rPr>
                <w:rFonts w:eastAsia="仿宋_GB2312"/>
                <w:color w:val="000000" w:themeColor="text1"/>
                <w:sz w:val="28"/>
                <w:szCs w:val="32"/>
              </w:rPr>
            </w:pPr>
            <w:r>
              <w:rPr>
                <w:rFonts w:eastAsia="仿宋_GB2312"/>
                <w:color w:val="000000" w:themeColor="text1"/>
                <w:sz w:val="28"/>
                <w:szCs w:val="32"/>
              </w:rPr>
              <w:t>磁致位移力</w:t>
            </w:r>
          </w:p>
        </w:tc>
        <w:tc>
          <w:tcPr>
            <w:tcW w:w="767" w:type="pct"/>
            <w:shd w:val="clear" w:color="auto" w:fill="auto"/>
            <w:tcMar>
              <w:left w:w="85" w:type="dxa"/>
              <w:right w:w="85" w:type="dxa"/>
            </w:tcMar>
          </w:tcPr>
          <w:p w14:paraId="69033C3C">
            <w:pPr>
              <w:snapToGrid w:val="0"/>
              <w:spacing w:line="520" w:lineRule="exact"/>
              <w:rPr>
                <w:rFonts w:eastAsia="仿宋_GB2312"/>
                <w:color w:val="000000" w:themeColor="text1"/>
                <w:sz w:val="28"/>
                <w:szCs w:val="32"/>
              </w:rPr>
            </w:pPr>
            <w:r>
              <w:rPr>
                <w:rFonts w:eastAsia="仿宋_GB2312"/>
                <w:color w:val="000000" w:themeColor="text1"/>
                <w:sz w:val="28"/>
                <w:szCs w:val="32"/>
              </w:rPr>
              <w:t>ASTM F2052-15</w:t>
            </w:r>
          </w:p>
        </w:tc>
        <w:tc>
          <w:tcPr>
            <w:tcW w:w="766" w:type="pct"/>
            <w:shd w:val="clear" w:color="auto" w:fill="auto"/>
            <w:tcMar>
              <w:left w:w="85" w:type="dxa"/>
              <w:right w:w="85" w:type="dxa"/>
            </w:tcMar>
          </w:tcPr>
          <w:p w14:paraId="30867299">
            <w:pPr>
              <w:snapToGrid w:val="0"/>
              <w:spacing w:line="520" w:lineRule="exact"/>
              <w:rPr>
                <w:rFonts w:eastAsia="仿宋_GB2312"/>
                <w:color w:val="000000" w:themeColor="text1"/>
                <w:sz w:val="28"/>
                <w:szCs w:val="32"/>
              </w:rPr>
            </w:pPr>
            <w:r>
              <w:rPr>
                <w:rFonts w:eastAsia="仿宋_GB2312"/>
                <w:color w:val="000000" w:themeColor="text1"/>
                <w:sz w:val="28"/>
                <w:szCs w:val="32"/>
              </w:rPr>
              <w:t>磁力小于医疗器械重量</w:t>
            </w:r>
          </w:p>
        </w:tc>
        <w:tc>
          <w:tcPr>
            <w:tcW w:w="533" w:type="pct"/>
            <w:shd w:val="clear" w:color="auto" w:fill="auto"/>
            <w:tcMar>
              <w:left w:w="85" w:type="dxa"/>
              <w:right w:w="85" w:type="dxa"/>
            </w:tcMar>
          </w:tcPr>
          <w:p w14:paraId="687FCE25">
            <w:pPr>
              <w:snapToGrid w:val="0"/>
              <w:spacing w:line="520" w:lineRule="exact"/>
              <w:rPr>
                <w:rFonts w:eastAsia="仿宋_GB2312"/>
                <w:color w:val="000000" w:themeColor="text1"/>
                <w:sz w:val="28"/>
                <w:szCs w:val="32"/>
              </w:rPr>
            </w:pPr>
            <w:r>
              <w:rPr>
                <w:rFonts w:eastAsia="仿宋_GB2312"/>
                <w:color w:val="000000" w:themeColor="text1"/>
                <w:sz w:val="28"/>
                <w:szCs w:val="32"/>
              </w:rPr>
              <w:t>40mm</w:t>
            </w:r>
          </w:p>
        </w:tc>
        <w:tc>
          <w:tcPr>
            <w:tcW w:w="1715" w:type="pct"/>
            <w:shd w:val="clear" w:color="auto" w:fill="auto"/>
            <w:tcMar>
              <w:left w:w="85" w:type="dxa"/>
              <w:right w:w="85" w:type="dxa"/>
            </w:tcMar>
          </w:tcPr>
          <w:p w14:paraId="4A7C9FD2">
            <w:pPr>
              <w:snapToGrid w:val="0"/>
              <w:spacing w:line="520" w:lineRule="exact"/>
              <w:rPr>
                <w:rFonts w:eastAsia="仿宋_GB2312"/>
                <w:color w:val="000000" w:themeColor="text1"/>
                <w:sz w:val="28"/>
                <w:szCs w:val="32"/>
              </w:rPr>
            </w:pPr>
            <w:r>
              <w:rPr>
                <w:rFonts w:eastAsia="仿宋_GB2312"/>
                <w:color w:val="000000" w:themeColor="text1"/>
                <w:sz w:val="28"/>
                <w:szCs w:val="32"/>
              </w:rPr>
              <w:t>B = 1.52T，dB/dz = 4.67T/m，偏转2°。计算的最大空间磁场梯度=30T/m。</w:t>
            </w:r>
          </w:p>
          <w:p w14:paraId="65D7DDDE">
            <w:pPr>
              <w:snapToGrid w:val="0"/>
              <w:spacing w:line="520" w:lineRule="exact"/>
              <w:rPr>
                <w:rFonts w:eastAsia="仿宋_GB2312"/>
                <w:color w:val="000000" w:themeColor="text1"/>
                <w:sz w:val="28"/>
                <w:szCs w:val="32"/>
              </w:rPr>
            </w:pPr>
            <w:r>
              <w:rPr>
                <w:rFonts w:eastAsia="仿宋_GB2312"/>
                <w:color w:val="000000" w:themeColor="text1"/>
                <w:sz w:val="28"/>
                <w:szCs w:val="32"/>
              </w:rPr>
              <w:t>通过</w:t>
            </w:r>
          </w:p>
        </w:tc>
        <w:tc>
          <w:tcPr>
            <w:tcW w:w="759" w:type="pct"/>
            <w:shd w:val="clear" w:color="auto" w:fill="auto"/>
            <w:tcMar>
              <w:left w:w="85" w:type="dxa"/>
              <w:right w:w="85" w:type="dxa"/>
            </w:tcMar>
          </w:tcPr>
          <w:p w14:paraId="37812728">
            <w:pPr>
              <w:snapToGrid w:val="0"/>
              <w:spacing w:line="520" w:lineRule="exact"/>
              <w:rPr>
                <w:rFonts w:eastAsia="仿宋_GB2312"/>
                <w:color w:val="000000" w:themeColor="text1"/>
                <w:sz w:val="28"/>
                <w:szCs w:val="32"/>
              </w:rPr>
            </w:pPr>
            <w:r>
              <w:rPr>
                <w:rFonts w:eastAsia="仿宋_GB2312"/>
                <w:color w:val="000000" w:themeColor="text1"/>
                <w:sz w:val="28"/>
                <w:szCs w:val="32"/>
              </w:rPr>
              <w:t>/</w:t>
            </w:r>
          </w:p>
        </w:tc>
      </w:tr>
      <w:tr w14:paraId="6C6C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0" w:type="pct"/>
            <w:shd w:val="clear" w:color="auto" w:fill="auto"/>
            <w:tcMar>
              <w:left w:w="85" w:type="dxa"/>
              <w:right w:w="85" w:type="dxa"/>
            </w:tcMar>
          </w:tcPr>
          <w:p w14:paraId="6559DFFE">
            <w:pPr>
              <w:snapToGrid w:val="0"/>
              <w:spacing w:line="520" w:lineRule="exact"/>
              <w:rPr>
                <w:rFonts w:eastAsia="仿宋_GB2312"/>
                <w:color w:val="000000" w:themeColor="text1"/>
                <w:sz w:val="28"/>
                <w:szCs w:val="32"/>
              </w:rPr>
            </w:pPr>
            <w:r>
              <w:rPr>
                <w:rFonts w:eastAsia="仿宋_GB2312"/>
                <w:color w:val="000000" w:themeColor="text1"/>
                <w:sz w:val="28"/>
                <w:szCs w:val="32"/>
              </w:rPr>
              <w:t>磁致扭矩</w:t>
            </w:r>
          </w:p>
        </w:tc>
        <w:tc>
          <w:tcPr>
            <w:tcW w:w="767" w:type="pct"/>
            <w:shd w:val="clear" w:color="auto" w:fill="auto"/>
            <w:tcMar>
              <w:left w:w="85" w:type="dxa"/>
              <w:right w:w="85" w:type="dxa"/>
            </w:tcMar>
          </w:tcPr>
          <w:p w14:paraId="23C5163B">
            <w:pPr>
              <w:snapToGrid w:val="0"/>
              <w:spacing w:line="520" w:lineRule="exact"/>
              <w:rPr>
                <w:rFonts w:eastAsia="仿宋_GB2312"/>
                <w:color w:val="000000" w:themeColor="text1"/>
                <w:sz w:val="28"/>
                <w:szCs w:val="32"/>
              </w:rPr>
            </w:pPr>
            <w:r>
              <w:rPr>
                <w:rFonts w:eastAsia="仿宋_GB2312"/>
                <w:color w:val="000000" w:themeColor="text1"/>
                <w:sz w:val="28"/>
                <w:szCs w:val="32"/>
              </w:rPr>
              <w:t>ASTM F2213-17</w:t>
            </w:r>
          </w:p>
        </w:tc>
        <w:tc>
          <w:tcPr>
            <w:tcW w:w="766" w:type="pct"/>
            <w:shd w:val="clear" w:color="auto" w:fill="auto"/>
            <w:tcMar>
              <w:left w:w="85" w:type="dxa"/>
              <w:right w:w="85" w:type="dxa"/>
            </w:tcMar>
          </w:tcPr>
          <w:p w14:paraId="1513AEEF">
            <w:pPr>
              <w:snapToGrid w:val="0"/>
              <w:spacing w:line="520" w:lineRule="exact"/>
              <w:rPr>
                <w:rFonts w:eastAsia="仿宋_GB2312"/>
                <w:color w:val="000000" w:themeColor="text1"/>
                <w:sz w:val="28"/>
                <w:szCs w:val="32"/>
              </w:rPr>
            </w:pPr>
            <w:r>
              <w:rPr>
                <w:rFonts w:eastAsia="仿宋_GB2312"/>
                <w:color w:val="000000" w:themeColor="text1"/>
                <w:sz w:val="28"/>
                <w:szCs w:val="32"/>
              </w:rPr>
              <w:t>扭矩小于重力扭矩</w:t>
            </w:r>
          </w:p>
        </w:tc>
        <w:tc>
          <w:tcPr>
            <w:tcW w:w="533" w:type="pct"/>
            <w:shd w:val="clear" w:color="auto" w:fill="auto"/>
            <w:tcMar>
              <w:left w:w="85" w:type="dxa"/>
              <w:right w:w="85" w:type="dxa"/>
            </w:tcMar>
          </w:tcPr>
          <w:p w14:paraId="7E886747">
            <w:pPr>
              <w:snapToGrid w:val="0"/>
              <w:spacing w:line="520" w:lineRule="exact"/>
              <w:rPr>
                <w:rFonts w:eastAsia="仿宋_GB2312"/>
                <w:color w:val="000000" w:themeColor="text1"/>
                <w:sz w:val="28"/>
                <w:szCs w:val="32"/>
              </w:rPr>
            </w:pPr>
            <w:r>
              <w:rPr>
                <w:rFonts w:eastAsia="仿宋_GB2312"/>
                <w:color w:val="000000" w:themeColor="text1"/>
                <w:sz w:val="28"/>
                <w:szCs w:val="32"/>
              </w:rPr>
              <w:t>40mm</w:t>
            </w:r>
          </w:p>
        </w:tc>
        <w:tc>
          <w:tcPr>
            <w:tcW w:w="1715" w:type="pct"/>
            <w:shd w:val="clear" w:color="auto" w:fill="auto"/>
            <w:tcMar>
              <w:left w:w="85" w:type="dxa"/>
              <w:right w:w="85" w:type="dxa"/>
            </w:tcMar>
          </w:tcPr>
          <w:p w14:paraId="10223990">
            <w:pPr>
              <w:snapToGrid w:val="0"/>
              <w:spacing w:line="520" w:lineRule="exact"/>
              <w:rPr>
                <w:rFonts w:eastAsia="仿宋_GB2312"/>
                <w:color w:val="000000" w:themeColor="text1"/>
                <w:sz w:val="28"/>
                <w:szCs w:val="32"/>
              </w:rPr>
            </w:pPr>
            <w:r>
              <w:rPr>
                <w:rFonts w:eastAsia="仿宋_GB2312"/>
                <w:color w:val="000000" w:themeColor="text1"/>
                <w:sz w:val="28"/>
                <w:szCs w:val="32"/>
              </w:rPr>
              <w:t>3T，无明显扭矩</w:t>
            </w:r>
          </w:p>
          <w:p w14:paraId="1329264C">
            <w:pPr>
              <w:snapToGrid w:val="0"/>
              <w:spacing w:line="520" w:lineRule="exact"/>
              <w:rPr>
                <w:rFonts w:eastAsia="仿宋_GB2312"/>
                <w:color w:val="000000" w:themeColor="text1"/>
                <w:sz w:val="28"/>
                <w:szCs w:val="32"/>
              </w:rPr>
            </w:pPr>
            <w:r>
              <w:rPr>
                <w:rFonts w:eastAsia="仿宋_GB2312"/>
                <w:color w:val="000000" w:themeColor="text1"/>
                <w:sz w:val="28"/>
                <w:szCs w:val="32"/>
              </w:rPr>
              <w:t>通过</w:t>
            </w:r>
          </w:p>
        </w:tc>
        <w:tc>
          <w:tcPr>
            <w:tcW w:w="759" w:type="pct"/>
            <w:shd w:val="clear" w:color="auto" w:fill="auto"/>
            <w:tcMar>
              <w:left w:w="85" w:type="dxa"/>
              <w:right w:w="85" w:type="dxa"/>
            </w:tcMar>
          </w:tcPr>
          <w:p w14:paraId="0C9320FD">
            <w:pPr>
              <w:snapToGrid w:val="0"/>
              <w:spacing w:line="520" w:lineRule="exact"/>
              <w:rPr>
                <w:rFonts w:eastAsia="仿宋_GB2312"/>
                <w:color w:val="000000" w:themeColor="text1"/>
                <w:sz w:val="28"/>
                <w:szCs w:val="32"/>
              </w:rPr>
            </w:pPr>
            <w:r>
              <w:rPr>
                <w:rFonts w:eastAsia="仿宋_GB2312"/>
                <w:color w:val="000000" w:themeColor="text1"/>
                <w:sz w:val="28"/>
                <w:szCs w:val="32"/>
              </w:rPr>
              <w:t>/</w:t>
            </w:r>
          </w:p>
        </w:tc>
      </w:tr>
      <w:tr w14:paraId="4955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0" w:type="pct"/>
            <w:shd w:val="clear" w:color="auto" w:fill="auto"/>
            <w:tcMar>
              <w:left w:w="85" w:type="dxa"/>
              <w:right w:w="85" w:type="dxa"/>
            </w:tcMar>
          </w:tcPr>
          <w:p w14:paraId="3ED12C58">
            <w:pPr>
              <w:snapToGrid w:val="0"/>
              <w:spacing w:line="520" w:lineRule="exact"/>
              <w:rPr>
                <w:rFonts w:eastAsia="仿宋_GB2312"/>
                <w:color w:val="000000" w:themeColor="text1"/>
                <w:sz w:val="28"/>
                <w:szCs w:val="32"/>
              </w:rPr>
            </w:pPr>
            <w:r>
              <w:rPr>
                <w:rFonts w:eastAsia="仿宋_GB2312"/>
                <w:color w:val="000000" w:themeColor="text1"/>
                <w:sz w:val="28"/>
                <w:szCs w:val="32"/>
              </w:rPr>
              <w:t>射频感应致热</w:t>
            </w:r>
          </w:p>
        </w:tc>
        <w:tc>
          <w:tcPr>
            <w:tcW w:w="767" w:type="pct"/>
            <w:shd w:val="clear" w:color="auto" w:fill="auto"/>
            <w:tcMar>
              <w:left w:w="85" w:type="dxa"/>
              <w:right w:w="85" w:type="dxa"/>
            </w:tcMar>
          </w:tcPr>
          <w:p w14:paraId="5AE1B4CB">
            <w:pPr>
              <w:snapToGrid w:val="0"/>
              <w:spacing w:line="520" w:lineRule="exact"/>
              <w:rPr>
                <w:rFonts w:eastAsia="仿宋_GB2312"/>
                <w:color w:val="000000" w:themeColor="text1"/>
                <w:sz w:val="28"/>
                <w:szCs w:val="32"/>
              </w:rPr>
            </w:pPr>
            <w:r>
              <w:rPr>
                <w:rFonts w:eastAsia="仿宋_GB2312"/>
                <w:color w:val="000000" w:themeColor="text1"/>
                <w:sz w:val="28"/>
                <w:szCs w:val="32"/>
              </w:rPr>
              <w:t>ASTM F2182-11a</w:t>
            </w:r>
          </w:p>
        </w:tc>
        <w:tc>
          <w:tcPr>
            <w:tcW w:w="766" w:type="pct"/>
            <w:shd w:val="clear" w:color="auto" w:fill="auto"/>
            <w:tcMar>
              <w:left w:w="85" w:type="dxa"/>
              <w:right w:w="85" w:type="dxa"/>
            </w:tcMar>
          </w:tcPr>
          <w:p w14:paraId="02DA86D9">
            <w:pPr>
              <w:snapToGrid w:val="0"/>
              <w:spacing w:line="520" w:lineRule="exact"/>
              <w:rPr>
                <w:rFonts w:eastAsia="仿宋_GB2312"/>
                <w:color w:val="000000" w:themeColor="text1"/>
                <w:sz w:val="28"/>
                <w:szCs w:val="32"/>
              </w:rPr>
            </w:pPr>
            <w:r>
              <w:rPr>
                <w:rFonts w:eastAsia="仿宋_GB2312"/>
                <w:color w:val="000000" w:themeColor="text1"/>
                <w:sz w:val="28"/>
                <w:szCs w:val="32"/>
              </w:rPr>
              <w:t>温升低于5℃</w:t>
            </w:r>
          </w:p>
        </w:tc>
        <w:tc>
          <w:tcPr>
            <w:tcW w:w="533" w:type="pct"/>
            <w:shd w:val="clear" w:color="auto" w:fill="auto"/>
            <w:tcMar>
              <w:left w:w="85" w:type="dxa"/>
              <w:right w:w="85" w:type="dxa"/>
            </w:tcMar>
          </w:tcPr>
          <w:p w14:paraId="306162BC">
            <w:pPr>
              <w:snapToGrid w:val="0"/>
              <w:spacing w:line="520" w:lineRule="exact"/>
              <w:rPr>
                <w:rFonts w:eastAsia="仿宋_GB2312"/>
                <w:color w:val="000000" w:themeColor="text1"/>
                <w:sz w:val="28"/>
                <w:szCs w:val="32"/>
              </w:rPr>
            </w:pPr>
            <w:r>
              <w:rPr>
                <w:rFonts w:eastAsia="仿宋_GB2312"/>
                <w:color w:val="000000" w:themeColor="text1"/>
                <w:sz w:val="28"/>
                <w:szCs w:val="32"/>
              </w:rPr>
              <w:t>40mm</w:t>
            </w:r>
          </w:p>
        </w:tc>
        <w:tc>
          <w:tcPr>
            <w:tcW w:w="1715" w:type="pct"/>
            <w:shd w:val="clear" w:color="auto" w:fill="auto"/>
            <w:tcMar>
              <w:left w:w="85" w:type="dxa"/>
              <w:right w:w="85" w:type="dxa"/>
            </w:tcMar>
          </w:tcPr>
          <w:p w14:paraId="5473D5A5">
            <w:pPr>
              <w:snapToGrid w:val="0"/>
              <w:spacing w:line="520" w:lineRule="exact"/>
              <w:rPr>
                <w:rFonts w:eastAsia="仿宋_GB2312"/>
                <w:color w:val="000000" w:themeColor="text1"/>
                <w:sz w:val="28"/>
                <w:szCs w:val="32"/>
              </w:rPr>
            </w:pPr>
            <w:r>
              <w:rPr>
                <w:rFonts w:eastAsia="仿宋_GB2312"/>
                <w:color w:val="000000" w:themeColor="text1"/>
                <w:sz w:val="28"/>
                <w:szCs w:val="32"/>
              </w:rPr>
              <w:t>鸟笼式体线圈，正交发射，最大全身SAR为2</w:t>
            </w:r>
            <w:r>
              <w:rPr>
                <w:rFonts w:hint="eastAsia" w:eastAsia="仿宋_GB2312"/>
                <w:color w:val="000000" w:themeColor="text1"/>
                <w:sz w:val="28"/>
                <w:szCs w:val="32"/>
                <w:lang w:val="en-US" w:eastAsia="zh-CN"/>
              </w:rPr>
              <w:t xml:space="preserve"> </w:t>
            </w:r>
            <w:r>
              <w:rPr>
                <w:rFonts w:eastAsia="仿宋_GB2312"/>
                <w:color w:val="000000" w:themeColor="text1"/>
                <w:sz w:val="28"/>
                <w:szCs w:val="32"/>
              </w:rPr>
              <w:t>W/kg，温升0.5</w:t>
            </w:r>
            <w:r>
              <w:rPr>
                <w:rFonts w:hint="eastAsia" w:eastAsia="仿宋_GB2312"/>
                <w:color w:val="000000" w:themeColor="text1"/>
                <w:sz w:val="28"/>
                <w:szCs w:val="32"/>
                <w:lang w:val="en-US" w:eastAsia="zh-CN"/>
              </w:rPr>
              <w:t xml:space="preserve"> </w:t>
            </w:r>
            <w:r>
              <w:rPr>
                <w:rFonts w:eastAsia="仿宋_GB2312"/>
                <w:color w:val="000000" w:themeColor="text1"/>
                <w:sz w:val="28"/>
                <w:szCs w:val="32"/>
              </w:rPr>
              <w:t>℃/W/kg，15min。</w:t>
            </w:r>
          </w:p>
          <w:p w14:paraId="766A3C99">
            <w:pPr>
              <w:snapToGrid w:val="0"/>
              <w:spacing w:line="520" w:lineRule="exact"/>
              <w:rPr>
                <w:rFonts w:eastAsia="仿宋_GB2312"/>
                <w:color w:val="000000" w:themeColor="text1"/>
                <w:sz w:val="28"/>
                <w:szCs w:val="32"/>
              </w:rPr>
            </w:pPr>
            <w:r>
              <w:rPr>
                <w:rFonts w:eastAsia="仿宋_GB2312"/>
                <w:color w:val="000000" w:themeColor="text1"/>
                <w:sz w:val="28"/>
                <w:szCs w:val="32"/>
              </w:rPr>
              <w:t>通过</w:t>
            </w:r>
          </w:p>
        </w:tc>
        <w:tc>
          <w:tcPr>
            <w:tcW w:w="759" w:type="pct"/>
            <w:shd w:val="clear" w:color="auto" w:fill="auto"/>
            <w:tcMar>
              <w:left w:w="85" w:type="dxa"/>
              <w:right w:w="85" w:type="dxa"/>
            </w:tcMar>
          </w:tcPr>
          <w:p w14:paraId="50ECD569">
            <w:pPr>
              <w:snapToGrid w:val="0"/>
              <w:spacing w:line="520" w:lineRule="exact"/>
              <w:rPr>
                <w:rFonts w:eastAsia="仿宋_GB2312"/>
                <w:color w:val="000000" w:themeColor="text1"/>
                <w:sz w:val="28"/>
                <w:szCs w:val="32"/>
              </w:rPr>
            </w:pPr>
            <w:r>
              <w:rPr>
                <w:rFonts w:eastAsia="仿宋_GB2312"/>
                <w:color w:val="000000" w:themeColor="text1"/>
                <w:sz w:val="28"/>
                <w:szCs w:val="32"/>
              </w:rPr>
              <w:t>/</w:t>
            </w:r>
          </w:p>
        </w:tc>
      </w:tr>
    </w:tbl>
    <w:p w14:paraId="124088E3">
      <w:pPr>
        <w:snapToGrid w:val="0"/>
        <w:spacing w:line="520" w:lineRule="exact"/>
        <w:rPr>
          <w:rFonts w:eastAsia="仿宋_GB2312"/>
          <w:color w:val="000000" w:themeColor="text1"/>
          <w:szCs w:val="22"/>
        </w:rPr>
      </w:pPr>
    </w:p>
    <w:p w14:paraId="65906A87">
      <w:pPr>
        <w:snapToGrid w:val="0"/>
        <w:spacing w:line="520" w:lineRule="exact"/>
        <w:rPr>
          <w:rFonts w:eastAsia="仿宋_GB2312"/>
          <w:color w:val="000000" w:themeColor="text1"/>
          <w:szCs w:val="22"/>
        </w:rPr>
      </w:pPr>
      <w:r>
        <w:rPr>
          <w:rFonts w:eastAsia="仿宋_GB2312"/>
          <w:color w:val="000000" w:themeColor="text1"/>
          <w:szCs w:val="22"/>
        </w:rPr>
        <w:br w:type="page"/>
      </w:r>
    </w:p>
    <w:p w14:paraId="02E34714">
      <w:pPr>
        <w:pStyle w:val="28"/>
        <w:numPr>
          <w:ilvl w:val="0"/>
          <w:numId w:val="40"/>
        </w:numPr>
        <w:overflowPunct w:val="0"/>
        <w:autoSpaceDE w:val="0"/>
        <w:autoSpaceDN w:val="0"/>
        <w:snapToGrid w:val="0"/>
        <w:spacing w:line="520" w:lineRule="exact"/>
        <w:ind w:left="1699" w:hanging="1699" w:hangingChars="531"/>
        <w:jc w:val="left"/>
        <w:outlineLvl w:val="0"/>
        <w:rPr>
          <w:rFonts w:ascii="FZXiaoBiaoSong-B05" w:hAnsi="FZXiaoBiaoSong-B05" w:eastAsia="FZXiaoBiaoSong-B05"/>
          <w:color w:val="000000" w:themeColor="text1"/>
          <w:kern w:val="0"/>
          <w:sz w:val="30"/>
          <w:szCs w:val="30"/>
        </w:rPr>
      </w:pPr>
      <w:r>
        <w:rPr>
          <w:rFonts w:eastAsia="仿宋_GB2312"/>
          <w:snapToGrid w:val="0"/>
          <w:color w:val="000000" w:themeColor="text1"/>
          <w:kern w:val="0"/>
          <w:sz w:val="32"/>
          <w:szCs w:val="32"/>
        </w:rPr>
        <w:br w:type="textWrapping"/>
      </w:r>
      <w:r>
        <w:rPr>
          <w:rFonts w:ascii="FZXiaoBiaoSong-B05" w:hAnsi="FZXiaoBiaoSong-B05" w:eastAsia="FZXiaoBiaoSong-B05"/>
          <w:snapToGrid w:val="0"/>
          <w:color w:val="000000" w:themeColor="text1"/>
          <w:kern w:val="0"/>
          <w:sz w:val="44"/>
          <w:szCs w:val="44"/>
        </w:rPr>
        <w:t>MR环境条件安全标签示例</w:t>
      </w:r>
    </w:p>
    <w:p w14:paraId="50992BBB">
      <w:pPr>
        <w:snapToGrid w:val="0"/>
        <w:spacing w:line="520" w:lineRule="exact"/>
        <w:rPr>
          <w:rFonts w:eastAsia="仿宋_GB2312"/>
          <w:color w:val="000000" w:themeColor="text1"/>
          <w:szCs w:val="22"/>
        </w:rPr>
      </w:pPr>
    </w:p>
    <w:p w14:paraId="2E7B0AA3">
      <w:pPr>
        <w:snapToGrid w:val="0"/>
        <w:spacing w:line="520" w:lineRule="exact"/>
        <w:rPr>
          <w:rFonts w:eastAsia="仿宋_GB2312"/>
          <w:color w:val="000000" w:themeColor="text1"/>
          <w:szCs w:val="22"/>
        </w:rPr>
      </w:pPr>
      <w:r>
        <w:rPr>
          <w:rFonts w:eastAsia="仿宋_GB2312"/>
          <w:color w:val="000000" w:themeColor="text1"/>
          <w:sz w:val="32"/>
          <w:szCs w:val="36"/>
        </w:rPr>
        <w:t>表1. 无源植入式医疗器械MR环境条件安全标签示例</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0" w:type="dxa"/>
          <w:bottom w:w="0" w:type="dxa"/>
          <w:right w:w="40" w:type="dxa"/>
        </w:tblCellMar>
      </w:tblPr>
      <w:tblGrid>
        <w:gridCol w:w="3307"/>
        <w:gridCol w:w="5169"/>
      </w:tblGrid>
      <w:tr w14:paraId="3944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2"/>
            <w:shd w:val="clear" w:color="auto" w:fill="auto"/>
            <w:tcMar>
              <w:left w:w="85" w:type="dxa"/>
              <w:right w:w="85" w:type="dxa"/>
            </w:tcMar>
          </w:tcPr>
          <w:p w14:paraId="13F24892">
            <w:pPr>
              <w:tabs>
                <w:tab w:val="left" w:pos="4460"/>
              </w:tabs>
              <w:snapToGrid w:val="0"/>
              <w:rPr>
                <w:rFonts w:eastAsia="仿宋_GB2312"/>
                <w:color w:val="000000" w:themeColor="text1"/>
                <w:sz w:val="28"/>
                <w:szCs w:val="32"/>
              </w:rPr>
            </w:pPr>
            <w:r>
              <w:rPr>
                <w:rFonts w:eastAsia="仿宋_GB2312"/>
                <w:color w:val="000000" w:themeColor="text1"/>
                <w:sz w:val="28"/>
                <w:szCs w:val="32"/>
              </w:rPr>
              <w:t>MR安全信息</w:t>
            </w:r>
            <w:r>
              <w:rPr>
                <w:rFonts w:eastAsia="仿宋_GB2312"/>
                <w:color w:val="000000" w:themeColor="text1"/>
                <w:sz w:val="28"/>
                <w:szCs w:val="32"/>
              </w:rPr>
              <w:tab/>
            </w:r>
            <w:r>
              <w:rPr>
                <w:rFonts w:eastAsia="仿宋_GB2312"/>
                <w:color w:val="000000" w:themeColor="text1"/>
                <w:sz w:val="28"/>
                <w:szCs w:val="32"/>
              </w:rPr>
              <w:drawing>
                <wp:inline distT="0" distB="0" distL="0" distR="0">
                  <wp:extent cx="690880" cy="59563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90880" cy="595630"/>
                          </a:xfrm>
                          <a:prstGeom prst="rect">
                            <a:avLst/>
                          </a:prstGeom>
                          <a:noFill/>
                          <a:ln>
                            <a:noFill/>
                          </a:ln>
                        </pic:spPr>
                      </pic:pic>
                    </a:graphicData>
                  </a:graphic>
                </wp:inline>
              </w:drawing>
            </w:r>
          </w:p>
          <w:p w14:paraId="373BE4CE">
            <w:pPr>
              <w:snapToGrid w:val="0"/>
              <w:rPr>
                <w:rFonts w:eastAsia="仿宋_GB2312"/>
                <w:color w:val="000000" w:themeColor="text1"/>
                <w:sz w:val="28"/>
                <w:szCs w:val="32"/>
              </w:rPr>
            </w:pPr>
            <w:r>
              <w:rPr>
                <w:rFonts w:eastAsia="仿宋_GB2312"/>
                <w:color w:val="000000" w:themeColor="text1"/>
                <w:sz w:val="28"/>
                <w:szCs w:val="32"/>
              </w:rPr>
              <w:t>携带植入物的患者可在以下条件下进行安全扫描。不遵守下列条件可能导致患者受伤。</w:t>
            </w:r>
          </w:p>
        </w:tc>
      </w:tr>
      <w:tr w14:paraId="3ABF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504E27B8">
            <w:pPr>
              <w:snapToGrid w:val="0"/>
              <w:rPr>
                <w:rFonts w:eastAsia="仿宋_GB2312"/>
                <w:color w:val="000000" w:themeColor="text1"/>
                <w:sz w:val="28"/>
                <w:szCs w:val="32"/>
              </w:rPr>
            </w:pPr>
            <w:r>
              <w:rPr>
                <w:rFonts w:eastAsia="仿宋_GB2312"/>
                <w:color w:val="000000" w:themeColor="text1"/>
                <w:sz w:val="28"/>
                <w:szCs w:val="32"/>
              </w:rPr>
              <w:t>器械名称/标识</w:t>
            </w:r>
          </w:p>
        </w:tc>
        <w:tc>
          <w:tcPr>
            <w:tcW w:w="3049" w:type="pct"/>
            <w:shd w:val="clear" w:color="auto" w:fill="auto"/>
            <w:tcMar>
              <w:left w:w="85" w:type="dxa"/>
              <w:right w:w="85" w:type="dxa"/>
            </w:tcMar>
          </w:tcPr>
          <w:p w14:paraId="065DC659">
            <w:pPr>
              <w:snapToGrid w:val="0"/>
              <w:jc w:val="center"/>
              <w:rPr>
                <w:rFonts w:eastAsia="仿宋_GB2312"/>
                <w:color w:val="000000" w:themeColor="text1"/>
                <w:sz w:val="28"/>
                <w:szCs w:val="32"/>
              </w:rPr>
            </w:pPr>
          </w:p>
        </w:tc>
      </w:tr>
      <w:tr w14:paraId="5F2A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63E5D88D">
            <w:pPr>
              <w:snapToGrid w:val="0"/>
              <w:rPr>
                <w:rFonts w:eastAsia="仿宋_GB2312"/>
                <w:color w:val="000000" w:themeColor="text1"/>
                <w:sz w:val="28"/>
                <w:szCs w:val="32"/>
              </w:rPr>
            </w:pPr>
            <w:r>
              <w:rPr>
                <w:rFonts w:eastAsia="仿宋_GB2312"/>
                <w:color w:val="000000" w:themeColor="text1"/>
                <w:sz w:val="28"/>
                <w:szCs w:val="32"/>
              </w:rPr>
              <w:t>静磁场标称值</w:t>
            </w:r>
          </w:p>
        </w:tc>
        <w:tc>
          <w:tcPr>
            <w:tcW w:w="3049" w:type="pct"/>
            <w:shd w:val="clear" w:color="auto" w:fill="auto"/>
            <w:tcMar>
              <w:left w:w="85" w:type="dxa"/>
              <w:right w:w="85" w:type="dxa"/>
            </w:tcMar>
          </w:tcPr>
          <w:p w14:paraId="4547ECDC">
            <w:pPr>
              <w:snapToGrid w:val="0"/>
              <w:jc w:val="center"/>
              <w:rPr>
                <w:rFonts w:eastAsia="仿宋_GB2312"/>
                <w:color w:val="000000" w:themeColor="text1"/>
                <w:sz w:val="28"/>
                <w:szCs w:val="32"/>
              </w:rPr>
            </w:pPr>
            <w:r>
              <w:rPr>
                <w:rFonts w:eastAsia="仿宋_GB2312"/>
                <w:color w:val="000000" w:themeColor="text1"/>
                <w:sz w:val="28"/>
                <w:szCs w:val="32"/>
              </w:rPr>
              <w:t>1.5T或3.0T</w:t>
            </w:r>
          </w:p>
        </w:tc>
      </w:tr>
      <w:tr w14:paraId="4893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5E51A56E">
            <w:pPr>
              <w:snapToGrid w:val="0"/>
              <w:rPr>
                <w:rFonts w:eastAsia="仿宋_GB2312"/>
                <w:color w:val="000000" w:themeColor="text1"/>
                <w:sz w:val="28"/>
                <w:szCs w:val="32"/>
              </w:rPr>
            </w:pPr>
            <w:r>
              <w:rPr>
                <w:rFonts w:eastAsia="仿宋_GB2312"/>
                <w:color w:val="000000" w:themeColor="text1"/>
                <w:sz w:val="28"/>
                <w:szCs w:val="32"/>
              </w:rPr>
              <w:t>最大空间场梯度</w:t>
            </w:r>
          </w:p>
        </w:tc>
        <w:tc>
          <w:tcPr>
            <w:tcW w:w="3049" w:type="pct"/>
            <w:shd w:val="clear" w:color="auto" w:fill="auto"/>
            <w:tcMar>
              <w:left w:w="85" w:type="dxa"/>
              <w:right w:w="85" w:type="dxa"/>
            </w:tcMar>
          </w:tcPr>
          <w:p w14:paraId="0A2468D1">
            <w:pPr>
              <w:snapToGrid w:val="0"/>
              <w:jc w:val="center"/>
              <w:rPr>
                <w:rFonts w:eastAsia="仿宋_GB2312"/>
                <w:color w:val="000000" w:themeColor="text1"/>
                <w:sz w:val="28"/>
                <w:szCs w:val="32"/>
                <w:lang w:val="de-DE"/>
              </w:rPr>
            </w:pPr>
            <w:r>
              <w:rPr>
                <w:rFonts w:eastAsia="仿宋_GB2312"/>
                <w:color w:val="000000" w:themeColor="text1"/>
                <w:sz w:val="28"/>
                <w:szCs w:val="32"/>
                <w:lang w:val="de-DE"/>
              </w:rPr>
              <w:t>30 T/m（3000gauss/cm）</w:t>
            </w:r>
          </w:p>
        </w:tc>
      </w:tr>
      <w:tr w14:paraId="521D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3F5D1B40">
            <w:pPr>
              <w:snapToGrid w:val="0"/>
              <w:rPr>
                <w:rFonts w:eastAsia="仿宋_GB2312"/>
                <w:color w:val="000000" w:themeColor="text1"/>
                <w:sz w:val="28"/>
                <w:szCs w:val="32"/>
              </w:rPr>
            </w:pPr>
            <w:r>
              <w:rPr>
                <w:rFonts w:eastAsia="仿宋_GB2312"/>
                <w:color w:val="000000" w:themeColor="text1"/>
                <w:sz w:val="28"/>
                <w:szCs w:val="32"/>
              </w:rPr>
              <w:t>RF激发</w:t>
            </w:r>
          </w:p>
        </w:tc>
        <w:tc>
          <w:tcPr>
            <w:tcW w:w="3049" w:type="pct"/>
            <w:shd w:val="clear" w:color="auto" w:fill="auto"/>
            <w:tcMar>
              <w:left w:w="85" w:type="dxa"/>
              <w:right w:w="85" w:type="dxa"/>
            </w:tcMar>
          </w:tcPr>
          <w:p w14:paraId="52BB7160">
            <w:pPr>
              <w:snapToGrid w:val="0"/>
              <w:jc w:val="center"/>
              <w:rPr>
                <w:rFonts w:eastAsia="仿宋_GB2312"/>
                <w:color w:val="000000" w:themeColor="text1"/>
                <w:sz w:val="28"/>
                <w:szCs w:val="32"/>
              </w:rPr>
            </w:pPr>
            <w:r>
              <w:rPr>
                <w:rFonts w:eastAsia="仿宋_GB2312"/>
                <w:color w:val="000000" w:themeColor="text1"/>
                <w:sz w:val="28"/>
                <w:szCs w:val="32"/>
              </w:rPr>
              <w:t>圆极化（CP）</w:t>
            </w:r>
          </w:p>
        </w:tc>
      </w:tr>
      <w:tr w14:paraId="29DB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61A8BB8A">
            <w:pPr>
              <w:snapToGrid w:val="0"/>
              <w:rPr>
                <w:rFonts w:eastAsia="仿宋_GB2312"/>
                <w:color w:val="000000" w:themeColor="text1"/>
                <w:sz w:val="28"/>
                <w:szCs w:val="32"/>
              </w:rPr>
            </w:pPr>
            <w:r>
              <w:rPr>
                <w:rFonts w:eastAsia="仿宋_GB2312"/>
                <w:color w:val="000000" w:themeColor="text1"/>
                <w:sz w:val="28"/>
                <w:szCs w:val="32"/>
              </w:rPr>
              <w:t>RF发射线圈类型</w:t>
            </w:r>
          </w:p>
        </w:tc>
        <w:tc>
          <w:tcPr>
            <w:tcW w:w="3049" w:type="pct"/>
            <w:shd w:val="clear" w:color="auto" w:fill="auto"/>
            <w:tcMar>
              <w:left w:w="85" w:type="dxa"/>
              <w:right w:w="85" w:type="dxa"/>
            </w:tcMar>
          </w:tcPr>
          <w:p w14:paraId="699F3EB3">
            <w:pPr>
              <w:snapToGrid w:val="0"/>
              <w:jc w:val="center"/>
              <w:rPr>
                <w:rFonts w:eastAsia="仿宋_GB2312"/>
                <w:color w:val="000000" w:themeColor="text1"/>
                <w:sz w:val="28"/>
                <w:szCs w:val="32"/>
              </w:rPr>
            </w:pPr>
            <w:r>
              <w:rPr>
                <w:rFonts w:eastAsia="仿宋_GB2312"/>
                <w:color w:val="000000" w:themeColor="text1"/>
                <w:sz w:val="28"/>
                <w:szCs w:val="32"/>
              </w:rPr>
              <w:t>全身发射线圈、头部射频发射-接收线圈或四肢射频发射-接收线圈</w:t>
            </w:r>
          </w:p>
        </w:tc>
      </w:tr>
      <w:tr w14:paraId="0D3C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03E67861">
            <w:pPr>
              <w:snapToGrid w:val="0"/>
              <w:rPr>
                <w:rFonts w:eastAsia="仿宋_GB2312"/>
                <w:color w:val="000000" w:themeColor="text1"/>
                <w:sz w:val="28"/>
                <w:szCs w:val="32"/>
              </w:rPr>
            </w:pPr>
            <w:r>
              <w:rPr>
                <w:rFonts w:eastAsia="仿宋_GB2312"/>
                <w:color w:val="000000" w:themeColor="text1"/>
                <w:sz w:val="28"/>
                <w:szCs w:val="32"/>
              </w:rPr>
              <w:t>最大全身SAR</w:t>
            </w:r>
          </w:p>
        </w:tc>
        <w:tc>
          <w:tcPr>
            <w:tcW w:w="3049" w:type="pct"/>
            <w:shd w:val="clear" w:color="auto" w:fill="auto"/>
            <w:tcMar>
              <w:left w:w="85" w:type="dxa"/>
              <w:right w:w="85" w:type="dxa"/>
            </w:tcMar>
          </w:tcPr>
          <w:p w14:paraId="35292214">
            <w:pPr>
              <w:snapToGrid w:val="0"/>
              <w:jc w:val="center"/>
              <w:rPr>
                <w:rFonts w:eastAsia="仿宋_GB2312"/>
                <w:color w:val="000000" w:themeColor="text1"/>
                <w:sz w:val="28"/>
                <w:szCs w:val="32"/>
              </w:rPr>
            </w:pPr>
            <w:r>
              <w:rPr>
                <w:rFonts w:eastAsia="仿宋_GB2312"/>
                <w:color w:val="000000" w:themeColor="text1"/>
                <w:sz w:val="28"/>
                <w:szCs w:val="32"/>
              </w:rPr>
              <w:t>4W/kg</w:t>
            </w:r>
          </w:p>
        </w:tc>
      </w:tr>
      <w:tr w14:paraId="05AE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10DE3626">
            <w:pPr>
              <w:snapToGrid w:val="0"/>
              <w:rPr>
                <w:rFonts w:eastAsia="仿宋_GB2312"/>
                <w:color w:val="000000" w:themeColor="text1"/>
                <w:sz w:val="28"/>
                <w:szCs w:val="32"/>
              </w:rPr>
            </w:pPr>
            <w:r>
              <w:rPr>
                <w:rFonts w:eastAsia="仿宋_GB2312"/>
                <w:color w:val="000000" w:themeColor="text1"/>
                <w:sz w:val="28"/>
                <w:szCs w:val="32"/>
              </w:rPr>
              <w:t>最大头部SAR</w:t>
            </w:r>
          </w:p>
        </w:tc>
        <w:tc>
          <w:tcPr>
            <w:tcW w:w="3049" w:type="pct"/>
            <w:shd w:val="clear" w:color="auto" w:fill="auto"/>
            <w:tcMar>
              <w:left w:w="85" w:type="dxa"/>
              <w:right w:w="85" w:type="dxa"/>
            </w:tcMar>
          </w:tcPr>
          <w:p w14:paraId="37D6E506">
            <w:pPr>
              <w:snapToGrid w:val="0"/>
              <w:jc w:val="center"/>
              <w:rPr>
                <w:rFonts w:eastAsia="仿宋_GB2312"/>
                <w:color w:val="000000" w:themeColor="text1"/>
                <w:sz w:val="28"/>
                <w:szCs w:val="32"/>
              </w:rPr>
            </w:pPr>
            <w:r>
              <w:rPr>
                <w:rFonts w:eastAsia="仿宋_GB2312"/>
                <w:color w:val="000000" w:themeColor="text1"/>
                <w:sz w:val="28"/>
                <w:szCs w:val="32"/>
              </w:rPr>
              <w:t>3.2W/kg</w:t>
            </w:r>
          </w:p>
        </w:tc>
      </w:tr>
      <w:tr w14:paraId="068D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332B920E">
            <w:pPr>
              <w:snapToGrid w:val="0"/>
              <w:rPr>
                <w:rFonts w:eastAsia="仿宋_GB2312"/>
                <w:color w:val="000000" w:themeColor="text1"/>
                <w:sz w:val="28"/>
                <w:szCs w:val="32"/>
              </w:rPr>
            </w:pPr>
            <w:r>
              <w:rPr>
                <w:rFonts w:eastAsia="仿宋_GB2312"/>
                <w:color w:val="000000" w:themeColor="text1"/>
                <w:sz w:val="28"/>
                <w:szCs w:val="32"/>
              </w:rPr>
              <w:t>扫描持续时间限制</w:t>
            </w:r>
          </w:p>
        </w:tc>
        <w:tc>
          <w:tcPr>
            <w:tcW w:w="3049" w:type="pct"/>
            <w:shd w:val="clear" w:color="auto" w:fill="auto"/>
            <w:tcMar>
              <w:left w:w="85" w:type="dxa"/>
              <w:right w:w="85" w:type="dxa"/>
            </w:tcMar>
            <w:vAlign w:val="center"/>
          </w:tcPr>
          <w:p w14:paraId="4BB44E3C">
            <w:pPr>
              <w:snapToGrid w:val="0"/>
              <w:rPr>
                <w:rFonts w:eastAsia="仿宋_GB2312"/>
                <w:color w:val="000000" w:themeColor="text1"/>
                <w:sz w:val="28"/>
                <w:szCs w:val="32"/>
              </w:rPr>
            </w:pPr>
            <w:r>
              <w:rPr>
                <w:rFonts w:eastAsia="仿宋_GB2312"/>
                <w:color w:val="000000" w:themeColor="text1"/>
                <w:sz w:val="28"/>
                <w:szCs w:val="32"/>
              </w:rPr>
              <w:t>30分钟连续扫描，全身平均SAR应小于4W/kg，如果达到该限值，应立即等待10分钟。</w:t>
            </w:r>
          </w:p>
        </w:tc>
      </w:tr>
      <w:tr w14:paraId="6234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1" w:type="pct"/>
            <w:shd w:val="clear" w:color="auto" w:fill="auto"/>
            <w:tcMar>
              <w:left w:w="85" w:type="dxa"/>
              <w:right w:w="85" w:type="dxa"/>
            </w:tcMar>
            <w:vAlign w:val="center"/>
          </w:tcPr>
          <w:p w14:paraId="7971245B">
            <w:pPr>
              <w:snapToGrid w:val="0"/>
              <w:rPr>
                <w:rFonts w:eastAsia="仿宋_GB2312"/>
                <w:color w:val="000000" w:themeColor="text1"/>
                <w:sz w:val="28"/>
                <w:szCs w:val="32"/>
              </w:rPr>
            </w:pPr>
            <w:r>
              <w:rPr>
                <w:rFonts w:eastAsia="仿宋_GB2312"/>
                <w:color w:val="000000" w:themeColor="text1"/>
                <w:sz w:val="28"/>
                <w:szCs w:val="32"/>
              </w:rPr>
              <w:t>图像伪影</w:t>
            </w:r>
          </w:p>
        </w:tc>
        <w:tc>
          <w:tcPr>
            <w:tcW w:w="3049" w:type="pct"/>
            <w:shd w:val="clear" w:color="auto" w:fill="auto"/>
            <w:tcMar>
              <w:left w:w="85" w:type="dxa"/>
              <w:right w:w="85" w:type="dxa"/>
            </w:tcMar>
          </w:tcPr>
          <w:p w14:paraId="0BEF87FE">
            <w:pPr>
              <w:snapToGrid w:val="0"/>
              <w:rPr>
                <w:rFonts w:eastAsia="仿宋_GB2312"/>
                <w:color w:val="000000" w:themeColor="text1"/>
                <w:sz w:val="28"/>
                <w:szCs w:val="32"/>
              </w:rPr>
            </w:pPr>
            <w:r>
              <w:rPr>
                <w:rFonts w:eastAsia="仿宋_GB2312"/>
                <w:color w:val="000000" w:themeColor="text1"/>
                <w:sz w:val="28"/>
                <w:szCs w:val="32"/>
              </w:rPr>
              <w:t>该植入物的存在可能产生图像伪影。</w:t>
            </w:r>
          </w:p>
        </w:tc>
      </w:tr>
      <w:tr w14:paraId="6000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2"/>
            <w:shd w:val="clear" w:color="auto" w:fill="auto"/>
            <w:tcMar>
              <w:left w:w="85" w:type="dxa"/>
              <w:right w:w="85" w:type="dxa"/>
            </w:tcMar>
          </w:tcPr>
          <w:p w14:paraId="27E6DDB3">
            <w:pPr>
              <w:snapToGrid w:val="0"/>
              <w:rPr>
                <w:rFonts w:eastAsia="仿宋_GB2312"/>
                <w:color w:val="000000" w:themeColor="text1"/>
                <w:sz w:val="28"/>
                <w:szCs w:val="32"/>
              </w:rPr>
            </w:pPr>
            <w:r>
              <w:rPr>
                <w:rFonts w:eastAsia="仿宋_GB2312"/>
                <w:color w:val="000000" w:themeColor="text1"/>
                <w:sz w:val="28"/>
                <w:szCs w:val="32"/>
              </w:rPr>
              <w:t>备注：</w:t>
            </w:r>
          </w:p>
        </w:tc>
      </w:tr>
    </w:tbl>
    <w:p w14:paraId="0C701ACC">
      <w:pPr>
        <w:snapToGrid w:val="0"/>
        <w:spacing w:line="520" w:lineRule="exact"/>
        <w:rPr>
          <w:rFonts w:eastAsia="仿宋_GB2312"/>
          <w:color w:val="000000" w:themeColor="text1"/>
          <w:szCs w:val="22"/>
        </w:rPr>
      </w:pPr>
    </w:p>
    <w:p w14:paraId="261633DD">
      <w:pPr>
        <w:snapToGrid w:val="0"/>
        <w:spacing w:line="520" w:lineRule="exact"/>
        <w:rPr>
          <w:rFonts w:eastAsia="仿宋_GB2312"/>
          <w:color w:val="000000" w:themeColor="text1"/>
          <w:szCs w:val="22"/>
        </w:rPr>
      </w:pPr>
      <w:r>
        <w:rPr>
          <w:rFonts w:eastAsia="仿宋_GB2312"/>
          <w:color w:val="000000" w:themeColor="text1"/>
          <w:sz w:val="32"/>
          <w:szCs w:val="36"/>
        </w:rPr>
        <w:t>表2. 预期在磁体腔外的MR环境条件安全医疗器械的标签示例</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0" w:type="dxa"/>
          <w:bottom w:w="0" w:type="dxa"/>
          <w:right w:w="40" w:type="dxa"/>
        </w:tblCellMar>
      </w:tblPr>
      <w:tblGrid>
        <w:gridCol w:w="3952"/>
        <w:gridCol w:w="4524"/>
      </w:tblGrid>
      <w:tr w14:paraId="67DA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2"/>
            <w:shd w:val="clear" w:color="auto" w:fill="auto"/>
            <w:tcMar>
              <w:left w:w="85" w:type="dxa"/>
              <w:right w:w="85" w:type="dxa"/>
            </w:tcMar>
          </w:tcPr>
          <w:p w14:paraId="29D511E3">
            <w:pPr>
              <w:tabs>
                <w:tab w:val="left" w:pos="4460"/>
              </w:tabs>
              <w:snapToGrid w:val="0"/>
              <w:rPr>
                <w:rFonts w:eastAsia="仿宋_GB2312"/>
                <w:color w:val="000000" w:themeColor="text1"/>
                <w:sz w:val="28"/>
                <w:szCs w:val="32"/>
              </w:rPr>
            </w:pPr>
            <w:r>
              <w:rPr>
                <w:rFonts w:eastAsia="仿宋_GB2312"/>
                <w:color w:val="000000" w:themeColor="text1"/>
                <w:sz w:val="28"/>
                <w:szCs w:val="32"/>
              </w:rPr>
              <w:t>MR安全信息</w:t>
            </w:r>
            <w:r>
              <w:rPr>
                <w:rFonts w:eastAsia="仿宋_GB2312"/>
                <w:color w:val="000000" w:themeColor="text1"/>
                <w:sz w:val="28"/>
                <w:szCs w:val="32"/>
              </w:rPr>
              <w:tab/>
            </w:r>
            <w:r>
              <w:rPr>
                <w:rFonts w:eastAsia="仿宋_GB2312"/>
                <w:color w:val="000000" w:themeColor="text1"/>
                <w:sz w:val="28"/>
                <w:szCs w:val="32"/>
              </w:rPr>
              <w:drawing>
                <wp:inline distT="0" distB="0" distL="0" distR="0">
                  <wp:extent cx="690880" cy="595630"/>
                  <wp:effectExtent l="0" t="0" r="20320"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90880" cy="595630"/>
                          </a:xfrm>
                          <a:prstGeom prst="rect">
                            <a:avLst/>
                          </a:prstGeom>
                          <a:noFill/>
                          <a:ln>
                            <a:noFill/>
                          </a:ln>
                        </pic:spPr>
                      </pic:pic>
                    </a:graphicData>
                  </a:graphic>
                </wp:inline>
              </w:drawing>
            </w:r>
          </w:p>
          <w:p w14:paraId="0B03DEDE">
            <w:pPr>
              <w:snapToGrid w:val="0"/>
              <w:rPr>
                <w:rFonts w:eastAsia="仿宋_GB2312"/>
                <w:color w:val="000000" w:themeColor="text1"/>
                <w:sz w:val="28"/>
                <w:szCs w:val="32"/>
              </w:rPr>
            </w:pPr>
            <w:r>
              <w:rPr>
                <w:rFonts w:eastAsia="仿宋_GB2312"/>
                <w:color w:val="000000" w:themeColor="text1"/>
                <w:sz w:val="28"/>
                <w:szCs w:val="32"/>
              </w:rPr>
              <w:t>该产品可在以下条件下安全用于MR环境。不遵守下列条件可能导致患者损伤和器械故障。</w:t>
            </w:r>
          </w:p>
        </w:tc>
      </w:tr>
      <w:tr w14:paraId="646E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1" w:type="pct"/>
            <w:shd w:val="clear" w:color="auto" w:fill="auto"/>
            <w:tcMar>
              <w:left w:w="85" w:type="dxa"/>
              <w:right w:w="85" w:type="dxa"/>
            </w:tcMar>
            <w:vAlign w:val="center"/>
          </w:tcPr>
          <w:p w14:paraId="34455084">
            <w:pPr>
              <w:snapToGrid w:val="0"/>
              <w:rPr>
                <w:rFonts w:eastAsia="仿宋_GB2312"/>
                <w:color w:val="000000" w:themeColor="text1"/>
                <w:sz w:val="28"/>
                <w:szCs w:val="32"/>
              </w:rPr>
            </w:pPr>
            <w:r>
              <w:rPr>
                <w:rFonts w:eastAsia="仿宋_GB2312"/>
                <w:color w:val="000000" w:themeColor="text1"/>
                <w:sz w:val="28"/>
                <w:szCs w:val="32"/>
              </w:rPr>
              <w:t>医疗器械名称</w:t>
            </w:r>
          </w:p>
        </w:tc>
        <w:tc>
          <w:tcPr>
            <w:tcW w:w="2669" w:type="pct"/>
            <w:shd w:val="clear" w:color="auto" w:fill="auto"/>
            <w:tcMar>
              <w:left w:w="85" w:type="dxa"/>
              <w:right w:w="85" w:type="dxa"/>
            </w:tcMar>
            <w:vAlign w:val="center"/>
          </w:tcPr>
          <w:p w14:paraId="3C7EC4FD">
            <w:pPr>
              <w:snapToGrid w:val="0"/>
              <w:rPr>
                <w:rFonts w:eastAsia="仿宋_GB2312"/>
                <w:color w:val="000000" w:themeColor="text1"/>
                <w:sz w:val="28"/>
                <w:szCs w:val="32"/>
              </w:rPr>
            </w:pPr>
          </w:p>
        </w:tc>
      </w:tr>
      <w:tr w14:paraId="4B0A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1" w:type="pct"/>
            <w:shd w:val="clear" w:color="auto" w:fill="auto"/>
            <w:tcMar>
              <w:left w:w="85" w:type="dxa"/>
              <w:right w:w="85" w:type="dxa"/>
            </w:tcMar>
            <w:vAlign w:val="center"/>
          </w:tcPr>
          <w:p w14:paraId="7B6F1542">
            <w:pPr>
              <w:snapToGrid w:val="0"/>
              <w:rPr>
                <w:rFonts w:eastAsia="仿宋_GB2312"/>
                <w:color w:val="000000" w:themeColor="text1"/>
                <w:sz w:val="28"/>
                <w:szCs w:val="32"/>
              </w:rPr>
            </w:pPr>
            <w:r>
              <w:rPr>
                <w:rFonts w:eastAsia="仿宋_GB2312"/>
                <w:color w:val="000000" w:themeColor="text1"/>
                <w:sz w:val="28"/>
                <w:szCs w:val="32"/>
              </w:rPr>
              <w:t>最大静磁场</w:t>
            </w:r>
          </w:p>
        </w:tc>
        <w:tc>
          <w:tcPr>
            <w:tcW w:w="2669" w:type="pct"/>
            <w:shd w:val="clear" w:color="auto" w:fill="auto"/>
            <w:tcMar>
              <w:left w:w="85" w:type="dxa"/>
              <w:right w:w="85" w:type="dxa"/>
            </w:tcMar>
            <w:vAlign w:val="center"/>
          </w:tcPr>
          <w:p w14:paraId="785623B5">
            <w:pPr>
              <w:snapToGrid w:val="0"/>
              <w:jc w:val="center"/>
              <w:rPr>
                <w:rFonts w:eastAsia="仿宋_GB2312"/>
                <w:color w:val="000000" w:themeColor="text1"/>
                <w:sz w:val="28"/>
                <w:szCs w:val="32"/>
              </w:rPr>
            </w:pPr>
            <w:r>
              <w:rPr>
                <w:rFonts w:eastAsia="仿宋_GB2312"/>
                <w:color w:val="000000" w:themeColor="text1"/>
                <w:sz w:val="28"/>
                <w:szCs w:val="32"/>
              </w:rPr>
              <w:t>不得超过X mT（Y gauss）</w:t>
            </w:r>
          </w:p>
        </w:tc>
      </w:tr>
      <w:tr w14:paraId="3BD8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1" w:type="pct"/>
            <w:shd w:val="clear" w:color="auto" w:fill="auto"/>
            <w:tcMar>
              <w:left w:w="85" w:type="dxa"/>
              <w:right w:w="85" w:type="dxa"/>
            </w:tcMar>
            <w:vAlign w:val="center"/>
          </w:tcPr>
          <w:p w14:paraId="1FDA09AA">
            <w:pPr>
              <w:snapToGrid w:val="0"/>
              <w:rPr>
                <w:rFonts w:eastAsia="仿宋_GB2312"/>
                <w:color w:val="000000" w:themeColor="text1"/>
                <w:sz w:val="28"/>
                <w:szCs w:val="32"/>
              </w:rPr>
            </w:pPr>
            <w:r>
              <w:rPr>
                <w:rFonts w:eastAsia="仿宋_GB2312"/>
                <w:color w:val="000000" w:themeColor="text1"/>
                <w:sz w:val="28"/>
                <w:szCs w:val="32"/>
              </w:rPr>
              <w:t>MR检查前后应遵循的说明</w:t>
            </w:r>
          </w:p>
        </w:tc>
        <w:tc>
          <w:tcPr>
            <w:tcW w:w="2669" w:type="pct"/>
            <w:shd w:val="clear" w:color="auto" w:fill="auto"/>
            <w:tcMar>
              <w:left w:w="85" w:type="dxa"/>
              <w:right w:w="85" w:type="dxa"/>
            </w:tcMar>
            <w:vAlign w:val="center"/>
          </w:tcPr>
          <w:p w14:paraId="0B091E7A">
            <w:pPr>
              <w:snapToGrid w:val="0"/>
              <w:rPr>
                <w:rFonts w:eastAsia="仿宋_GB2312"/>
                <w:color w:val="000000" w:themeColor="text1"/>
                <w:sz w:val="28"/>
                <w:szCs w:val="32"/>
              </w:rPr>
            </w:pPr>
          </w:p>
        </w:tc>
      </w:tr>
      <w:tr w14:paraId="470F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1" w:type="pct"/>
            <w:shd w:val="clear" w:color="auto" w:fill="auto"/>
            <w:tcMar>
              <w:left w:w="85" w:type="dxa"/>
              <w:right w:w="85" w:type="dxa"/>
            </w:tcMar>
            <w:vAlign w:val="center"/>
          </w:tcPr>
          <w:p w14:paraId="2CD9DF98">
            <w:pPr>
              <w:snapToGrid w:val="0"/>
              <w:rPr>
                <w:rFonts w:eastAsia="仿宋_GB2312"/>
                <w:color w:val="000000" w:themeColor="text1"/>
                <w:sz w:val="28"/>
                <w:szCs w:val="32"/>
              </w:rPr>
            </w:pPr>
            <w:r>
              <w:rPr>
                <w:rFonts w:eastAsia="仿宋_GB2312"/>
                <w:color w:val="000000" w:themeColor="text1"/>
                <w:sz w:val="28"/>
                <w:szCs w:val="32"/>
              </w:rPr>
              <w:t>MR环境安全使用所必需的额外信息</w:t>
            </w:r>
          </w:p>
        </w:tc>
        <w:tc>
          <w:tcPr>
            <w:tcW w:w="2669" w:type="pct"/>
            <w:shd w:val="clear" w:color="auto" w:fill="auto"/>
            <w:tcMar>
              <w:left w:w="85" w:type="dxa"/>
              <w:right w:w="85" w:type="dxa"/>
            </w:tcMar>
            <w:vAlign w:val="center"/>
          </w:tcPr>
          <w:p w14:paraId="638B9560">
            <w:pPr>
              <w:snapToGrid w:val="0"/>
              <w:rPr>
                <w:rFonts w:eastAsia="仿宋_GB2312"/>
                <w:color w:val="000000" w:themeColor="text1"/>
                <w:sz w:val="28"/>
                <w:szCs w:val="32"/>
              </w:rPr>
            </w:pPr>
            <w:r>
              <w:rPr>
                <w:rFonts w:eastAsia="仿宋_GB2312"/>
                <w:color w:val="000000" w:themeColor="text1"/>
                <w:sz w:val="28"/>
                <w:szCs w:val="32"/>
              </w:rPr>
              <w:t>位置要求，例如：将器械固定在房间内不可移动的位置。</w:t>
            </w:r>
          </w:p>
          <w:p w14:paraId="6CC815DF">
            <w:pPr>
              <w:snapToGrid w:val="0"/>
              <w:rPr>
                <w:rFonts w:eastAsia="仿宋_GB2312"/>
                <w:color w:val="000000" w:themeColor="text1"/>
                <w:sz w:val="28"/>
                <w:szCs w:val="32"/>
              </w:rPr>
            </w:pPr>
            <w:r>
              <w:rPr>
                <w:rFonts w:eastAsia="仿宋_GB2312"/>
                <w:color w:val="000000" w:themeColor="text1"/>
                <w:sz w:val="28"/>
                <w:szCs w:val="32"/>
              </w:rPr>
              <w:t>高斯线范围的限制信息（例如，器械存在抛射危害；在场强大于X mT（Y gauss）时器械运行受到影响。</w:t>
            </w:r>
          </w:p>
          <w:p w14:paraId="1DAB18B6">
            <w:pPr>
              <w:snapToGrid w:val="0"/>
              <w:rPr>
                <w:rFonts w:eastAsia="仿宋_GB2312"/>
                <w:color w:val="000000" w:themeColor="text1"/>
                <w:sz w:val="28"/>
                <w:szCs w:val="32"/>
              </w:rPr>
            </w:pPr>
            <w:r>
              <w:rPr>
                <w:rFonts w:eastAsia="仿宋_GB2312"/>
                <w:color w:val="000000" w:themeColor="text1"/>
                <w:sz w:val="28"/>
                <w:szCs w:val="32"/>
              </w:rPr>
              <w:t>应遵循所有辅助器械的MR环境条件安全标签。</w:t>
            </w:r>
          </w:p>
        </w:tc>
      </w:tr>
      <w:tr w14:paraId="7FBE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2"/>
            <w:shd w:val="clear" w:color="auto" w:fill="auto"/>
            <w:tcMar>
              <w:left w:w="85" w:type="dxa"/>
              <w:right w:w="85" w:type="dxa"/>
            </w:tcMar>
            <w:vAlign w:val="center"/>
          </w:tcPr>
          <w:p w14:paraId="0C28823D">
            <w:pPr>
              <w:snapToGrid w:val="0"/>
              <w:rPr>
                <w:rFonts w:eastAsia="仿宋_GB2312"/>
                <w:color w:val="000000" w:themeColor="text1"/>
                <w:sz w:val="28"/>
                <w:szCs w:val="32"/>
              </w:rPr>
            </w:pPr>
            <w:r>
              <w:rPr>
                <w:rFonts w:eastAsia="仿宋_GB2312"/>
                <w:color w:val="000000" w:themeColor="text1"/>
                <w:sz w:val="28"/>
                <w:szCs w:val="32"/>
              </w:rPr>
              <w:t>备注：</w:t>
            </w:r>
          </w:p>
        </w:tc>
      </w:tr>
    </w:tbl>
    <w:p w14:paraId="6B9E9552">
      <w:pPr>
        <w:snapToGrid w:val="0"/>
        <w:spacing w:line="520" w:lineRule="exact"/>
        <w:rPr>
          <w:rFonts w:eastAsia="仿宋_GB2312"/>
          <w:color w:val="000000" w:themeColor="text1"/>
          <w:sz w:val="32"/>
          <w:szCs w:val="36"/>
        </w:rPr>
      </w:pPr>
    </w:p>
    <w:p w14:paraId="1979F0DB">
      <w:pPr>
        <w:snapToGrid w:val="0"/>
        <w:spacing w:line="520" w:lineRule="exact"/>
        <w:ind w:firstLine="640" w:firstLineChars="200"/>
        <w:rPr>
          <w:rFonts w:eastAsia="仿宋_GB2312"/>
          <w:color w:val="000000" w:themeColor="text1"/>
          <w:szCs w:val="22"/>
        </w:rPr>
      </w:pPr>
      <w:r>
        <w:rPr>
          <w:rFonts w:eastAsia="仿宋_GB2312"/>
          <w:color w:val="000000" w:themeColor="text1"/>
          <w:sz w:val="32"/>
          <w:szCs w:val="36"/>
        </w:rPr>
        <w:t>预期不进入磁体腔的医疗器械的MR环境条件安全标签示例</w:t>
      </w:r>
      <w:r>
        <w:rPr>
          <w:rFonts w:hint="eastAsia" w:eastAsia="仿宋_GB2312"/>
          <w:color w:val="000000" w:themeColor="text1"/>
          <w:sz w:val="32"/>
          <w:szCs w:val="36"/>
        </w:rPr>
        <w:t>。</w:t>
      </w:r>
      <w:r>
        <w:rPr>
          <w:rFonts w:eastAsia="仿宋_GB2312"/>
          <w:color w:val="000000" w:themeColor="text1"/>
          <w:sz w:val="32"/>
          <w:szCs w:val="36"/>
        </w:rPr>
        <w:t>若适用，应直接标识于医疗器械上。</w:t>
      </w:r>
    </w:p>
    <w:p w14:paraId="04DFD2AA">
      <w:pPr>
        <w:snapToGrid w:val="0"/>
        <w:spacing w:line="520" w:lineRule="exact"/>
        <w:ind w:firstLine="420" w:firstLineChars="200"/>
        <w:rPr>
          <w:rFonts w:eastAsia="仿宋_GB2312"/>
          <w:color w:val="000000" w:themeColor="text1"/>
          <w:szCs w:val="22"/>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7"/>
        <w:gridCol w:w="4929"/>
      </w:tblGrid>
      <w:tr w14:paraId="63CB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88" w:type="dxa"/>
            <w:vAlign w:val="center"/>
          </w:tcPr>
          <w:p w14:paraId="30616111">
            <w:pPr>
              <w:autoSpaceDE w:val="0"/>
              <w:autoSpaceDN w:val="0"/>
              <w:adjustRightInd w:val="0"/>
              <w:snapToGrid w:val="0"/>
              <w:jc w:val="center"/>
              <w:rPr>
                <w:rFonts w:eastAsia="仿宋_GB2312"/>
                <w:color w:val="000000" w:themeColor="text1"/>
                <w:kern w:val="0"/>
                <w:sz w:val="20"/>
                <w:szCs w:val="20"/>
              </w:rPr>
            </w:pPr>
            <w:r>
              <w:rPr>
                <w:rFonts w:eastAsia="仿宋_GB2312"/>
                <w:color w:val="000000" w:themeColor="text1"/>
                <w:kern w:val="0"/>
                <w:sz w:val="20"/>
                <w:szCs w:val="20"/>
              </w:rPr>
              <w:drawing>
                <wp:inline distT="0" distB="0" distL="0" distR="0">
                  <wp:extent cx="1105535" cy="9569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05535" cy="956945"/>
                          </a:xfrm>
                          <a:prstGeom prst="rect">
                            <a:avLst/>
                          </a:prstGeom>
                          <a:noFill/>
                          <a:ln>
                            <a:noFill/>
                          </a:ln>
                        </pic:spPr>
                      </pic:pic>
                    </a:graphicData>
                  </a:graphic>
                </wp:inline>
              </w:drawing>
            </w:r>
          </w:p>
        </w:tc>
        <w:tc>
          <w:tcPr>
            <w:tcW w:w="4929" w:type="dxa"/>
            <w:shd w:val="clear" w:color="auto" w:fill="FFC000"/>
            <w:vAlign w:val="center"/>
          </w:tcPr>
          <w:p w14:paraId="433B209D">
            <w:pPr>
              <w:autoSpaceDE w:val="0"/>
              <w:autoSpaceDN w:val="0"/>
              <w:adjustRightInd w:val="0"/>
              <w:snapToGrid w:val="0"/>
              <w:jc w:val="center"/>
              <w:rPr>
                <w:rFonts w:eastAsia="仿宋_GB2312"/>
                <w:color w:val="000000" w:themeColor="text1"/>
                <w:kern w:val="0"/>
                <w:sz w:val="28"/>
                <w:szCs w:val="21"/>
              </w:rPr>
            </w:pPr>
            <w:r>
              <w:rPr>
                <w:rFonts w:eastAsia="仿宋_GB2312"/>
                <w:color w:val="000000" w:themeColor="text1"/>
                <w:kern w:val="0"/>
                <w:sz w:val="28"/>
                <w:szCs w:val="21"/>
              </w:rPr>
              <w:t>抛射危害</w:t>
            </w:r>
          </w:p>
          <w:p w14:paraId="0A45FE72">
            <w:pPr>
              <w:autoSpaceDE w:val="0"/>
              <w:autoSpaceDN w:val="0"/>
              <w:adjustRightInd w:val="0"/>
              <w:snapToGrid w:val="0"/>
              <w:jc w:val="center"/>
              <w:rPr>
                <w:rFonts w:eastAsia="仿宋_GB2312"/>
                <w:color w:val="000000" w:themeColor="text1"/>
                <w:kern w:val="0"/>
                <w:sz w:val="28"/>
                <w:szCs w:val="21"/>
              </w:rPr>
            </w:pPr>
            <w:r>
              <w:rPr>
                <w:rFonts w:eastAsia="仿宋_GB2312"/>
                <w:color w:val="000000" w:themeColor="text1"/>
                <w:kern w:val="0"/>
                <w:sz w:val="28"/>
                <w:szCs w:val="21"/>
              </w:rPr>
              <w:t>设备运行可能受到影响</w:t>
            </w:r>
          </w:p>
          <w:p w14:paraId="4D92FCAD">
            <w:pPr>
              <w:autoSpaceDE w:val="0"/>
              <w:autoSpaceDN w:val="0"/>
              <w:adjustRightInd w:val="0"/>
              <w:snapToGrid w:val="0"/>
              <w:jc w:val="center"/>
              <w:rPr>
                <w:rFonts w:eastAsia="仿宋_GB2312"/>
                <w:color w:val="000000" w:themeColor="text1"/>
                <w:kern w:val="0"/>
                <w:sz w:val="24"/>
                <w:szCs w:val="20"/>
              </w:rPr>
            </w:pPr>
            <w:r>
              <w:rPr>
                <w:rFonts w:eastAsia="仿宋_GB2312"/>
                <w:color w:val="000000" w:themeColor="text1"/>
                <w:kern w:val="0"/>
                <w:sz w:val="28"/>
                <w:szCs w:val="21"/>
              </w:rPr>
              <w:t>不得超过20mT（200gauss）</w:t>
            </w:r>
          </w:p>
        </w:tc>
      </w:tr>
    </w:tbl>
    <w:p w14:paraId="41066003">
      <w:pPr>
        <w:snapToGrid w:val="0"/>
        <w:spacing w:line="520" w:lineRule="exact"/>
        <w:ind w:firstLine="420" w:firstLineChars="200"/>
        <w:rPr>
          <w:rFonts w:eastAsia="仿宋_GB2312"/>
          <w:color w:val="000000" w:themeColor="text1"/>
          <w:szCs w:val="22"/>
        </w:rPr>
      </w:pPr>
    </w:p>
    <w:p w14:paraId="06F0F89F">
      <w:pPr>
        <w:widowControl/>
        <w:snapToGrid w:val="0"/>
        <w:spacing w:line="520" w:lineRule="exact"/>
        <w:jc w:val="left"/>
        <w:rPr>
          <w:rFonts w:eastAsia="仿宋_GB2312"/>
          <w:color w:val="000000" w:themeColor="text1"/>
          <w:sz w:val="32"/>
          <w:szCs w:val="32"/>
        </w:rPr>
      </w:pPr>
      <w:r>
        <w:rPr>
          <w:rFonts w:eastAsia="仿宋_GB2312"/>
          <w:color w:val="000000" w:themeColor="text1"/>
          <w:sz w:val="32"/>
          <w:szCs w:val="32"/>
        </w:rPr>
        <w:br w:type="page"/>
      </w:r>
    </w:p>
    <w:p w14:paraId="31E84AF0">
      <w:pPr>
        <w:pStyle w:val="28"/>
        <w:numPr>
          <w:ilvl w:val="0"/>
          <w:numId w:val="40"/>
        </w:numPr>
        <w:overflowPunct w:val="0"/>
        <w:autoSpaceDE w:val="0"/>
        <w:autoSpaceDN w:val="0"/>
        <w:snapToGrid w:val="0"/>
        <w:spacing w:line="520" w:lineRule="exact"/>
        <w:ind w:left="2125" w:hanging="2124" w:hangingChars="664"/>
        <w:jc w:val="left"/>
        <w:outlineLvl w:val="0"/>
        <w:rPr>
          <w:rFonts w:ascii="FZXiaoBiaoSong-B05" w:hAnsi="FZXiaoBiaoSong-B05" w:eastAsia="FZXiaoBiaoSong-B05"/>
          <w:color w:val="000000" w:themeColor="text1"/>
          <w:sz w:val="32"/>
          <w:szCs w:val="32"/>
        </w:rPr>
      </w:pPr>
      <w:r>
        <w:rPr>
          <w:rFonts w:eastAsia="仿宋_GB2312"/>
          <w:snapToGrid w:val="0"/>
          <w:color w:val="000000" w:themeColor="text1"/>
          <w:kern w:val="0"/>
          <w:sz w:val="32"/>
          <w:szCs w:val="32"/>
        </w:rPr>
        <w:br w:type="textWrapping"/>
      </w:r>
      <w:r>
        <w:rPr>
          <w:rFonts w:ascii="FZXiaoBiaoSong-B05" w:hAnsi="FZXiaoBiaoSong-B05" w:eastAsia="FZXiaoBiaoSong-B05"/>
          <w:snapToGrid w:val="0"/>
          <w:color w:val="000000" w:themeColor="text1"/>
          <w:kern w:val="0"/>
          <w:sz w:val="44"/>
          <w:szCs w:val="44"/>
        </w:rPr>
        <w:t>MR环境安全风险测试要求</w:t>
      </w:r>
    </w:p>
    <w:p w14:paraId="1162B7E7">
      <w:pPr>
        <w:overflowPunct w:val="0"/>
        <w:autoSpaceDE w:val="0"/>
        <w:autoSpaceDN w:val="0"/>
        <w:snapToGrid w:val="0"/>
        <w:spacing w:line="520" w:lineRule="exact"/>
        <w:ind w:left="641"/>
        <w:jc w:val="left"/>
        <w:rPr>
          <w:rFonts w:eastAsia="仿宋_GB2312"/>
          <w:color w:val="000000" w:themeColor="text1"/>
          <w:sz w:val="32"/>
          <w:szCs w:val="32"/>
        </w:rPr>
      </w:pPr>
    </w:p>
    <w:p w14:paraId="24E030C8">
      <w:pPr>
        <w:numPr>
          <w:ilvl w:val="0"/>
          <w:numId w:val="44"/>
        </w:numPr>
        <w:overflowPunct w:val="0"/>
        <w:autoSpaceDE w:val="0"/>
        <w:autoSpaceDN w:val="0"/>
        <w:snapToGrid w:val="0"/>
        <w:spacing w:line="520" w:lineRule="exact"/>
        <w:jc w:val="left"/>
        <w:outlineLvl w:val="2"/>
        <w:rPr>
          <w:rFonts w:eastAsia="楷体_GB2312"/>
          <w:color w:val="000000" w:themeColor="text1"/>
          <w:sz w:val="32"/>
          <w:szCs w:val="32"/>
        </w:rPr>
      </w:pPr>
      <w:r>
        <w:rPr>
          <w:rFonts w:eastAsia="楷体_GB2312"/>
          <w:color w:val="000000" w:themeColor="text1"/>
          <w:sz w:val="32"/>
          <w:szCs w:val="32"/>
        </w:rPr>
        <w:t>测试计划</w:t>
      </w:r>
    </w:p>
    <w:p w14:paraId="6CDC886E">
      <w:pPr>
        <w:pStyle w:val="14"/>
        <w:autoSpaceDE w:val="0"/>
        <w:autoSpaceDN w:val="0"/>
        <w:adjustRightInd w:val="0"/>
        <w:snapToGrid w:val="0"/>
        <w:spacing w:before="0" w:beforeAutospacing="0" w:after="0" w:afterAutospacing="0" w:line="520" w:lineRule="exact"/>
        <w:ind w:firstLine="640" w:firstLineChars="200"/>
        <w:jc w:val="both"/>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专项测试的测试计划应当包括</w:t>
      </w:r>
      <w:bookmarkStart w:id="14" w:name="_GoBack"/>
      <w:bookmarkEnd w:id="14"/>
      <w:r>
        <w:rPr>
          <w:rFonts w:ascii="Times New Roman" w:hAnsi="Times New Roman" w:eastAsia="仿宋_GB2312" w:cs="Times New Roman"/>
          <w:color w:val="000000" w:themeColor="text1"/>
          <w:sz w:val="32"/>
          <w:szCs w:val="32"/>
        </w:rPr>
        <w:t>：</w:t>
      </w:r>
    </w:p>
    <w:p w14:paraId="2FD11A5D">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试验目的</w:t>
      </w:r>
    </w:p>
    <w:p w14:paraId="15A87F01">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试验设备</w:t>
      </w:r>
    </w:p>
    <w:p w14:paraId="39635023">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验收标准</w:t>
      </w:r>
    </w:p>
    <w:p w14:paraId="6D3E829C">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试验条件说明</w:t>
      </w:r>
    </w:p>
    <w:p w14:paraId="75FD514D">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验收标准说明</w:t>
      </w:r>
    </w:p>
    <w:p w14:paraId="48C4AB42">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测试器械数量</w:t>
      </w:r>
    </w:p>
    <w:p w14:paraId="28A0CF4E">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测试器械描述</w:t>
      </w:r>
    </w:p>
    <w:p w14:paraId="524A2212">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关于测试样本与成品之间差异的描述</w:t>
      </w:r>
    </w:p>
    <w:p w14:paraId="06442996">
      <w:pPr>
        <w:overflowPunct w:val="0"/>
        <w:autoSpaceDE w:val="0"/>
        <w:autoSpaceDN w:val="0"/>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若存在任何差异,申请人均应详述差异不影响试验有效性的合理说明。</w:t>
      </w:r>
    </w:p>
    <w:p w14:paraId="12F16E56">
      <w:pPr>
        <w:numPr>
          <w:ilvl w:val="0"/>
          <w:numId w:val="45"/>
        </w:numPr>
        <w:overflowPunct w:val="0"/>
        <w:autoSpaceDE w:val="0"/>
        <w:autoSpaceDN w:val="0"/>
        <w:snapToGrid w:val="0"/>
        <w:spacing w:line="520" w:lineRule="exact"/>
        <w:ind w:left="0" w:firstLine="640" w:firstLineChars="200"/>
        <w:outlineLvl w:val="5"/>
        <w:rPr>
          <w:rFonts w:eastAsia="仿宋_GB2312"/>
          <w:color w:val="000000" w:themeColor="text1"/>
          <w:sz w:val="32"/>
          <w:szCs w:val="32"/>
        </w:rPr>
      </w:pPr>
      <w:r>
        <w:rPr>
          <w:rFonts w:eastAsia="仿宋_GB2312"/>
          <w:color w:val="000000" w:themeColor="text1"/>
          <w:sz w:val="32"/>
          <w:szCs w:val="32"/>
        </w:rPr>
        <w:t>试验结果</w:t>
      </w:r>
    </w:p>
    <w:p w14:paraId="4C53E54E">
      <w:pPr>
        <w:overflowPunct w:val="0"/>
        <w:autoSpaceDE w:val="0"/>
        <w:autoSpaceDN w:val="0"/>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应明确说明试验结果，提供试验总结。必要时应提供原始试验数据表格。</w:t>
      </w:r>
    </w:p>
    <w:p w14:paraId="5014582F">
      <w:pPr>
        <w:numPr>
          <w:ilvl w:val="0"/>
          <w:numId w:val="44"/>
        </w:numPr>
        <w:overflowPunct w:val="0"/>
        <w:autoSpaceDE w:val="0"/>
        <w:autoSpaceDN w:val="0"/>
        <w:snapToGrid w:val="0"/>
        <w:spacing w:line="520" w:lineRule="exact"/>
        <w:ind w:left="0" w:firstLine="640" w:firstLineChars="200"/>
        <w:jc w:val="left"/>
        <w:outlineLvl w:val="2"/>
        <w:rPr>
          <w:rFonts w:eastAsia="仿宋_GB2312"/>
          <w:snapToGrid w:val="0"/>
          <w:color w:val="000000" w:themeColor="text1"/>
          <w:kern w:val="0"/>
          <w:sz w:val="32"/>
          <w:szCs w:val="32"/>
        </w:rPr>
      </w:pPr>
      <w:r>
        <w:rPr>
          <w:rFonts w:eastAsia="仿宋_GB2312"/>
          <w:snapToGrid w:val="0"/>
          <w:color w:val="000000" w:themeColor="text1"/>
          <w:kern w:val="0"/>
          <w:sz w:val="32"/>
          <w:szCs w:val="32"/>
        </w:rPr>
        <w:t>测试报告</w:t>
      </w:r>
    </w:p>
    <w:p w14:paraId="570969F4">
      <w:pPr>
        <w:numPr>
          <w:ilvl w:val="0"/>
          <w:numId w:val="46"/>
        </w:numPr>
        <w:overflowPunct w:val="0"/>
        <w:autoSpaceDE w:val="0"/>
        <w:autoSpaceDN w:val="0"/>
        <w:snapToGrid w:val="0"/>
        <w:spacing w:line="520" w:lineRule="exact"/>
        <w:ind w:left="1061"/>
        <w:outlineLvl w:val="3"/>
        <w:rPr>
          <w:rFonts w:eastAsia="仿宋_GB2312"/>
          <w:snapToGrid w:val="0"/>
          <w:color w:val="000000" w:themeColor="text1"/>
          <w:kern w:val="0"/>
          <w:sz w:val="32"/>
          <w:szCs w:val="32"/>
        </w:rPr>
      </w:pPr>
      <w:r>
        <w:rPr>
          <w:rFonts w:eastAsia="仿宋_GB2312"/>
          <w:snapToGrid w:val="0"/>
          <w:color w:val="000000" w:themeColor="text1"/>
          <w:kern w:val="0"/>
          <w:sz w:val="32"/>
          <w:szCs w:val="32"/>
        </w:rPr>
        <w:t>受试器械信息</w:t>
      </w:r>
    </w:p>
    <w:p w14:paraId="61987FE4">
      <w:pPr>
        <w:snapToGrid w:val="0"/>
        <w:spacing w:line="520" w:lineRule="exact"/>
        <w:ind w:firstLine="640" w:firstLineChars="200"/>
        <w:rPr>
          <w:rFonts w:eastAsia="仿宋_GB2312"/>
          <w:snapToGrid w:val="0"/>
          <w:color w:val="000000" w:themeColor="text1"/>
          <w:kern w:val="0"/>
          <w:sz w:val="32"/>
          <w:szCs w:val="32"/>
        </w:rPr>
      </w:pPr>
      <w:r>
        <w:rPr>
          <w:rFonts w:eastAsia="仿宋_GB2312"/>
          <w:snapToGrid w:val="0"/>
          <w:color w:val="000000" w:themeColor="text1"/>
          <w:kern w:val="0"/>
          <w:sz w:val="32"/>
          <w:szCs w:val="32"/>
        </w:rPr>
        <w:t>应提供受试器械的基本信息，例如：</w:t>
      </w:r>
    </w:p>
    <w:p w14:paraId="70AD74F6">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测试用的器械型号和产品描述（包括所有系统部件，例如：器械、导线）。若存在部件可选配、或部件数量有多个等情况，应分别说明磁共振环境安全等级。</w:t>
      </w:r>
    </w:p>
    <w:p w14:paraId="3E1275E1">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器械的照片或图纸。</w:t>
      </w:r>
    </w:p>
    <w:p w14:paraId="7CD842FA">
      <w:pPr>
        <w:numPr>
          <w:ilvl w:val="0"/>
          <w:numId w:val="46"/>
        </w:numPr>
        <w:overflowPunct w:val="0"/>
        <w:autoSpaceDE w:val="0"/>
        <w:autoSpaceDN w:val="0"/>
        <w:snapToGrid w:val="0"/>
        <w:spacing w:line="520" w:lineRule="exact"/>
        <w:ind w:left="1061"/>
        <w:outlineLvl w:val="3"/>
        <w:rPr>
          <w:rFonts w:eastAsia="仿宋_GB2312"/>
          <w:snapToGrid w:val="0"/>
          <w:color w:val="000000" w:themeColor="text1"/>
          <w:sz w:val="32"/>
          <w:szCs w:val="32"/>
        </w:rPr>
      </w:pPr>
      <w:bookmarkStart w:id="13" w:name="_Toc521089669"/>
      <w:r>
        <w:rPr>
          <w:rFonts w:eastAsia="仿宋_GB2312"/>
          <w:snapToGrid w:val="0"/>
          <w:color w:val="000000" w:themeColor="text1"/>
          <w:sz w:val="32"/>
          <w:szCs w:val="32"/>
        </w:rPr>
        <w:t>测试方法和</w:t>
      </w:r>
      <w:r>
        <w:rPr>
          <w:rFonts w:eastAsia="仿宋_GB2312"/>
          <w:color w:val="000000" w:themeColor="text1"/>
          <w:sz w:val="32"/>
          <w:szCs w:val="32"/>
        </w:rPr>
        <w:t>结果</w:t>
      </w:r>
      <w:bookmarkEnd w:id="13"/>
    </w:p>
    <w:p w14:paraId="7A90AD7D">
      <w:pPr>
        <w:snapToGrid w:val="0"/>
        <w:spacing w:line="520" w:lineRule="exact"/>
        <w:ind w:firstLine="640" w:firstLineChars="200"/>
        <w:rPr>
          <w:rFonts w:eastAsia="仿宋_GB2312"/>
          <w:snapToGrid w:val="0"/>
          <w:color w:val="000000" w:themeColor="text1"/>
          <w:sz w:val="32"/>
          <w:szCs w:val="32"/>
        </w:rPr>
      </w:pPr>
      <w:r>
        <w:rPr>
          <w:rFonts w:eastAsia="仿宋_GB2312"/>
          <w:snapToGrid w:val="0"/>
          <w:color w:val="000000" w:themeColor="text1"/>
          <w:sz w:val="32"/>
          <w:szCs w:val="32"/>
        </w:rPr>
        <w:t>对于测试方法和结果，至少提供以下信息：</w:t>
      </w:r>
    </w:p>
    <w:p w14:paraId="61EDCB16">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完成各项测试的完整介绍，包括测试设施的名称和地点，以及测试日期；</w:t>
      </w:r>
    </w:p>
    <w:p w14:paraId="4AF96B4E">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各测试装置的</w:t>
      </w:r>
      <w:r>
        <w:rPr>
          <w:rFonts w:eastAsia="仿宋_GB2312"/>
          <w:color w:val="000000" w:themeColor="text1"/>
          <w:sz w:val="32"/>
          <w:szCs w:val="32"/>
        </w:rPr>
        <w:t>描述</w:t>
      </w:r>
      <w:r>
        <w:rPr>
          <w:rFonts w:eastAsia="仿宋_GB2312"/>
          <w:snapToGrid w:val="0"/>
          <w:color w:val="000000" w:themeColor="text1"/>
          <w:kern w:val="0"/>
          <w:sz w:val="32"/>
          <w:szCs w:val="32"/>
        </w:rPr>
        <w:t>、照片或图表，包括有源植入式医疗器械的所有测试和测量设备、模拟器、配置和放置，以及在线圈内或者MR设备相对于等中心的体模位置；</w:t>
      </w:r>
    </w:p>
    <w:p w14:paraId="21E921A6">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使用时，组织模拟材料的体模尺寸和成分以及电气属性；</w:t>
      </w:r>
    </w:p>
    <w:p w14:paraId="51FF0AAB">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有源植入式医疗器械设置和操作模式；</w:t>
      </w:r>
    </w:p>
    <w:p w14:paraId="1513A98E">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测试中使用各脉冲序列或波形的详细描述；</w:t>
      </w:r>
    </w:p>
    <w:p w14:paraId="56745D66">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kern w:val="0"/>
          <w:sz w:val="32"/>
          <w:szCs w:val="32"/>
        </w:rPr>
      </w:pPr>
      <w:r>
        <w:rPr>
          <w:rFonts w:eastAsia="仿宋_GB2312"/>
          <w:snapToGrid w:val="0"/>
          <w:color w:val="000000" w:themeColor="text1"/>
          <w:kern w:val="0"/>
          <w:sz w:val="32"/>
          <w:szCs w:val="32"/>
        </w:rPr>
        <w:t>如果测试系统是MR设备（复合场测试），应当说明MR设备的制造商、型号和软件版本；</w:t>
      </w:r>
    </w:p>
    <w:p w14:paraId="6CD96858">
      <w:pPr>
        <w:numPr>
          <w:ilvl w:val="0"/>
          <w:numId w:val="47"/>
        </w:numPr>
        <w:overflowPunct w:val="0"/>
        <w:autoSpaceDE w:val="0"/>
        <w:autoSpaceDN w:val="0"/>
        <w:snapToGrid w:val="0"/>
        <w:spacing w:line="520" w:lineRule="exact"/>
        <w:ind w:left="0" w:firstLine="640" w:firstLineChars="200"/>
        <w:outlineLvl w:val="4"/>
        <w:rPr>
          <w:rFonts w:eastAsia="仿宋_GB2312"/>
          <w:snapToGrid w:val="0"/>
          <w:color w:val="000000" w:themeColor="text1"/>
          <w:sz w:val="32"/>
          <w:szCs w:val="32"/>
        </w:rPr>
      </w:pPr>
      <w:r>
        <w:rPr>
          <w:rFonts w:eastAsia="仿宋_GB2312"/>
          <w:snapToGrid w:val="0"/>
          <w:color w:val="000000" w:themeColor="text1"/>
          <w:sz w:val="32"/>
          <w:szCs w:val="32"/>
        </w:rPr>
        <w:t>测试结果和测试方法偏差。</w:t>
      </w:r>
    </w:p>
    <w:p w14:paraId="1C3AC3CC">
      <w:pPr>
        <w:overflowPunct w:val="0"/>
        <w:autoSpaceDE w:val="0"/>
        <w:autoSpaceDN w:val="0"/>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br w:type="page"/>
      </w:r>
    </w:p>
    <w:p w14:paraId="190F79E6">
      <w:pPr>
        <w:pStyle w:val="28"/>
        <w:numPr>
          <w:ilvl w:val="0"/>
          <w:numId w:val="40"/>
        </w:numPr>
        <w:overflowPunct w:val="0"/>
        <w:autoSpaceDE w:val="0"/>
        <w:autoSpaceDN w:val="0"/>
        <w:snapToGrid w:val="0"/>
        <w:spacing w:line="520" w:lineRule="exact"/>
        <w:ind w:left="2691" w:hanging="2691" w:hangingChars="841"/>
        <w:jc w:val="left"/>
        <w:outlineLvl w:val="0"/>
        <w:rPr>
          <w:rFonts w:ascii="FZXiaoBiaoSong-B05" w:hAnsi="FZXiaoBiaoSong-B05" w:eastAsia="FZXiaoBiaoSong-B05"/>
          <w:snapToGrid w:val="0"/>
          <w:color w:val="000000" w:themeColor="text1"/>
          <w:kern w:val="0"/>
          <w:sz w:val="44"/>
          <w:szCs w:val="44"/>
        </w:rPr>
      </w:pPr>
      <w:r>
        <w:rPr>
          <w:rFonts w:eastAsia="仿宋_GB2312"/>
          <w:snapToGrid w:val="0"/>
          <w:color w:val="000000" w:themeColor="text1"/>
          <w:kern w:val="0"/>
          <w:sz w:val="32"/>
          <w:szCs w:val="32"/>
        </w:rPr>
        <w:br w:type="textWrapping"/>
      </w:r>
      <w:r>
        <w:rPr>
          <w:rFonts w:ascii="FZXiaoBiaoSong-B05" w:hAnsi="FZXiaoBiaoSong-B05" w:eastAsia="FZXiaoBiaoSong-B05"/>
          <w:snapToGrid w:val="0"/>
          <w:color w:val="000000" w:themeColor="text1"/>
          <w:kern w:val="0"/>
          <w:sz w:val="44"/>
          <w:szCs w:val="44"/>
        </w:rPr>
        <w:t>产品技术要求模板</w:t>
      </w:r>
    </w:p>
    <w:p w14:paraId="24546C2D">
      <w:pPr>
        <w:snapToGrid w:val="0"/>
        <w:spacing w:line="520" w:lineRule="exact"/>
        <w:rPr>
          <w:rFonts w:eastAsia="仿宋_GB2312"/>
          <w:snapToGrid w:val="0"/>
          <w:color w:val="000000" w:themeColor="text1"/>
          <w:kern w:val="0"/>
          <w:sz w:val="44"/>
          <w:szCs w:val="44"/>
        </w:rPr>
      </w:pPr>
    </w:p>
    <w:p w14:paraId="310B3D19">
      <w:pPr>
        <w:snapToGrid w:val="0"/>
        <w:spacing w:line="520" w:lineRule="exact"/>
        <w:ind w:firstLine="640" w:firstLineChars="200"/>
        <w:rPr>
          <w:rFonts w:eastAsia="仿宋_GB2312"/>
          <w:color w:val="000000" w:themeColor="text1"/>
          <w:sz w:val="32"/>
          <w:szCs w:val="32"/>
        </w:rPr>
      </w:pPr>
      <w:r>
        <w:rPr>
          <w:rFonts w:eastAsia="仿宋_GB2312"/>
          <w:color w:val="000000" w:themeColor="text1"/>
          <w:sz w:val="32"/>
          <w:szCs w:val="32"/>
        </w:rPr>
        <w:t>以有源植入式医疗器械为例，下</w:t>
      </w:r>
      <w:r>
        <w:rPr>
          <w:rFonts w:hint="eastAsia" w:eastAsia="仿宋_GB2312"/>
          <w:color w:val="000000" w:themeColor="text1"/>
          <w:sz w:val="32"/>
          <w:szCs w:val="32"/>
        </w:rPr>
        <w:t>文</w:t>
      </w:r>
      <w:r>
        <w:rPr>
          <w:rFonts w:eastAsia="仿宋_GB2312"/>
          <w:color w:val="000000" w:themeColor="text1"/>
          <w:sz w:val="32"/>
          <w:szCs w:val="32"/>
        </w:rPr>
        <w:t>给出产品技术要求中磁共振环境安全</w:t>
      </w:r>
      <w:r>
        <w:rPr>
          <w:rFonts w:hint="eastAsia" w:eastAsia="仿宋_GB2312"/>
          <w:color w:val="000000" w:themeColor="text1"/>
          <w:sz w:val="32"/>
          <w:szCs w:val="32"/>
        </w:rPr>
        <w:t>相关内容</w:t>
      </w:r>
      <w:r>
        <w:rPr>
          <w:rFonts w:eastAsia="仿宋_GB2312"/>
          <w:color w:val="000000" w:themeColor="text1"/>
          <w:sz w:val="32"/>
          <w:szCs w:val="32"/>
        </w:rPr>
        <w:t>的模板</w:t>
      </w:r>
      <w:r>
        <w:rPr>
          <w:rFonts w:hint="eastAsia" w:eastAsia="仿宋_GB2312"/>
          <w:color w:val="000000" w:themeColor="text1"/>
          <w:sz w:val="32"/>
          <w:szCs w:val="32"/>
        </w:rPr>
        <w:t>示例</w:t>
      </w:r>
      <w:r>
        <w:rPr>
          <w:rFonts w:eastAsia="仿宋_GB2312"/>
          <w:color w:val="000000" w:themeColor="text1"/>
          <w:sz w:val="32"/>
          <w:szCs w:val="32"/>
        </w:rPr>
        <w:t>，申请人可按申报产品实际情况，</w:t>
      </w:r>
      <w:r>
        <w:rPr>
          <w:rFonts w:hint="eastAsia" w:eastAsia="仿宋_GB2312"/>
          <w:color w:val="000000" w:themeColor="text1"/>
          <w:sz w:val="32"/>
          <w:szCs w:val="32"/>
        </w:rPr>
        <w:t>编制</w:t>
      </w:r>
      <w:r>
        <w:rPr>
          <w:rFonts w:eastAsia="仿宋_GB2312"/>
          <w:color w:val="000000" w:themeColor="text1"/>
          <w:sz w:val="32"/>
          <w:szCs w:val="32"/>
        </w:rPr>
        <w:t>产品技术要求</w:t>
      </w:r>
      <w:r>
        <w:rPr>
          <w:rFonts w:hint="eastAsia" w:eastAsia="仿宋_GB2312"/>
          <w:color w:val="000000" w:themeColor="text1"/>
          <w:sz w:val="32"/>
          <w:szCs w:val="32"/>
        </w:rPr>
        <w:t>相关内容</w:t>
      </w:r>
      <w:r>
        <w:rPr>
          <w:rFonts w:eastAsia="仿宋_GB2312"/>
          <w:color w:val="000000" w:themeColor="text1"/>
          <w:sz w:val="32"/>
          <w:szCs w:val="32"/>
        </w:rPr>
        <w:t>。</w:t>
      </w:r>
    </w:p>
    <w:p w14:paraId="2308CE7A">
      <w:pPr>
        <w:snapToGrid w:val="0"/>
        <w:spacing w:line="520" w:lineRule="exact"/>
        <w:rPr>
          <w:rFonts w:eastAsia="仿宋_GB2312"/>
          <w:color w:val="000000" w:themeColor="text1"/>
          <w:sz w:val="32"/>
          <w:szCs w:val="32"/>
        </w:rPr>
      </w:pPr>
    </w:p>
    <w:p w14:paraId="51871EA5">
      <w:pPr>
        <w:snapToGrid w:val="0"/>
        <w:spacing w:line="520" w:lineRule="exact"/>
        <w:rPr>
          <w:rFonts w:eastAsiaTheme="minorEastAsia"/>
          <w:color w:val="000000" w:themeColor="text1"/>
          <w:sz w:val="24"/>
        </w:rPr>
      </w:pPr>
      <w:r>
        <w:rPr>
          <w:rFonts w:eastAsiaTheme="minorEastAsia"/>
          <w:color w:val="000000" w:themeColor="text1"/>
          <w:sz w:val="24"/>
        </w:rPr>
        <w:t>医疗器械产品技术要求编号（宋体小四号，加粗）：</w:t>
      </w:r>
    </w:p>
    <w:p w14:paraId="3D8E09DA">
      <w:pPr>
        <w:snapToGrid w:val="0"/>
        <w:spacing w:line="520" w:lineRule="exact"/>
        <w:jc w:val="center"/>
        <w:rPr>
          <w:rFonts w:eastAsiaTheme="minorEastAsia"/>
          <w:color w:val="000000" w:themeColor="text1"/>
          <w:sz w:val="24"/>
        </w:rPr>
      </w:pPr>
    </w:p>
    <w:p w14:paraId="4932F768">
      <w:pPr>
        <w:snapToGrid w:val="0"/>
        <w:spacing w:line="520" w:lineRule="exact"/>
        <w:jc w:val="center"/>
        <w:rPr>
          <w:rFonts w:eastAsiaTheme="minorEastAsia"/>
          <w:color w:val="000000" w:themeColor="text1"/>
          <w:sz w:val="36"/>
          <w:szCs w:val="36"/>
        </w:rPr>
      </w:pPr>
      <w:r>
        <w:rPr>
          <w:rFonts w:eastAsiaTheme="minorEastAsia"/>
          <w:color w:val="000000" w:themeColor="text1"/>
          <w:sz w:val="36"/>
          <w:szCs w:val="36"/>
        </w:rPr>
        <w:t>植入式医疗器械（宋体小二号，加粗）</w:t>
      </w:r>
    </w:p>
    <w:p w14:paraId="7495DC09">
      <w:pPr>
        <w:snapToGrid w:val="0"/>
        <w:spacing w:line="520" w:lineRule="exact"/>
        <w:jc w:val="center"/>
        <w:rPr>
          <w:rFonts w:eastAsiaTheme="minorEastAsia"/>
          <w:color w:val="000000" w:themeColor="text1"/>
          <w:sz w:val="36"/>
          <w:szCs w:val="36"/>
        </w:rPr>
      </w:pPr>
    </w:p>
    <w:p w14:paraId="6D90C29B">
      <w:pPr>
        <w:snapToGrid w:val="0"/>
        <w:spacing w:line="520" w:lineRule="exact"/>
        <w:outlineLvl w:val="1"/>
        <w:rPr>
          <w:rFonts w:eastAsiaTheme="minorEastAsia"/>
          <w:color w:val="000000" w:themeColor="text1"/>
          <w:sz w:val="24"/>
        </w:rPr>
      </w:pPr>
      <w:r>
        <w:rPr>
          <w:rFonts w:eastAsiaTheme="minorEastAsia"/>
          <w:color w:val="000000" w:themeColor="text1"/>
          <w:sz w:val="24"/>
        </w:rPr>
        <w:t>1. 产品型号/规格及其划分说明（宋体小四号，加粗）（若适用）</w:t>
      </w:r>
    </w:p>
    <w:p w14:paraId="3B0765F4">
      <w:pPr>
        <w:overflowPunct w:val="0"/>
        <w:autoSpaceDE w:val="0"/>
        <w:autoSpaceDN w:val="0"/>
        <w:snapToGrid w:val="0"/>
        <w:spacing w:line="520" w:lineRule="exact"/>
        <w:outlineLvl w:val="2"/>
        <w:rPr>
          <w:rFonts w:eastAsiaTheme="minorEastAsia"/>
          <w:color w:val="000000" w:themeColor="text1"/>
          <w:sz w:val="24"/>
        </w:rPr>
      </w:pPr>
      <w:r>
        <w:rPr>
          <w:rFonts w:eastAsiaTheme="minorEastAsia"/>
          <w:color w:val="000000" w:themeColor="text1"/>
          <w:sz w:val="24"/>
        </w:rPr>
        <w:t>1.1 产品型号：（宋体小四号）</w:t>
      </w:r>
    </w:p>
    <w:p w14:paraId="5BC03752">
      <w:pPr>
        <w:overflowPunct w:val="0"/>
        <w:autoSpaceDE w:val="0"/>
        <w:autoSpaceDN w:val="0"/>
        <w:snapToGrid w:val="0"/>
        <w:spacing w:line="520" w:lineRule="exact"/>
        <w:outlineLvl w:val="2"/>
        <w:rPr>
          <w:rFonts w:eastAsiaTheme="minorEastAsia"/>
          <w:color w:val="000000" w:themeColor="text1"/>
          <w:sz w:val="24"/>
        </w:rPr>
      </w:pPr>
      <w:r>
        <w:rPr>
          <w:rFonts w:eastAsiaTheme="minorEastAsia"/>
          <w:color w:val="000000" w:themeColor="text1"/>
          <w:sz w:val="24"/>
        </w:rPr>
        <w:t>1.2 产品配置及部件参数（见附录B，包括选件和附件列表）</w:t>
      </w:r>
    </w:p>
    <w:p w14:paraId="1754DDF0">
      <w:pPr>
        <w:overflowPunct w:val="0"/>
        <w:autoSpaceDE w:val="0"/>
        <w:autoSpaceDN w:val="0"/>
        <w:snapToGrid w:val="0"/>
        <w:spacing w:line="520" w:lineRule="exact"/>
        <w:outlineLvl w:val="2"/>
        <w:rPr>
          <w:rFonts w:eastAsiaTheme="minorEastAsia"/>
          <w:color w:val="000000" w:themeColor="text1"/>
          <w:sz w:val="24"/>
        </w:rPr>
      </w:pPr>
      <w:r>
        <w:rPr>
          <w:rFonts w:eastAsiaTheme="minorEastAsia"/>
          <w:color w:val="000000" w:themeColor="text1"/>
          <w:sz w:val="24"/>
        </w:rPr>
        <w:t>1.3 软件信息</w:t>
      </w:r>
    </w:p>
    <w:p w14:paraId="6DA11EFC">
      <w:pPr>
        <w:overflowPunct w:val="0"/>
        <w:autoSpaceDE w:val="0"/>
        <w:autoSpaceDN w:val="0"/>
        <w:snapToGrid w:val="0"/>
        <w:spacing w:line="520" w:lineRule="exact"/>
        <w:outlineLvl w:val="3"/>
        <w:rPr>
          <w:rFonts w:eastAsiaTheme="minorEastAsia"/>
          <w:color w:val="000000" w:themeColor="text1"/>
          <w:sz w:val="24"/>
        </w:rPr>
      </w:pPr>
      <w:r>
        <w:rPr>
          <w:rFonts w:eastAsiaTheme="minorEastAsia"/>
          <w:color w:val="000000" w:themeColor="text1"/>
          <w:sz w:val="24"/>
        </w:rPr>
        <w:t>1.3.1 软件名称</w:t>
      </w:r>
    </w:p>
    <w:p w14:paraId="22901BE4">
      <w:pPr>
        <w:overflowPunct w:val="0"/>
        <w:autoSpaceDE w:val="0"/>
        <w:autoSpaceDN w:val="0"/>
        <w:snapToGrid w:val="0"/>
        <w:spacing w:line="520" w:lineRule="exact"/>
        <w:outlineLvl w:val="3"/>
        <w:rPr>
          <w:rFonts w:eastAsiaTheme="minorEastAsia"/>
          <w:color w:val="000000" w:themeColor="text1"/>
          <w:sz w:val="24"/>
        </w:rPr>
      </w:pPr>
      <w:r>
        <w:rPr>
          <w:rFonts w:eastAsiaTheme="minorEastAsia"/>
          <w:color w:val="000000" w:themeColor="text1"/>
          <w:sz w:val="24"/>
        </w:rPr>
        <w:t>1.3.2 软件规格型号</w:t>
      </w:r>
    </w:p>
    <w:p w14:paraId="2613A967">
      <w:pPr>
        <w:overflowPunct w:val="0"/>
        <w:autoSpaceDE w:val="0"/>
        <w:autoSpaceDN w:val="0"/>
        <w:snapToGrid w:val="0"/>
        <w:spacing w:line="520" w:lineRule="exact"/>
        <w:outlineLvl w:val="3"/>
        <w:rPr>
          <w:rFonts w:eastAsiaTheme="minorEastAsia"/>
          <w:color w:val="000000" w:themeColor="text1"/>
          <w:sz w:val="24"/>
        </w:rPr>
      </w:pPr>
      <w:r>
        <w:rPr>
          <w:rFonts w:eastAsiaTheme="minorEastAsia"/>
          <w:color w:val="000000" w:themeColor="text1"/>
          <w:sz w:val="24"/>
        </w:rPr>
        <w:t>1.3.3 软件发布版本：</w:t>
      </w:r>
    </w:p>
    <w:p w14:paraId="35DBB4DD">
      <w:pPr>
        <w:overflowPunct w:val="0"/>
        <w:autoSpaceDE w:val="0"/>
        <w:autoSpaceDN w:val="0"/>
        <w:snapToGrid w:val="0"/>
        <w:spacing w:line="520" w:lineRule="exact"/>
        <w:outlineLvl w:val="3"/>
        <w:rPr>
          <w:rFonts w:eastAsiaTheme="minorEastAsia"/>
          <w:color w:val="000000" w:themeColor="text1"/>
          <w:sz w:val="24"/>
        </w:rPr>
      </w:pPr>
      <w:r>
        <w:rPr>
          <w:rFonts w:eastAsiaTheme="minorEastAsia"/>
          <w:color w:val="000000" w:themeColor="text1"/>
          <w:sz w:val="24"/>
        </w:rPr>
        <w:t>1.3.4 软件完整版本命名规则：X.Y.Z.D</w:t>
      </w:r>
    </w:p>
    <w:p w14:paraId="1169A726">
      <w:pPr>
        <w:overflowPunct w:val="0"/>
        <w:autoSpaceDE w:val="0"/>
        <w:autoSpaceDN w:val="0"/>
        <w:snapToGrid w:val="0"/>
        <w:spacing w:line="520" w:lineRule="exact"/>
        <w:rPr>
          <w:rFonts w:eastAsiaTheme="minorEastAsia"/>
          <w:color w:val="000000" w:themeColor="text1"/>
          <w:sz w:val="24"/>
        </w:rPr>
      </w:pPr>
      <w:r>
        <w:rPr>
          <w:rFonts w:eastAsiaTheme="minorEastAsia"/>
          <w:color w:val="000000" w:themeColor="text1"/>
          <w:sz w:val="24"/>
        </w:rPr>
        <w:t>X：字段含义。例如：实例1；实例2；实例3 …… 。</w:t>
      </w:r>
    </w:p>
    <w:p w14:paraId="2D1489B0">
      <w:pPr>
        <w:overflowPunct w:val="0"/>
        <w:autoSpaceDE w:val="0"/>
        <w:autoSpaceDN w:val="0"/>
        <w:snapToGrid w:val="0"/>
        <w:spacing w:line="520" w:lineRule="exact"/>
        <w:rPr>
          <w:rFonts w:eastAsiaTheme="minorEastAsia"/>
          <w:color w:val="000000" w:themeColor="text1"/>
        </w:rPr>
      </w:pPr>
      <w:r>
        <w:rPr>
          <w:rFonts w:eastAsiaTheme="minorEastAsia"/>
          <w:color w:val="000000" w:themeColor="text1"/>
          <w:sz w:val="24"/>
        </w:rPr>
        <w:t>其他字段同上要求。申请人应明确软件完整版本的全部字段及字段含义。</w:t>
      </w:r>
    </w:p>
    <w:p w14:paraId="4F060F7F">
      <w:pPr>
        <w:snapToGrid w:val="0"/>
        <w:spacing w:line="520" w:lineRule="exact"/>
        <w:rPr>
          <w:rFonts w:eastAsiaTheme="minorEastAsia"/>
          <w:color w:val="000000" w:themeColor="text1"/>
          <w:sz w:val="24"/>
        </w:rPr>
      </w:pPr>
      <w:r>
        <w:rPr>
          <w:rFonts w:eastAsiaTheme="minorEastAsia"/>
          <w:color w:val="000000" w:themeColor="text1"/>
          <w:sz w:val="24"/>
        </w:rPr>
        <w:t>……</w:t>
      </w:r>
    </w:p>
    <w:p w14:paraId="070167CF">
      <w:pPr>
        <w:snapToGrid w:val="0"/>
        <w:spacing w:line="520" w:lineRule="exact"/>
        <w:rPr>
          <w:rFonts w:eastAsiaTheme="minorEastAsia"/>
          <w:color w:val="000000" w:themeColor="text1"/>
          <w:sz w:val="24"/>
        </w:rPr>
      </w:pPr>
      <w:r>
        <w:rPr>
          <w:rFonts w:eastAsiaTheme="minorEastAsia"/>
          <w:color w:val="000000" w:themeColor="text1"/>
          <w:sz w:val="24"/>
        </w:rPr>
        <w:t>1.x 磁共振环境安全</w:t>
      </w:r>
    </w:p>
    <w:p w14:paraId="54600F5B">
      <w:pPr>
        <w:snapToGrid w:val="0"/>
        <w:spacing w:line="520" w:lineRule="exact"/>
        <w:rPr>
          <w:rFonts w:eastAsiaTheme="minorEastAsia"/>
          <w:color w:val="000000" w:themeColor="text1"/>
          <w:sz w:val="24"/>
        </w:rPr>
      </w:pPr>
      <w:r>
        <w:rPr>
          <w:rFonts w:eastAsiaTheme="minorEastAsia"/>
          <w:color w:val="000000" w:themeColor="text1"/>
          <w:sz w:val="24"/>
        </w:rPr>
        <w:t>1.x.1 磁共振环境要求</w:t>
      </w:r>
    </w:p>
    <w:p w14:paraId="7338E358">
      <w:pPr>
        <w:snapToGrid w:val="0"/>
        <w:spacing w:line="520" w:lineRule="exact"/>
        <w:rPr>
          <w:rFonts w:eastAsiaTheme="minorEastAsia"/>
          <w:color w:val="000000" w:themeColor="text1"/>
          <w:sz w:val="24"/>
        </w:rPr>
      </w:pPr>
    </w:p>
    <w:p w14:paraId="158E6E37">
      <w:pPr>
        <w:snapToGrid w:val="0"/>
        <w:spacing w:line="520" w:lineRule="exact"/>
        <w:jc w:val="left"/>
        <w:rPr>
          <w:rFonts w:eastAsiaTheme="minorEastAsia"/>
          <w:color w:val="000000" w:themeColor="text1"/>
        </w:rPr>
      </w:pPr>
    </w:p>
    <w:p w14:paraId="103EFF8B">
      <w:pPr>
        <w:snapToGrid w:val="0"/>
        <w:spacing w:line="520" w:lineRule="exact"/>
        <w:jc w:val="left"/>
        <w:rPr>
          <w:rFonts w:eastAsiaTheme="minorEastAsia"/>
          <w:color w:val="000000" w:themeColor="text1"/>
        </w:rPr>
      </w:pPr>
    </w:p>
    <w:p w14:paraId="4B40DDE8">
      <w:pPr>
        <w:snapToGrid w:val="0"/>
        <w:spacing w:line="520" w:lineRule="exact"/>
        <w:outlineLvl w:val="1"/>
        <w:rPr>
          <w:rFonts w:eastAsiaTheme="minorEastAsia"/>
          <w:color w:val="000000" w:themeColor="text1"/>
          <w:sz w:val="24"/>
        </w:rPr>
      </w:pPr>
      <w:r>
        <w:rPr>
          <w:rFonts w:eastAsiaTheme="minorEastAsia"/>
          <w:color w:val="000000" w:themeColor="text1"/>
          <w:sz w:val="24"/>
        </w:rPr>
        <w:t>2. 性能指标（宋体小四号，加粗）</w:t>
      </w:r>
    </w:p>
    <w:p w14:paraId="446854C1">
      <w:pPr>
        <w:snapToGrid w:val="0"/>
        <w:spacing w:line="520" w:lineRule="exact"/>
        <w:outlineLvl w:val="2"/>
        <w:rPr>
          <w:rFonts w:eastAsiaTheme="minorEastAsia"/>
          <w:color w:val="000000" w:themeColor="text1"/>
          <w:sz w:val="24"/>
        </w:rPr>
      </w:pPr>
      <w:r>
        <w:rPr>
          <w:rFonts w:eastAsiaTheme="minorEastAsia"/>
          <w:color w:val="000000" w:themeColor="text1"/>
          <w:sz w:val="24"/>
        </w:rPr>
        <w:t>2.x 磁共振环境安全</w:t>
      </w:r>
    </w:p>
    <w:p w14:paraId="4D6BAED8">
      <w:pPr>
        <w:snapToGrid w:val="0"/>
        <w:spacing w:line="520" w:lineRule="exact"/>
        <w:rPr>
          <w:rFonts w:eastAsiaTheme="minorEastAsia"/>
          <w:color w:val="000000" w:themeColor="text1"/>
          <w:sz w:val="24"/>
        </w:rPr>
      </w:pPr>
      <w:r>
        <w:rPr>
          <w:rFonts w:eastAsiaTheme="minorEastAsia"/>
          <w:color w:val="000000" w:themeColor="text1"/>
          <w:sz w:val="24"/>
        </w:rPr>
        <w:t>2.x.1 磁共振运行模式</w:t>
      </w:r>
    </w:p>
    <w:p w14:paraId="19A14BEB">
      <w:pPr>
        <w:snapToGrid w:val="0"/>
        <w:spacing w:line="520" w:lineRule="exact"/>
        <w:rPr>
          <w:rFonts w:eastAsiaTheme="minorEastAsia"/>
          <w:color w:val="000000" w:themeColor="text1"/>
          <w:sz w:val="24"/>
        </w:rPr>
      </w:pPr>
      <w:r>
        <w:rPr>
          <w:rFonts w:eastAsiaTheme="minorEastAsia"/>
          <w:color w:val="000000" w:themeColor="text1"/>
          <w:sz w:val="24"/>
        </w:rPr>
        <w:t>列表说明MR环境下器械的特殊工作模式。</w:t>
      </w:r>
    </w:p>
    <w:p w14:paraId="2DB1DD82">
      <w:pPr>
        <w:snapToGrid w:val="0"/>
        <w:spacing w:line="520" w:lineRule="exact"/>
        <w:rPr>
          <w:rFonts w:eastAsiaTheme="minorEastAsia"/>
          <w:color w:val="000000" w:themeColor="text1"/>
          <w:sz w:val="24"/>
        </w:rPr>
      </w:pPr>
      <w:r>
        <w:rPr>
          <w:rFonts w:eastAsiaTheme="minorEastAsia"/>
          <w:color w:val="000000" w:themeColor="text1"/>
          <w:sz w:val="24"/>
        </w:rPr>
        <w:t>2.y 磁共振环境安全报警、监护要求</w:t>
      </w:r>
    </w:p>
    <w:p w14:paraId="62A7C375">
      <w:pPr>
        <w:snapToGrid w:val="0"/>
        <w:spacing w:line="520" w:lineRule="exact"/>
        <w:rPr>
          <w:rFonts w:eastAsiaTheme="minorEastAsia"/>
          <w:color w:val="000000" w:themeColor="text1"/>
          <w:sz w:val="24"/>
        </w:rPr>
      </w:pPr>
      <w:r>
        <w:rPr>
          <w:rFonts w:eastAsiaTheme="minorEastAsia"/>
          <w:color w:val="000000" w:themeColor="text1"/>
          <w:sz w:val="24"/>
        </w:rPr>
        <w:t>2.y.1 运行中产品异常突然中断时，应报警（若适用）。</w:t>
      </w:r>
    </w:p>
    <w:p w14:paraId="46303514">
      <w:pPr>
        <w:snapToGrid w:val="0"/>
        <w:spacing w:line="520" w:lineRule="exact"/>
        <w:rPr>
          <w:rFonts w:eastAsiaTheme="minorEastAsia"/>
          <w:color w:val="000000" w:themeColor="text1"/>
          <w:sz w:val="24"/>
        </w:rPr>
      </w:pPr>
      <w:r>
        <w:rPr>
          <w:rFonts w:eastAsiaTheme="minorEastAsia"/>
          <w:color w:val="000000" w:themeColor="text1"/>
          <w:sz w:val="24"/>
        </w:rPr>
        <w:t xml:space="preserve">2.y.2 </w:t>
      </w:r>
    </w:p>
    <w:p w14:paraId="2A8D5DEA">
      <w:pPr>
        <w:snapToGrid w:val="0"/>
        <w:spacing w:line="520" w:lineRule="exact"/>
        <w:rPr>
          <w:rFonts w:eastAsiaTheme="minorEastAsia"/>
          <w:color w:val="000000" w:themeColor="text1"/>
          <w:sz w:val="24"/>
        </w:rPr>
      </w:pPr>
      <w:r>
        <w:rPr>
          <w:rFonts w:eastAsiaTheme="minorEastAsia"/>
          <w:color w:val="000000" w:themeColor="text1"/>
          <w:sz w:val="24"/>
        </w:rPr>
        <w:t>……</w:t>
      </w:r>
    </w:p>
    <w:p w14:paraId="439BF8E2">
      <w:pPr>
        <w:snapToGrid w:val="0"/>
        <w:spacing w:line="520" w:lineRule="exact"/>
        <w:rPr>
          <w:rFonts w:eastAsiaTheme="minorEastAsia"/>
          <w:color w:val="000000" w:themeColor="text1"/>
          <w:sz w:val="24"/>
        </w:rPr>
      </w:pPr>
    </w:p>
    <w:p w14:paraId="7DB468DF">
      <w:pPr>
        <w:snapToGrid w:val="0"/>
        <w:spacing w:line="520" w:lineRule="exact"/>
        <w:outlineLvl w:val="1"/>
        <w:rPr>
          <w:rFonts w:eastAsiaTheme="minorEastAsia"/>
          <w:color w:val="000000" w:themeColor="text1"/>
          <w:sz w:val="24"/>
        </w:rPr>
      </w:pPr>
      <w:r>
        <w:rPr>
          <w:rFonts w:eastAsiaTheme="minorEastAsia"/>
          <w:color w:val="000000" w:themeColor="text1"/>
          <w:sz w:val="24"/>
        </w:rPr>
        <w:t>3. 检验方法（宋体小四号，加粗）</w:t>
      </w:r>
    </w:p>
    <w:p w14:paraId="57AC3B28">
      <w:pPr>
        <w:snapToGrid w:val="0"/>
        <w:spacing w:line="520" w:lineRule="exact"/>
        <w:rPr>
          <w:rFonts w:eastAsiaTheme="minorEastAsia"/>
          <w:color w:val="000000" w:themeColor="text1"/>
          <w:sz w:val="24"/>
        </w:rPr>
      </w:pPr>
      <w:r>
        <w:rPr>
          <w:rFonts w:eastAsiaTheme="minorEastAsia"/>
          <w:color w:val="000000" w:themeColor="text1"/>
          <w:sz w:val="24"/>
        </w:rPr>
        <w:t>3.x 磁共振环境安全……（宋体小四号）</w:t>
      </w:r>
    </w:p>
    <w:p w14:paraId="4937A476">
      <w:pPr>
        <w:snapToGrid w:val="0"/>
        <w:spacing w:line="520" w:lineRule="exact"/>
        <w:rPr>
          <w:rFonts w:eastAsiaTheme="minorEastAsia"/>
          <w:color w:val="000000" w:themeColor="text1"/>
          <w:sz w:val="24"/>
        </w:rPr>
      </w:pPr>
      <w:r>
        <w:rPr>
          <w:rFonts w:eastAsiaTheme="minorEastAsia"/>
          <w:color w:val="000000" w:themeColor="text1"/>
          <w:sz w:val="24"/>
        </w:rPr>
        <w:t>3.x.1 ……</w:t>
      </w:r>
    </w:p>
    <w:p w14:paraId="47CA662C">
      <w:pPr>
        <w:snapToGrid w:val="0"/>
        <w:spacing w:line="520" w:lineRule="exact"/>
        <w:rPr>
          <w:rFonts w:eastAsiaTheme="minorEastAsia"/>
          <w:color w:val="000000" w:themeColor="text1"/>
          <w:sz w:val="24"/>
        </w:rPr>
      </w:pPr>
      <w:r>
        <w:rPr>
          <w:rFonts w:eastAsiaTheme="minorEastAsia"/>
          <w:color w:val="000000" w:themeColor="text1"/>
          <w:sz w:val="24"/>
        </w:rPr>
        <w:t>……</w:t>
      </w:r>
    </w:p>
    <w:p w14:paraId="6C7CE89E">
      <w:pPr>
        <w:snapToGrid w:val="0"/>
        <w:spacing w:line="520" w:lineRule="exact"/>
        <w:rPr>
          <w:rFonts w:eastAsiaTheme="minorEastAsia"/>
          <w:color w:val="000000" w:themeColor="text1"/>
          <w:sz w:val="24"/>
        </w:rPr>
      </w:pPr>
      <w:r>
        <w:rPr>
          <w:rFonts w:eastAsiaTheme="minorEastAsia"/>
          <w:color w:val="000000" w:themeColor="text1"/>
          <w:sz w:val="24"/>
        </w:rPr>
        <w:t>按性能指标的具体条款，制定</w:t>
      </w:r>
      <w:r>
        <w:rPr>
          <w:rFonts w:hint="eastAsia" w:eastAsiaTheme="minorEastAsia"/>
          <w:color w:val="000000" w:themeColor="text1"/>
          <w:sz w:val="24"/>
        </w:rPr>
        <w:t>特殊工模式等适用的</w:t>
      </w:r>
      <w:r>
        <w:rPr>
          <w:rFonts w:eastAsiaTheme="minorEastAsia"/>
          <w:color w:val="000000" w:themeColor="text1"/>
          <w:sz w:val="24"/>
        </w:rPr>
        <w:t>检验方法。</w:t>
      </w:r>
    </w:p>
    <w:p w14:paraId="475713F7">
      <w:pPr>
        <w:snapToGrid w:val="0"/>
        <w:spacing w:line="520" w:lineRule="exact"/>
        <w:rPr>
          <w:rFonts w:eastAsiaTheme="minorEastAsia"/>
          <w:color w:val="000000" w:themeColor="text1"/>
          <w:sz w:val="24"/>
        </w:rPr>
      </w:pPr>
    </w:p>
    <w:p w14:paraId="4E4C2BD1">
      <w:pPr>
        <w:snapToGrid w:val="0"/>
        <w:spacing w:line="520" w:lineRule="exact"/>
        <w:outlineLvl w:val="1"/>
        <w:rPr>
          <w:rFonts w:eastAsiaTheme="minorEastAsia"/>
          <w:color w:val="000000" w:themeColor="text1"/>
          <w:sz w:val="24"/>
        </w:rPr>
      </w:pPr>
      <w:r>
        <w:rPr>
          <w:rFonts w:eastAsiaTheme="minorEastAsia"/>
          <w:color w:val="000000" w:themeColor="text1"/>
          <w:sz w:val="24"/>
        </w:rPr>
        <w:t>4. 术语（宋体小四号，加粗）（若适用）</w:t>
      </w:r>
    </w:p>
    <w:p w14:paraId="47BC62D3">
      <w:pPr>
        <w:snapToGrid w:val="0"/>
        <w:spacing w:line="520" w:lineRule="exact"/>
        <w:rPr>
          <w:rFonts w:eastAsiaTheme="minorEastAsia"/>
          <w:color w:val="000000" w:themeColor="text1"/>
          <w:sz w:val="24"/>
        </w:rPr>
      </w:pPr>
      <w:r>
        <w:rPr>
          <w:rFonts w:eastAsiaTheme="minorEastAsia"/>
          <w:color w:val="000000" w:themeColor="text1"/>
          <w:sz w:val="24"/>
        </w:rPr>
        <w:t>……</w:t>
      </w:r>
    </w:p>
    <w:p w14:paraId="08B43C32">
      <w:pPr>
        <w:snapToGrid w:val="0"/>
        <w:spacing w:line="520" w:lineRule="exact"/>
        <w:rPr>
          <w:rFonts w:eastAsiaTheme="minorEastAsia"/>
          <w:color w:val="000000" w:themeColor="text1"/>
          <w:sz w:val="24"/>
        </w:rPr>
      </w:pPr>
      <w:r>
        <w:rPr>
          <w:rFonts w:eastAsiaTheme="minorEastAsia"/>
          <w:color w:val="000000" w:themeColor="text1"/>
          <w:sz w:val="24"/>
        </w:rPr>
        <w:t>（若无特殊需要说明的术语，该节可删除）</w:t>
      </w:r>
    </w:p>
    <w:p w14:paraId="2B21A7D0">
      <w:pPr>
        <w:snapToGrid w:val="0"/>
        <w:spacing w:line="520" w:lineRule="exact"/>
        <w:rPr>
          <w:rFonts w:eastAsiaTheme="minorEastAsia"/>
          <w:color w:val="000000" w:themeColor="text1"/>
        </w:rPr>
      </w:pPr>
    </w:p>
    <w:p w14:paraId="4B390F08">
      <w:pPr>
        <w:snapToGrid w:val="0"/>
        <w:spacing w:line="520" w:lineRule="exact"/>
        <w:jc w:val="center"/>
        <w:rPr>
          <w:rFonts w:eastAsiaTheme="minorEastAsia"/>
          <w:color w:val="000000" w:themeColor="text1"/>
          <w:sz w:val="24"/>
        </w:rPr>
      </w:pPr>
      <w:r>
        <w:rPr>
          <w:rFonts w:eastAsiaTheme="minorEastAsia"/>
          <w:color w:val="000000" w:themeColor="text1"/>
          <w:sz w:val="24"/>
        </w:rPr>
        <w:t>（分页）</w:t>
      </w:r>
    </w:p>
    <w:p w14:paraId="7E3F830E">
      <w:pPr>
        <w:overflowPunct w:val="0"/>
        <w:autoSpaceDE w:val="0"/>
        <w:autoSpaceDN w:val="0"/>
        <w:snapToGrid w:val="0"/>
        <w:spacing w:line="520" w:lineRule="exact"/>
        <w:outlineLvl w:val="1"/>
        <w:rPr>
          <w:rFonts w:eastAsiaTheme="minorEastAsia"/>
          <w:color w:val="000000" w:themeColor="text1"/>
          <w:sz w:val="24"/>
        </w:rPr>
      </w:pPr>
      <w:r>
        <w:rPr>
          <w:rFonts w:eastAsiaTheme="minorEastAsia"/>
          <w:color w:val="000000" w:themeColor="text1"/>
          <w:sz w:val="24"/>
        </w:rPr>
        <w:t>附录</w:t>
      </w:r>
    </w:p>
    <w:p w14:paraId="1DD78C9E">
      <w:pPr>
        <w:overflowPunct w:val="0"/>
        <w:autoSpaceDE w:val="0"/>
        <w:autoSpaceDN w:val="0"/>
        <w:snapToGrid w:val="0"/>
        <w:spacing w:line="520" w:lineRule="exact"/>
        <w:rPr>
          <w:rFonts w:eastAsiaTheme="minorEastAsia"/>
          <w:color w:val="000000" w:themeColor="text1"/>
          <w:sz w:val="24"/>
        </w:rPr>
      </w:pPr>
      <w:r>
        <w:rPr>
          <w:rFonts w:eastAsiaTheme="minorEastAsia"/>
          <w:color w:val="000000" w:themeColor="text1"/>
          <w:sz w:val="24"/>
        </w:rPr>
        <w:t>附录 A. 产品安全特征</w:t>
      </w:r>
    </w:p>
    <w:p w14:paraId="6B66B5B8">
      <w:pPr>
        <w:overflowPunct w:val="0"/>
        <w:autoSpaceDE w:val="0"/>
        <w:autoSpaceDN w:val="0"/>
        <w:snapToGrid w:val="0"/>
        <w:spacing w:line="520" w:lineRule="exact"/>
        <w:rPr>
          <w:rFonts w:eastAsiaTheme="minorEastAsia"/>
          <w:color w:val="000000" w:themeColor="text1"/>
          <w:sz w:val="24"/>
        </w:rPr>
      </w:pPr>
      <w:r>
        <w:rPr>
          <w:rFonts w:eastAsiaTheme="minorEastAsia"/>
          <w:color w:val="000000" w:themeColor="text1"/>
          <w:sz w:val="24"/>
        </w:rPr>
        <w:t>附录 B. 产品配置表</w:t>
      </w:r>
    </w:p>
    <w:p w14:paraId="09D775FD">
      <w:pPr>
        <w:overflowPunct w:val="0"/>
        <w:autoSpaceDE w:val="0"/>
        <w:autoSpaceDN w:val="0"/>
        <w:snapToGrid w:val="0"/>
        <w:spacing w:line="520" w:lineRule="exact"/>
        <w:rPr>
          <w:rFonts w:eastAsiaTheme="minorEastAsia"/>
          <w:color w:val="000000" w:themeColor="text1"/>
          <w:sz w:val="24"/>
        </w:rPr>
      </w:pPr>
      <w:r>
        <w:rPr>
          <w:rFonts w:eastAsiaTheme="minorEastAsia"/>
          <w:color w:val="000000" w:themeColor="text1"/>
          <w:sz w:val="24"/>
        </w:rPr>
        <w:t>… …</w:t>
      </w:r>
    </w:p>
    <w:p w14:paraId="074DCB28">
      <w:pPr>
        <w:overflowPunct w:val="0"/>
        <w:autoSpaceDE w:val="0"/>
        <w:autoSpaceDN w:val="0"/>
        <w:snapToGrid w:val="0"/>
        <w:spacing w:line="520" w:lineRule="exact"/>
        <w:rPr>
          <w:rFonts w:eastAsiaTheme="minorEastAsia"/>
          <w:color w:val="000000" w:themeColor="text1"/>
          <w:sz w:val="24"/>
        </w:rPr>
      </w:pPr>
      <w:r>
        <w:rPr>
          <w:rFonts w:eastAsiaTheme="minorEastAsia"/>
          <w:color w:val="000000" w:themeColor="text1"/>
          <w:sz w:val="24"/>
        </w:rPr>
        <w:t>附录 X. 磁共振环境安全测试方法</w:t>
      </w:r>
    </w:p>
    <w:p w14:paraId="41E3A3B4">
      <w:pPr>
        <w:overflowPunct w:val="0"/>
        <w:autoSpaceDE w:val="0"/>
        <w:autoSpaceDN w:val="0"/>
        <w:snapToGrid w:val="0"/>
        <w:spacing w:line="520" w:lineRule="exact"/>
        <w:rPr>
          <w:rFonts w:eastAsiaTheme="minorEastAsia"/>
          <w:color w:val="000000" w:themeColor="text1"/>
          <w:sz w:val="24"/>
        </w:rPr>
      </w:pPr>
      <w:r>
        <w:rPr>
          <w:rFonts w:hint="eastAsia" w:eastAsiaTheme="minorEastAsia"/>
          <w:color w:val="000000" w:themeColor="text1"/>
          <w:sz w:val="24"/>
        </w:rPr>
        <w:t>（若适用）</w:t>
      </w:r>
    </w:p>
    <w:sectPr>
      <w:footerReference r:id="rId3" w:type="default"/>
      <w:footerReference r:id="rId4" w:type="even"/>
      <w:pgSz w:w="11906" w:h="16838"/>
      <w:pgMar w:top="1440" w:right="1800" w:bottom="1440" w:left="1800" w:header="567" w:footer="567" w:gutter="0"/>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等线">
    <w:altName w:val="汉仪中等线KW"/>
    <w:panose1 w:val="00000000000000000000"/>
    <w:charset w:val="86"/>
    <w:family w:val="auto"/>
    <w:pitch w:val="default"/>
    <w:sig w:usb0="00000000" w:usb1="00000000" w:usb2="00000000" w:usb3="00000000" w:csb0="00000000" w:csb1="00000000"/>
  </w:font>
  <w:font w:name="tim">
    <w:altName w:val="苹方-简"/>
    <w:panose1 w:val="00000000000000000000"/>
    <w:charset w:val="00"/>
    <w:family w:val="roman"/>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Franklin Gothic Demi Cond">
    <w:altName w:val="苹方-简"/>
    <w:panose1 w:val="00000000000000000000"/>
    <w:charset w:val="00"/>
    <w:family w:val="swiss"/>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imes New Roman Bold">
    <w:panose1 w:val="02020703060505090304"/>
    <w:charset w:val="00"/>
    <w:family w:val="auto"/>
    <w:pitch w:val="default"/>
    <w:sig w:usb0="E0000AFF" w:usb1="00007843" w:usb2="00000001" w:usb3="00000000" w:csb0="400001BF" w:csb1="DFF70000"/>
  </w:font>
  <w:font w:name="楷体_GB2312">
    <w:panose1 w:val="02010609030101010101"/>
    <w:charset w:val="86"/>
    <w:family w:val="modern"/>
    <w:pitch w:val="default"/>
    <w:sig w:usb0="00000001" w:usb1="080E0000" w:usb2="00000000" w:usb3="00000000" w:csb0="00040000" w:csb1="00000000"/>
  </w:font>
  <w:font w:name="Heiti SC Medium">
    <w:panose1 w:val="02000000000000000000"/>
    <w:charset w:val="80"/>
    <w:family w:val="auto"/>
    <w:pitch w:val="default"/>
    <w:sig w:usb0="8000002F" w:usb1="0800004A" w:usb2="00000000" w:usb3="00000000" w:csb0="203E0000" w:csb1="00000000"/>
  </w:font>
  <w:font w:name="微软雅黑">
    <w:panose1 w:val="020B0503020204020204"/>
    <w:charset w:val="86"/>
    <w:family w:val="swiss"/>
    <w:pitch w:val="default"/>
    <w:sig w:usb0="80000287" w:usb1="280F3C52" w:usb2="00000016" w:usb3="00000000" w:csb0="0004001F" w:csb1="00000000"/>
  </w:font>
  <w:font w:name="FZXiaoBiaoSong-B05">
    <w:panose1 w:val="03000509000000000000"/>
    <w:charset w:val="86"/>
    <w:family w:val="script"/>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C617B">
    <w:pPr>
      <w:pStyle w:val="9"/>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3</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CA30">
    <w:pPr>
      <w:pStyle w:val="9"/>
      <w:rPr>
        <w:sz w:val="28"/>
        <w:szCs w:val="28"/>
      </w:rPr>
    </w:pPr>
    <w:r>
      <w:rPr>
        <w:rFonts w:hint="eastAsia"/>
        <w:color w:val="FFFFFF"/>
        <w:sz w:val="28"/>
        <w:szCs w:val="28"/>
      </w:rPr>
      <w:t>—</w:t>
    </w: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20</w:t>
    </w:r>
    <w:r>
      <w:rPr>
        <w:sz w:val="28"/>
        <w:szCs w:val="28"/>
      </w:rPr>
      <w:fldChar w:fldCharType="end"/>
    </w:r>
    <w:r>
      <w:rPr>
        <w:rFonts w:hint="eastAsia"/>
        <w:sz w:val="28"/>
        <w:szCs w:val="28"/>
      </w:rPr>
      <w:t>—</w:t>
    </w:r>
  </w:p>
  <w:p w14:paraId="7BC32FA9">
    <w:pPr>
      <w:pStyle w:val="9"/>
      <w:ind w:right="360"/>
    </w:pPr>
  </w:p>
  <w:p w14:paraId="59286461"/>
  <w:p w14:paraId="5F71F601"/>
  <w:p w14:paraId="48A2DB8B"/>
  <w:p w14:paraId="44946F8F"/>
  <w:p w14:paraId="2F55F660"/>
  <w:p w14:paraId="6C884B99"/>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6EFAE"/>
    <w:multiLevelType w:val="singleLevel"/>
    <w:tmpl w:val="FFF6EFAE"/>
    <w:lvl w:ilvl="0" w:tentative="0">
      <w:start w:val="1"/>
      <w:numFmt w:val="decimal"/>
      <w:suff w:val="space"/>
      <w:lvlText w:val="%1."/>
      <w:lvlJc w:val="left"/>
    </w:lvl>
  </w:abstractNum>
  <w:abstractNum w:abstractNumId="1">
    <w:nsid w:val="005A3306"/>
    <w:multiLevelType w:val="multilevel"/>
    <w:tmpl w:val="005A3306"/>
    <w:lvl w:ilvl="0" w:tentative="0">
      <w:start w:val="1"/>
      <w:numFmt w:val="decimal"/>
      <w:suff w:val="space"/>
      <w:lvlText w:val="%1."/>
      <w:lvlJc w:val="left"/>
      <w:pPr>
        <w:ind w:left="1063" w:hanging="420"/>
      </w:pPr>
      <w:rPr>
        <w:rFonts w:hint="eastAsia"/>
        <w:sz w:val="32"/>
        <w:szCs w:val="40"/>
      </w:rPr>
    </w:lvl>
    <w:lvl w:ilvl="1" w:tentative="0">
      <w:start w:val="1"/>
      <w:numFmt w:val="decimal"/>
      <w:lvlText w:val="%1.%2"/>
      <w:lvlJc w:val="left"/>
      <w:pPr>
        <w:ind w:left="1483" w:hanging="420"/>
      </w:pPr>
      <w:rPr>
        <w:rFonts w:hint="eastAsia"/>
      </w:rPr>
    </w:lvl>
    <w:lvl w:ilvl="2" w:tentative="0">
      <w:start w:val="1"/>
      <w:numFmt w:val="lowerRoman"/>
      <w:lvlText w:val="%3."/>
      <w:lvlJc w:val="right"/>
      <w:pPr>
        <w:ind w:left="1903" w:hanging="420"/>
      </w:pPr>
      <w:rPr>
        <w:rFonts w:hint="eastAsia"/>
      </w:rPr>
    </w:lvl>
    <w:lvl w:ilvl="3" w:tentative="0">
      <w:start w:val="1"/>
      <w:numFmt w:val="decimal"/>
      <w:lvlText w:val="%4."/>
      <w:lvlJc w:val="left"/>
      <w:pPr>
        <w:ind w:left="2323" w:hanging="420"/>
      </w:pPr>
      <w:rPr>
        <w:rFonts w:hint="eastAsia"/>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abstractNum w:abstractNumId="2">
    <w:nsid w:val="04270A6C"/>
    <w:multiLevelType w:val="multilevel"/>
    <w:tmpl w:val="04270A6C"/>
    <w:lvl w:ilvl="0" w:tentative="0">
      <w:start w:val="1"/>
      <w:numFmt w:val="upperRoman"/>
      <w:suff w:val="nothing"/>
      <w:lvlText w:val="附录 %1 "/>
      <w:lvlJc w:val="left"/>
      <w:pPr>
        <w:ind w:left="0" w:firstLine="0"/>
      </w:pPr>
      <w:rPr>
        <w:rFonts w:hint="default" w:ascii="Times New Roman" w:hAnsi="Times New Roman" w:eastAsia="黑体"/>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46D7CB9"/>
    <w:multiLevelType w:val="multilevel"/>
    <w:tmpl w:val="046D7CB9"/>
    <w:lvl w:ilvl="0" w:tentative="0">
      <w:start w:val="3"/>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068A11C2"/>
    <w:multiLevelType w:val="multilevel"/>
    <w:tmpl w:val="068A11C2"/>
    <w:lvl w:ilvl="0" w:tentative="0">
      <w:start w:val="1"/>
      <w:numFmt w:val="bullet"/>
      <w:lvlText w:val="•"/>
      <w:lvlJc w:val="left"/>
      <w:pPr>
        <w:ind w:left="1060" w:hanging="420"/>
      </w:pPr>
      <w:rPr>
        <w:rFonts w:hint="default" w:ascii="Arial" w:hAnsi="Arial"/>
      </w:rPr>
    </w:lvl>
    <w:lvl w:ilvl="1" w:tentative="0">
      <w:start w:val="1"/>
      <w:numFmt w:val="bullet"/>
      <w:lvlText w:val=""/>
      <w:lvlJc w:val="left"/>
      <w:pPr>
        <w:ind w:left="1480" w:hanging="420"/>
      </w:pPr>
      <w:rPr>
        <w:rFonts w:hint="default" w:ascii="Wingdings" w:hAnsi="Wingdings"/>
      </w:rPr>
    </w:lvl>
    <w:lvl w:ilvl="2" w:tentative="0">
      <w:start w:val="1"/>
      <w:numFmt w:val="bullet"/>
      <w:lvlText w:val=""/>
      <w:lvlJc w:val="left"/>
      <w:pPr>
        <w:ind w:left="1900" w:hanging="420"/>
      </w:pPr>
      <w:rPr>
        <w:rFonts w:hint="default" w:ascii="Wingdings" w:hAnsi="Wingdings"/>
      </w:rPr>
    </w:lvl>
    <w:lvl w:ilvl="3" w:tentative="0">
      <w:start w:val="1"/>
      <w:numFmt w:val="bullet"/>
      <w:lvlText w:val=""/>
      <w:lvlJc w:val="left"/>
      <w:pPr>
        <w:ind w:left="2320" w:hanging="420"/>
      </w:pPr>
      <w:rPr>
        <w:rFonts w:hint="default" w:ascii="Wingdings" w:hAnsi="Wingdings"/>
      </w:rPr>
    </w:lvl>
    <w:lvl w:ilvl="4" w:tentative="0">
      <w:start w:val="1"/>
      <w:numFmt w:val="bullet"/>
      <w:lvlText w:val=""/>
      <w:lvlJc w:val="left"/>
      <w:pPr>
        <w:ind w:left="2740" w:hanging="420"/>
      </w:pPr>
      <w:rPr>
        <w:rFonts w:hint="default" w:ascii="Wingdings" w:hAnsi="Wingdings"/>
      </w:rPr>
    </w:lvl>
    <w:lvl w:ilvl="5" w:tentative="0">
      <w:start w:val="1"/>
      <w:numFmt w:val="bullet"/>
      <w:lvlText w:val=""/>
      <w:lvlJc w:val="left"/>
      <w:pPr>
        <w:ind w:left="3160" w:hanging="420"/>
      </w:pPr>
      <w:rPr>
        <w:rFonts w:hint="default" w:ascii="Wingdings" w:hAnsi="Wingdings"/>
      </w:rPr>
    </w:lvl>
    <w:lvl w:ilvl="6" w:tentative="0">
      <w:start w:val="1"/>
      <w:numFmt w:val="bullet"/>
      <w:lvlText w:val=""/>
      <w:lvlJc w:val="left"/>
      <w:pPr>
        <w:ind w:left="3580" w:hanging="420"/>
      </w:pPr>
      <w:rPr>
        <w:rFonts w:hint="default" w:ascii="Wingdings" w:hAnsi="Wingdings"/>
      </w:rPr>
    </w:lvl>
    <w:lvl w:ilvl="7" w:tentative="0">
      <w:start w:val="1"/>
      <w:numFmt w:val="bullet"/>
      <w:lvlText w:val=""/>
      <w:lvlJc w:val="left"/>
      <w:pPr>
        <w:ind w:left="4000" w:hanging="420"/>
      </w:pPr>
      <w:rPr>
        <w:rFonts w:hint="default" w:ascii="Wingdings" w:hAnsi="Wingdings"/>
      </w:rPr>
    </w:lvl>
    <w:lvl w:ilvl="8" w:tentative="0">
      <w:start w:val="1"/>
      <w:numFmt w:val="bullet"/>
      <w:lvlText w:val=""/>
      <w:lvlJc w:val="left"/>
      <w:pPr>
        <w:ind w:left="4420" w:hanging="420"/>
      </w:pPr>
      <w:rPr>
        <w:rFonts w:hint="default" w:ascii="Wingdings" w:hAnsi="Wingdings"/>
      </w:rPr>
    </w:lvl>
  </w:abstractNum>
  <w:abstractNum w:abstractNumId="5">
    <w:nsid w:val="08443C2B"/>
    <w:multiLevelType w:val="multilevel"/>
    <w:tmpl w:val="08443C2B"/>
    <w:lvl w:ilvl="0" w:tentative="0">
      <w:start w:val="1"/>
      <w:numFmt w:val="decimal"/>
      <w:suff w:val="space"/>
      <w:lvlText w:val="%1."/>
      <w:lvlJc w:val="left"/>
      <w:pPr>
        <w:ind w:left="1060" w:hanging="420"/>
      </w:pPr>
      <w:rPr>
        <w:rFonts w:hint="default" w:ascii="Times New Roman" w:hAnsi="Times New Roman" w:cs="Times New Roman"/>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0A8826EB"/>
    <w:multiLevelType w:val="multilevel"/>
    <w:tmpl w:val="0A8826EB"/>
    <w:lvl w:ilvl="0" w:tentative="0">
      <w:start w:val="1"/>
      <w:numFmt w:val="chineseCountingThousand"/>
      <w:suff w:val="nothing"/>
      <w:lvlText w:val="（%1）"/>
      <w:lvlJc w:val="left"/>
      <w:pPr>
        <w:ind w:left="1060" w:hanging="420"/>
      </w:pPr>
      <w:rPr>
        <w:rFonts w:hint="eastAsia" w:eastAsia="楷体_GB2312"/>
        <w:sz w:val="32"/>
        <w:szCs w:val="40"/>
      </w:rPr>
    </w:lvl>
    <w:lvl w:ilvl="1" w:tentative="0">
      <w:start w:val="1"/>
      <w:numFmt w:val="decimal"/>
      <w:lvlText w:val="%2."/>
      <w:lvlJc w:val="left"/>
      <w:pPr>
        <w:ind w:left="1480" w:hanging="420"/>
      </w:pPr>
      <w:rPr>
        <w:sz w:val="32"/>
        <w:szCs w:val="40"/>
      </w:r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7">
    <w:nsid w:val="0AFE6492"/>
    <w:multiLevelType w:val="multilevel"/>
    <w:tmpl w:val="0AFE6492"/>
    <w:lvl w:ilvl="0" w:tentative="0">
      <w:start w:val="1"/>
      <w:numFmt w:val="chineseCountingThousand"/>
      <w:suff w:val="nothing"/>
      <w:lvlText w:val="（%1）"/>
      <w:lvlJc w:val="left"/>
      <w:pPr>
        <w:ind w:left="0" w:firstLine="0"/>
      </w:pPr>
      <w:rPr>
        <w:rFonts w:hint="eastAsia"/>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10856DD6"/>
    <w:multiLevelType w:val="multilevel"/>
    <w:tmpl w:val="10856DD6"/>
    <w:lvl w:ilvl="0" w:tentative="0">
      <w:start w:val="1"/>
      <w:numFmt w:val="decimal"/>
      <w:suff w:val="nothing"/>
      <w:lvlText w:val="（%1）"/>
      <w:lvlJc w:val="left"/>
      <w:pPr>
        <w:ind w:left="1060" w:hanging="420"/>
      </w:pPr>
      <w:rPr>
        <w:rFonts w:hint="default" w:ascii="Times New Roman" w:hAnsi="Times New Roman" w:eastAsia="仿宋_GB2312"/>
        <w:b w:val="0"/>
        <w:i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12852860"/>
    <w:multiLevelType w:val="multilevel"/>
    <w:tmpl w:val="12852860"/>
    <w:lvl w:ilvl="0" w:tentative="0">
      <w:start w:val="1"/>
      <w:numFmt w:val="decimal"/>
      <w:suff w:val="space"/>
      <w:lvlText w:val="%1."/>
      <w:lvlJc w:val="left"/>
      <w:pPr>
        <w:ind w:left="0" w:firstLine="0"/>
      </w:pPr>
      <w:rPr>
        <w:rFonts w:hint="default" w:ascii="Times New Roman" w:hAnsi="Times New Roman" w:eastAsia="仿宋_GB2312"/>
        <w:b w:val="0"/>
        <w:i w:val="0"/>
        <w:sz w:val="32"/>
      </w:rPr>
    </w:lvl>
    <w:lvl w:ilvl="1" w:tentative="0">
      <w:start w:val="1"/>
      <w:numFmt w:val="decimal"/>
      <w:lvlRestart w:val="0"/>
      <w:suff w:val="space"/>
      <w:lvlText w:val="%1.%2"/>
      <w:lvlJc w:val="left"/>
      <w:pPr>
        <w:ind w:left="0" w:firstLine="0"/>
      </w:pPr>
      <w:rPr>
        <w:rFonts w:hint="default"/>
        <w:sz w:val="32"/>
        <w:szCs w:val="40"/>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
    <w:nsid w:val="14C45537"/>
    <w:multiLevelType w:val="multilevel"/>
    <w:tmpl w:val="14C45537"/>
    <w:lvl w:ilvl="0" w:tentative="0">
      <w:start w:val="1"/>
      <w:numFmt w:val="decimal"/>
      <w:suff w:val="space"/>
      <w:lvlText w:val="%1."/>
      <w:lvlJc w:val="left"/>
      <w:pPr>
        <w:ind w:left="1063" w:hanging="420"/>
      </w:pPr>
      <w:rPr>
        <w:rFonts w:hint="eastAsia"/>
        <w:sz w:val="32"/>
        <w:szCs w:val="40"/>
      </w:rPr>
    </w:lvl>
    <w:lvl w:ilvl="1" w:tentative="0">
      <w:start w:val="1"/>
      <w:numFmt w:val="decimal"/>
      <w:lvlText w:val="%1.%2"/>
      <w:lvlJc w:val="left"/>
      <w:pPr>
        <w:ind w:left="1483" w:hanging="420"/>
      </w:pPr>
      <w:rPr>
        <w:rFonts w:hint="eastAsia"/>
      </w:rPr>
    </w:lvl>
    <w:lvl w:ilvl="2" w:tentative="0">
      <w:start w:val="1"/>
      <w:numFmt w:val="lowerRoman"/>
      <w:lvlText w:val="%3."/>
      <w:lvlJc w:val="right"/>
      <w:pPr>
        <w:ind w:left="1903" w:hanging="420"/>
      </w:pPr>
      <w:rPr>
        <w:rFonts w:hint="eastAsia"/>
      </w:rPr>
    </w:lvl>
    <w:lvl w:ilvl="3" w:tentative="0">
      <w:start w:val="1"/>
      <w:numFmt w:val="decimal"/>
      <w:lvlText w:val="%4."/>
      <w:lvlJc w:val="left"/>
      <w:pPr>
        <w:ind w:left="2323" w:hanging="420"/>
      </w:pPr>
      <w:rPr>
        <w:rFonts w:hint="eastAsia"/>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abstractNum w:abstractNumId="11">
    <w:nsid w:val="14FD6F37"/>
    <w:multiLevelType w:val="multilevel"/>
    <w:tmpl w:val="14FD6F37"/>
    <w:lvl w:ilvl="0" w:tentative="0">
      <w:start w:val="6"/>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
    <w:nsid w:val="159A747E"/>
    <w:multiLevelType w:val="multilevel"/>
    <w:tmpl w:val="159A747E"/>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16F313E8"/>
    <w:multiLevelType w:val="multilevel"/>
    <w:tmpl w:val="16F313E8"/>
    <w:lvl w:ilvl="0" w:tentative="0">
      <w:start w:val="1"/>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4">
    <w:nsid w:val="1C006A1D"/>
    <w:multiLevelType w:val="multilevel"/>
    <w:tmpl w:val="1C006A1D"/>
    <w:lvl w:ilvl="0" w:tentative="0">
      <w:start w:val="1"/>
      <w:numFmt w:val="decimal"/>
      <w:suff w:val="nothing"/>
      <w:lvlText w:val="（%1）"/>
      <w:lvlJc w:val="left"/>
      <w:pPr>
        <w:ind w:left="2320" w:hanging="420"/>
      </w:pPr>
      <w:rPr>
        <w:rFonts w:hint="default"/>
      </w:rPr>
    </w:lvl>
    <w:lvl w:ilvl="1" w:tentative="0">
      <w:start w:val="1"/>
      <w:numFmt w:val="lowerLetter"/>
      <w:lvlText w:val="%2)"/>
      <w:lvlJc w:val="left"/>
      <w:pPr>
        <w:ind w:left="2740" w:hanging="420"/>
      </w:pPr>
      <w:rPr>
        <w:rFonts w:hint="eastAsia"/>
      </w:rPr>
    </w:lvl>
    <w:lvl w:ilvl="2" w:tentative="0">
      <w:start w:val="1"/>
      <w:numFmt w:val="lowerRoman"/>
      <w:lvlText w:val="%3."/>
      <w:lvlJc w:val="right"/>
      <w:pPr>
        <w:ind w:left="3160" w:hanging="420"/>
      </w:pPr>
      <w:rPr>
        <w:rFonts w:hint="eastAsia"/>
      </w:rPr>
    </w:lvl>
    <w:lvl w:ilvl="3" w:tentative="0">
      <w:start w:val="1"/>
      <w:numFmt w:val="decimal"/>
      <w:lvlText w:val="%4."/>
      <w:lvlJc w:val="left"/>
      <w:pPr>
        <w:ind w:left="3580" w:hanging="420"/>
      </w:pPr>
      <w:rPr>
        <w:rFonts w:hint="eastAsia"/>
      </w:rPr>
    </w:lvl>
    <w:lvl w:ilvl="4" w:tentative="0">
      <w:start w:val="1"/>
      <w:numFmt w:val="lowerLetter"/>
      <w:lvlText w:val="%5)"/>
      <w:lvlJc w:val="left"/>
      <w:pPr>
        <w:ind w:left="4000" w:hanging="420"/>
      </w:pPr>
      <w:rPr>
        <w:rFonts w:hint="eastAsia"/>
      </w:rPr>
    </w:lvl>
    <w:lvl w:ilvl="5" w:tentative="0">
      <w:start w:val="1"/>
      <w:numFmt w:val="lowerRoman"/>
      <w:lvlText w:val="%6."/>
      <w:lvlJc w:val="right"/>
      <w:pPr>
        <w:ind w:left="4420" w:hanging="420"/>
      </w:pPr>
      <w:rPr>
        <w:rFonts w:hint="eastAsia"/>
      </w:rPr>
    </w:lvl>
    <w:lvl w:ilvl="6" w:tentative="0">
      <w:start w:val="1"/>
      <w:numFmt w:val="decimal"/>
      <w:lvlText w:val="%7."/>
      <w:lvlJc w:val="left"/>
      <w:pPr>
        <w:ind w:left="4840" w:hanging="420"/>
      </w:pPr>
      <w:rPr>
        <w:rFonts w:hint="eastAsia"/>
      </w:rPr>
    </w:lvl>
    <w:lvl w:ilvl="7" w:tentative="0">
      <w:start w:val="1"/>
      <w:numFmt w:val="lowerLetter"/>
      <w:lvlText w:val="%8)"/>
      <w:lvlJc w:val="left"/>
      <w:pPr>
        <w:ind w:left="5260" w:hanging="420"/>
      </w:pPr>
      <w:rPr>
        <w:rFonts w:hint="eastAsia"/>
      </w:rPr>
    </w:lvl>
    <w:lvl w:ilvl="8" w:tentative="0">
      <w:start w:val="1"/>
      <w:numFmt w:val="lowerRoman"/>
      <w:lvlText w:val="%9."/>
      <w:lvlJc w:val="right"/>
      <w:pPr>
        <w:ind w:left="5680" w:hanging="420"/>
      </w:pPr>
      <w:rPr>
        <w:rFonts w:hint="eastAsia"/>
      </w:rPr>
    </w:lvl>
  </w:abstractNum>
  <w:abstractNum w:abstractNumId="15">
    <w:nsid w:val="1D89544E"/>
    <w:multiLevelType w:val="multilevel"/>
    <w:tmpl w:val="1D89544E"/>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suff w:val="space"/>
      <w:lvlText w:val="%4."/>
      <w:lvlJc w:val="left"/>
      <w:pPr>
        <w:ind w:left="2320" w:hanging="420"/>
      </w:pPr>
      <w:rPr>
        <w:rFonts w:hint="eastAsia"/>
      </w:r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6">
    <w:nsid w:val="1E9F0289"/>
    <w:multiLevelType w:val="multilevel"/>
    <w:tmpl w:val="1E9F0289"/>
    <w:lvl w:ilvl="0" w:tentative="0">
      <w:start w:val="2"/>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7">
    <w:nsid w:val="22682FBC"/>
    <w:multiLevelType w:val="multilevel"/>
    <w:tmpl w:val="22682FBC"/>
    <w:lvl w:ilvl="0" w:tentative="0">
      <w:start w:val="1"/>
      <w:numFmt w:val="chineseCountingThousand"/>
      <w:suff w:val="nothing"/>
      <w:lvlText w:val="（%1）"/>
      <w:lvlJc w:val="left"/>
      <w:pPr>
        <w:ind w:left="1060" w:hanging="420"/>
      </w:pPr>
      <w:rPr>
        <w:rFonts w:hint="eastAsia" w:eastAsia="楷体_GB2312"/>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8">
    <w:nsid w:val="24DC3FB2"/>
    <w:multiLevelType w:val="multilevel"/>
    <w:tmpl w:val="24DC3FB2"/>
    <w:lvl w:ilvl="0" w:tentative="0">
      <w:start w:val="7"/>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9">
    <w:nsid w:val="24FF0822"/>
    <w:multiLevelType w:val="multilevel"/>
    <w:tmpl w:val="24FF0822"/>
    <w:lvl w:ilvl="0" w:tentative="0">
      <w:start w:val="1"/>
      <w:numFmt w:val="chineseCountingThousand"/>
      <w:suff w:val="nothing"/>
      <w:lvlText w:val="（%1）"/>
      <w:lvlJc w:val="left"/>
      <w:pPr>
        <w:ind w:left="1060" w:hanging="420"/>
      </w:pPr>
      <w:rPr>
        <w:rFonts w:hint="eastAsia" w:eastAsia="楷体_GB2312"/>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0">
    <w:nsid w:val="25817A43"/>
    <w:multiLevelType w:val="multilevel"/>
    <w:tmpl w:val="25817A43"/>
    <w:lvl w:ilvl="0" w:tentative="0">
      <w:start w:val="1"/>
      <w:numFmt w:val="chineseCountingThousand"/>
      <w:suff w:val="nothing"/>
      <w:lvlText w:val="（%1）"/>
      <w:lvlJc w:val="left"/>
      <w:pPr>
        <w:ind w:left="1060" w:hanging="420"/>
      </w:pPr>
      <w:rPr>
        <w:rFonts w:hint="eastAsia" w:eastAsia="楷体_GB2312"/>
        <w:sz w:val="32"/>
        <w:szCs w:val="40"/>
      </w:rPr>
    </w:lvl>
    <w:lvl w:ilvl="1" w:tentative="0">
      <w:start w:val="1"/>
      <w:numFmt w:val="decimal"/>
      <w:lvlText w:val="%2."/>
      <w:lvlJc w:val="left"/>
      <w:pPr>
        <w:ind w:left="1480" w:hanging="420"/>
      </w:pPr>
      <w:rPr>
        <w:sz w:val="32"/>
        <w:szCs w:val="40"/>
      </w:r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1">
    <w:nsid w:val="25BA799B"/>
    <w:multiLevelType w:val="multilevel"/>
    <w:tmpl w:val="25BA799B"/>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27CE5004"/>
    <w:multiLevelType w:val="multilevel"/>
    <w:tmpl w:val="27CE5004"/>
    <w:lvl w:ilvl="0" w:tentative="0">
      <w:start w:val="1"/>
      <w:numFmt w:val="decimal"/>
      <w:suff w:val="space"/>
      <w:lvlText w:val="%1."/>
      <w:lvlJc w:val="left"/>
      <w:pPr>
        <w:ind w:left="1060" w:hanging="420"/>
      </w:pPr>
      <w:rPr>
        <w:rFonts w:hint="eastAsia"/>
        <w:sz w:val="32"/>
        <w:szCs w:val="40"/>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23">
    <w:nsid w:val="2AC8059C"/>
    <w:multiLevelType w:val="multilevel"/>
    <w:tmpl w:val="2AC8059C"/>
    <w:lvl w:ilvl="0" w:tentative="0">
      <w:start w:val="1"/>
      <w:numFmt w:val="decimal"/>
      <w:suff w:val="space"/>
      <w:lvlText w:val="%1."/>
      <w:lvlJc w:val="left"/>
      <w:pPr>
        <w:ind w:left="1060" w:hanging="420"/>
      </w:pPr>
      <w:rPr>
        <w:rFonts w:hint="eastAsia"/>
        <w:sz w:val="32"/>
        <w:szCs w:val="40"/>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24">
    <w:nsid w:val="2B7E2B09"/>
    <w:multiLevelType w:val="multilevel"/>
    <w:tmpl w:val="2B7E2B09"/>
    <w:lvl w:ilvl="0" w:tentative="0">
      <w:start w:val="1"/>
      <w:numFmt w:val="decimal"/>
      <w:suff w:val="space"/>
      <w:lvlText w:val="%1."/>
      <w:lvlJc w:val="left"/>
      <w:pPr>
        <w:ind w:left="1063" w:hanging="420"/>
      </w:pPr>
      <w:rPr>
        <w:rFonts w:hint="eastAsia"/>
        <w:sz w:val="32"/>
        <w:szCs w:val="40"/>
      </w:rPr>
    </w:lvl>
    <w:lvl w:ilvl="1" w:tentative="0">
      <w:start w:val="1"/>
      <w:numFmt w:val="decimal"/>
      <w:lvlText w:val="%1.%2"/>
      <w:lvlJc w:val="left"/>
      <w:pPr>
        <w:ind w:left="1483" w:hanging="420"/>
      </w:pPr>
      <w:rPr>
        <w:rFonts w:hint="eastAsia"/>
      </w:rPr>
    </w:lvl>
    <w:lvl w:ilvl="2" w:tentative="0">
      <w:start w:val="1"/>
      <w:numFmt w:val="lowerRoman"/>
      <w:lvlText w:val="%3."/>
      <w:lvlJc w:val="right"/>
      <w:pPr>
        <w:ind w:left="1903" w:hanging="420"/>
      </w:pPr>
      <w:rPr>
        <w:rFonts w:hint="eastAsia"/>
      </w:rPr>
    </w:lvl>
    <w:lvl w:ilvl="3" w:tentative="0">
      <w:start w:val="1"/>
      <w:numFmt w:val="decimal"/>
      <w:lvlText w:val="%4."/>
      <w:lvlJc w:val="left"/>
      <w:pPr>
        <w:ind w:left="2323" w:hanging="420"/>
      </w:pPr>
      <w:rPr>
        <w:rFonts w:hint="eastAsia"/>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abstractNum w:abstractNumId="25">
    <w:nsid w:val="2ECD320F"/>
    <w:multiLevelType w:val="multilevel"/>
    <w:tmpl w:val="2ECD320F"/>
    <w:lvl w:ilvl="0" w:tentative="0">
      <w:start w:val="1"/>
      <w:numFmt w:val="decimal"/>
      <w:suff w:val="space"/>
      <w:lvlText w:val="%1."/>
      <w:lvlJc w:val="left"/>
      <w:pPr>
        <w:ind w:left="1060" w:hanging="420"/>
      </w:pPr>
      <w:rPr>
        <w:rFonts w:hint="eastAsia"/>
        <w:sz w:val="32"/>
        <w:szCs w:val="40"/>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26">
    <w:nsid w:val="32040A75"/>
    <w:multiLevelType w:val="multilevel"/>
    <w:tmpl w:val="32040A75"/>
    <w:lvl w:ilvl="0" w:tentative="0">
      <w:start w:val="1"/>
      <w:numFmt w:val="bullet"/>
      <w:lvlText w:val="•"/>
      <w:lvlJc w:val="left"/>
      <w:pPr>
        <w:ind w:left="1060" w:hanging="420"/>
      </w:pPr>
      <w:rPr>
        <w:rFonts w:hint="default" w:ascii="Arial" w:hAnsi="Arial"/>
      </w:rPr>
    </w:lvl>
    <w:lvl w:ilvl="1" w:tentative="0">
      <w:start w:val="1"/>
      <w:numFmt w:val="bullet"/>
      <w:lvlText w:val=""/>
      <w:lvlJc w:val="left"/>
      <w:pPr>
        <w:ind w:left="1480" w:hanging="420"/>
      </w:pPr>
      <w:rPr>
        <w:rFonts w:hint="default" w:ascii="Wingdings" w:hAnsi="Wingdings"/>
      </w:rPr>
    </w:lvl>
    <w:lvl w:ilvl="2" w:tentative="0">
      <w:start w:val="1"/>
      <w:numFmt w:val="bullet"/>
      <w:lvlText w:val=""/>
      <w:lvlJc w:val="left"/>
      <w:pPr>
        <w:ind w:left="1900" w:hanging="420"/>
      </w:pPr>
      <w:rPr>
        <w:rFonts w:hint="default" w:ascii="Wingdings" w:hAnsi="Wingdings"/>
      </w:rPr>
    </w:lvl>
    <w:lvl w:ilvl="3" w:tentative="0">
      <w:start w:val="1"/>
      <w:numFmt w:val="bullet"/>
      <w:lvlText w:val=""/>
      <w:lvlJc w:val="left"/>
      <w:pPr>
        <w:ind w:left="2320" w:hanging="420"/>
      </w:pPr>
      <w:rPr>
        <w:rFonts w:hint="default" w:ascii="Wingdings" w:hAnsi="Wingdings"/>
      </w:rPr>
    </w:lvl>
    <w:lvl w:ilvl="4" w:tentative="0">
      <w:start w:val="1"/>
      <w:numFmt w:val="bullet"/>
      <w:lvlText w:val=""/>
      <w:lvlJc w:val="left"/>
      <w:pPr>
        <w:ind w:left="2740" w:hanging="420"/>
      </w:pPr>
      <w:rPr>
        <w:rFonts w:hint="default" w:ascii="Wingdings" w:hAnsi="Wingdings"/>
      </w:rPr>
    </w:lvl>
    <w:lvl w:ilvl="5" w:tentative="0">
      <w:start w:val="1"/>
      <w:numFmt w:val="bullet"/>
      <w:lvlText w:val=""/>
      <w:lvlJc w:val="left"/>
      <w:pPr>
        <w:ind w:left="3160" w:hanging="420"/>
      </w:pPr>
      <w:rPr>
        <w:rFonts w:hint="default" w:ascii="Wingdings" w:hAnsi="Wingdings"/>
      </w:rPr>
    </w:lvl>
    <w:lvl w:ilvl="6" w:tentative="0">
      <w:start w:val="1"/>
      <w:numFmt w:val="bullet"/>
      <w:lvlText w:val=""/>
      <w:lvlJc w:val="left"/>
      <w:pPr>
        <w:ind w:left="3580" w:hanging="420"/>
      </w:pPr>
      <w:rPr>
        <w:rFonts w:hint="default" w:ascii="Wingdings" w:hAnsi="Wingdings"/>
      </w:rPr>
    </w:lvl>
    <w:lvl w:ilvl="7" w:tentative="0">
      <w:start w:val="1"/>
      <w:numFmt w:val="bullet"/>
      <w:lvlText w:val=""/>
      <w:lvlJc w:val="left"/>
      <w:pPr>
        <w:ind w:left="4000" w:hanging="420"/>
      </w:pPr>
      <w:rPr>
        <w:rFonts w:hint="default" w:ascii="Wingdings" w:hAnsi="Wingdings"/>
      </w:rPr>
    </w:lvl>
    <w:lvl w:ilvl="8" w:tentative="0">
      <w:start w:val="1"/>
      <w:numFmt w:val="bullet"/>
      <w:lvlText w:val=""/>
      <w:lvlJc w:val="left"/>
      <w:pPr>
        <w:ind w:left="4420" w:hanging="420"/>
      </w:pPr>
      <w:rPr>
        <w:rFonts w:hint="default" w:ascii="Wingdings" w:hAnsi="Wingdings"/>
      </w:rPr>
    </w:lvl>
  </w:abstractNum>
  <w:abstractNum w:abstractNumId="27">
    <w:nsid w:val="3520539D"/>
    <w:multiLevelType w:val="multilevel"/>
    <w:tmpl w:val="3520539D"/>
    <w:lvl w:ilvl="0" w:tentative="0">
      <w:start w:val="1"/>
      <w:numFmt w:val="chineseCountingThousand"/>
      <w:lvlText w:val="（%1）"/>
      <w:lvlJc w:val="left"/>
      <w:pPr>
        <w:ind w:left="1060" w:hanging="420"/>
      </w:pPr>
      <w:rPr>
        <w:rFonts w:hint="eastAsia" w:eastAsia="楷体_GB2312"/>
        <w:sz w:val="32"/>
        <w:szCs w:val="40"/>
      </w:rPr>
    </w:lvl>
    <w:lvl w:ilvl="1" w:tentative="0">
      <w:start w:val="1"/>
      <w:numFmt w:val="decimal"/>
      <w:lvlText w:val="%2."/>
      <w:lvlJc w:val="left"/>
      <w:pPr>
        <w:ind w:left="1480" w:hanging="420"/>
      </w:pPr>
      <w:rPr>
        <w:sz w:val="32"/>
        <w:szCs w:val="40"/>
      </w:r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8">
    <w:nsid w:val="3A2E34FE"/>
    <w:multiLevelType w:val="multilevel"/>
    <w:tmpl w:val="3A2E34FE"/>
    <w:lvl w:ilvl="0" w:tentative="0">
      <w:start w:val="1"/>
      <w:numFmt w:val="decimal"/>
      <w:suff w:val="nothing"/>
      <w:lvlText w:val="（%1）"/>
      <w:lvlJc w:val="left"/>
      <w:pPr>
        <w:ind w:left="1060" w:hanging="420"/>
      </w:pPr>
      <w:rPr>
        <w:rFonts w:hint="default" w:ascii="Times New Roman" w:hAnsi="Times New Roman" w:eastAsia="仿宋_GB2312"/>
        <w:b w:val="0"/>
        <w:i w:val="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9">
    <w:nsid w:val="438212BE"/>
    <w:multiLevelType w:val="multilevel"/>
    <w:tmpl w:val="438212BE"/>
    <w:lvl w:ilvl="0" w:tentative="0">
      <w:start w:val="1"/>
      <w:numFmt w:val="chineseCountingThousand"/>
      <w:suff w:val="nothing"/>
      <w:lvlText w:val="（%1）"/>
      <w:lvlJc w:val="left"/>
      <w:pPr>
        <w:ind w:left="1060" w:hanging="420"/>
      </w:pPr>
      <w:rPr>
        <w:rFonts w:hint="eastAsia" w:eastAsia="楷体_GB2312"/>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0">
    <w:nsid w:val="49191024"/>
    <w:multiLevelType w:val="multilevel"/>
    <w:tmpl w:val="49191024"/>
    <w:lvl w:ilvl="0" w:tentative="0">
      <w:start w:val="1"/>
      <w:numFmt w:val="chineseCountingThousand"/>
      <w:suff w:val="nothing"/>
      <w:lvlText w:val="%1、"/>
      <w:lvlJc w:val="left"/>
      <w:pPr>
        <w:ind w:left="1060" w:hanging="420"/>
      </w:pPr>
      <w:rPr>
        <w:rFonts w:hint="eastAsia" w:eastAsia="黑体"/>
        <w:sz w:val="32"/>
        <w:szCs w:val="36"/>
        <w:lang w:val="en-US"/>
      </w:rPr>
    </w:lvl>
    <w:lvl w:ilvl="1" w:tentative="0">
      <w:start w:val="1"/>
      <w:numFmt w:val="japaneseCounting"/>
      <w:lvlText w:val="（%2）"/>
      <w:lvlJc w:val="left"/>
      <w:pPr>
        <w:ind w:left="2140" w:hanging="1080"/>
      </w:pPr>
      <w:rPr>
        <w:rFonts w:hint="default" w:eastAsia="楷体_GB2312"/>
      </w:rPr>
    </w:lvl>
    <w:lvl w:ilvl="2" w:tentative="0">
      <w:start w:val="1"/>
      <w:numFmt w:val="lowerRoman"/>
      <w:lvlText w:val="%3."/>
      <w:lvlJc w:val="right"/>
      <w:pPr>
        <w:ind w:left="1900" w:hanging="420"/>
      </w:pPr>
      <w:rPr>
        <w:rFonts w:hint="eastAsia"/>
      </w:rPr>
    </w:lvl>
    <w:lvl w:ilvl="3" w:tentative="0">
      <w:start w:val="1"/>
      <w:numFmt w:val="decimal"/>
      <w:lvlText w:val="%4."/>
      <w:lvlJc w:val="left"/>
      <w:pPr>
        <w:ind w:left="2320" w:hanging="420"/>
      </w:pPr>
      <w:rPr>
        <w:rFonts w:hint="eastAsia"/>
      </w:rPr>
    </w:lvl>
    <w:lvl w:ilvl="4" w:tentative="0">
      <w:start w:val="1"/>
      <w:numFmt w:val="lowerLetter"/>
      <w:lvlText w:val="%5)"/>
      <w:lvlJc w:val="left"/>
      <w:pPr>
        <w:ind w:left="2740" w:hanging="420"/>
      </w:pPr>
      <w:rPr>
        <w:rFonts w:hint="eastAsia"/>
      </w:rPr>
    </w:lvl>
    <w:lvl w:ilvl="5" w:tentative="0">
      <w:start w:val="1"/>
      <w:numFmt w:val="lowerRoman"/>
      <w:lvlText w:val="%6."/>
      <w:lvlJc w:val="right"/>
      <w:pPr>
        <w:ind w:left="3160" w:hanging="420"/>
      </w:pPr>
      <w:rPr>
        <w:rFonts w:hint="eastAsia"/>
      </w:rPr>
    </w:lvl>
    <w:lvl w:ilvl="6" w:tentative="0">
      <w:start w:val="1"/>
      <w:numFmt w:val="decimal"/>
      <w:lvlText w:val="%7."/>
      <w:lvlJc w:val="left"/>
      <w:pPr>
        <w:ind w:left="3580" w:hanging="420"/>
      </w:pPr>
      <w:rPr>
        <w:rFonts w:hint="eastAsia"/>
      </w:rPr>
    </w:lvl>
    <w:lvl w:ilvl="7" w:tentative="0">
      <w:start w:val="1"/>
      <w:numFmt w:val="lowerLetter"/>
      <w:lvlText w:val="%8)"/>
      <w:lvlJc w:val="left"/>
      <w:pPr>
        <w:ind w:left="4000" w:hanging="420"/>
      </w:pPr>
      <w:rPr>
        <w:rFonts w:hint="eastAsia"/>
      </w:rPr>
    </w:lvl>
    <w:lvl w:ilvl="8" w:tentative="0">
      <w:start w:val="1"/>
      <w:numFmt w:val="lowerRoman"/>
      <w:lvlText w:val="%9."/>
      <w:lvlJc w:val="right"/>
      <w:pPr>
        <w:ind w:left="4420" w:hanging="420"/>
      </w:pPr>
      <w:rPr>
        <w:rFonts w:hint="eastAsia"/>
      </w:rPr>
    </w:lvl>
  </w:abstractNum>
  <w:abstractNum w:abstractNumId="31">
    <w:nsid w:val="4C8007AD"/>
    <w:multiLevelType w:val="multilevel"/>
    <w:tmpl w:val="4C8007AD"/>
    <w:lvl w:ilvl="0" w:tentative="0">
      <w:start w:val="1"/>
      <w:numFmt w:val="decimal"/>
      <w:suff w:val="space"/>
      <w:lvlText w:val="%1."/>
      <w:lvlJc w:val="left"/>
      <w:pPr>
        <w:ind w:left="1063" w:hanging="420"/>
      </w:pPr>
      <w:rPr>
        <w:rFonts w:hint="eastAsia"/>
        <w:sz w:val="32"/>
        <w:szCs w:val="40"/>
      </w:rPr>
    </w:lvl>
    <w:lvl w:ilvl="1" w:tentative="0">
      <w:start w:val="1"/>
      <w:numFmt w:val="decimal"/>
      <w:lvlText w:val="%1.%2"/>
      <w:lvlJc w:val="left"/>
      <w:pPr>
        <w:ind w:left="1483" w:hanging="420"/>
      </w:pPr>
      <w:rPr>
        <w:rFonts w:hint="eastAsia"/>
      </w:rPr>
    </w:lvl>
    <w:lvl w:ilvl="2" w:tentative="0">
      <w:start w:val="1"/>
      <w:numFmt w:val="lowerRoman"/>
      <w:lvlText w:val="%3."/>
      <w:lvlJc w:val="right"/>
      <w:pPr>
        <w:ind w:left="1903" w:hanging="420"/>
      </w:pPr>
      <w:rPr>
        <w:rFonts w:hint="eastAsia"/>
      </w:rPr>
    </w:lvl>
    <w:lvl w:ilvl="3" w:tentative="0">
      <w:start w:val="1"/>
      <w:numFmt w:val="decimal"/>
      <w:lvlText w:val="%4."/>
      <w:lvlJc w:val="left"/>
      <w:pPr>
        <w:ind w:left="2323" w:hanging="420"/>
      </w:pPr>
      <w:rPr>
        <w:rFonts w:hint="eastAsia"/>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abstractNum w:abstractNumId="32">
    <w:nsid w:val="4F4E20CF"/>
    <w:multiLevelType w:val="multilevel"/>
    <w:tmpl w:val="4F4E20CF"/>
    <w:lvl w:ilvl="0" w:tentative="0">
      <w:start w:val="1"/>
      <w:numFmt w:val="decimal"/>
      <w:suff w:val="nothing"/>
      <w:lvlText w:val="（%1）"/>
      <w:lvlJc w:val="left"/>
      <w:pPr>
        <w:ind w:left="1060" w:hanging="420"/>
      </w:pPr>
      <w:rPr>
        <w:rFonts w:hint="default" w:ascii="Times New Roman" w:hAnsi="Times New Roman" w:eastAsia="仿宋_GB2312"/>
        <w:b w:val="0"/>
        <w:i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3">
    <w:nsid w:val="509D51A4"/>
    <w:multiLevelType w:val="multilevel"/>
    <w:tmpl w:val="509D51A4"/>
    <w:lvl w:ilvl="0" w:tentative="0">
      <w:start w:val="1"/>
      <w:numFmt w:val="decimal"/>
      <w:suff w:val="nothing"/>
      <w:lvlText w:val="（%1）"/>
      <w:lvlJc w:val="left"/>
      <w:pPr>
        <w:ind w:left="1060" w:hanging="420"/>
      </w:pPr>
      <w:rPr>
        <w:rFonts w:hint="default" w:ascii="Times New Roman" w:hAnsi="Times New Roman" w:eastAsia="仿宋_GB2312"/>
        <w:b w:val="0"/>
        <w:i w:val="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4">
    <w:nsid w:val="521401B1"/>
    <w:multiLevelType w:val="multilevel"/>
    <w:tmpl w:val="521401B1"/>
    <w:lvl w:ilvl="0" w:tentative="0">
      <w:start w:val="1"/>
      <w:numFmt w:val="chineseCountingThousand"/>
      <w:lvlText w:val="（%1）"/>
      <w:lvlJc w:val="left"/>
      <w:pPr>
        <w:ind w:left="1060" w:hanging="420"/>
      </w:pPr>
      <w:rPr>
        <w:rFonts w:hint="eastAsia" w:eastAsia="楷体_GB2312"/>
        <w:sz w:val="32"/>
        <w:szCs w:val="40"/>
      </w:rPr>
    </w:lvl>
    <w:lvl w:ilvl="1" w:tentative="0">
      <w:start w:val="1"/>
      <w:numFmt w:val="decimal"/>
      <w:lvlText w:val="%2."/>
      <w:lvlJc w:val="left"/>
      <w:pPr>
        <w:ind w:left="1480" w:hanging="420"/>
      </w:pPr>
      <w:rPr>
        <w:sz w:val="32"/>
        <w:szCs w:val="40"/>
      </w:r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5">
    <w:nsid w:val="536810C9"/>
    <w:multiLevelType w:val="multilevel"/>
    <w:tmpl w:val="536810C9"/>
    <w:lvl w:ilvl="0" w:tentative="0">
      <w:start w:val="5"/>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6">
    <w:nsid w:val="55B70D12"/>
    <w:multiLevelType w:val="multilevel"/>
    <w:tmpl w:val="55B70D12"/>
    <w:lvl w:ilvl="0" w:tentative="0">
      <w:start w:val="8"/>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9.%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7">
    <w:nsid w:val="57AA703D"/>
    <w:multiLevelType w:val="multilevel"/>
    <w:tmpl w:val="57AA703D"/>
    <w:lvl w:ilvl="0" w:tentative="0">
      <w:start w:val="4"/>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8">
    <w:nsid w:val="5B0231B9"/>
    <w:multiLevelType w:val="multilevel"/>
    <w:tmpl w:val="5B0231B9"/>
    <w:lvl w:ilvl="0" w:tentative="0">
      <w:start w:val="1"/>
      <w:numFmt w:val="bullet"/>
      <w:lvlText w:val=""/>
      <w:lvlJc w:val="left"/>
      <w:pPr>
        <w:ind w:left="1060" w:hanging="420"/>
      </w:pPr>
      <w:rPr>
        <w:rFonts w:hint="default" w:ascii="Wingdings" w:hAnsi="Wingdings"/>
      </w:rPr>
    </w:lvl>
    <w:lvl w:ilvl="1" w:tentative="0">
      <w:start w:val="1"/>
      <w:numFmt w:val="bullet"/>
      <w:lvlText w:val=""/>
      <w:lvlJc w:val="left"/>
      <w:pPr>
        <w:ind w:left="1480" w:hanging="420"/>
      </w:pPr>
      <w:rPr>
        <w:rFonts w:hint="default" w:ascii="Wingdings" w:hAnsi="Wingdings"/>
      </w:rPr>
    </w:lvl>
    <w:lvl w:ilvl="2" w:tentative="0">
      <w:start w:val="1"/>
      <w:numFmt w:val="bullet"/>
      <w:lvlText w:val=""/>
      <w:lvlJc w:val="left"/>
      <w:pPr>
        <w:ind w:left="1900" w:hanging="420"/>
      </w:pPr>
      <w:rPr>
        <w:rFonts w:hint="default" w:ascii="Wingdings" w:hAnsi="Wingdings"/>
      </w:rPr>
    </w:lvl>
    <w:lvl w:ilvl="3" w:tentative="0">
      <w:start w:val="1"/>
      <w:numFmt w:val="bullet"/>
      <w:lvlText w:val=""/>
      <w:lvlJc w:val="left"/>
      <w:pPr>
        <w:ind w:left="2320" w:hanging="420"/>
      </w:pPr>
      <w:rPr>
        <w:rFonts w:hint="default" w:ascii="Wingdings" w:hAnsi="Wingdings"/>
      </w:rPr>
    </w:lvl>
    <w:lvl w:ilvl="4" w:tentative="0">
      <w:start w:val="1"/>
      <w:numFmt w:val="bullet"/>
      <w:lvlText w:val=""/>
      <w:lvlJc w:val="left"/>
      <w:pPr>
        <w:ind w:left="2740" w:hanging="420"/>
      </w:pPr>
      <w:rPr>
        <w:rFonts w:hint="default" w:ascii="Wingdings" w:hAnsi="Wingdings"/>
      </w:rPr>
    </w:lvl>
    <w:lvl w:ilvl="5" w:tentative="0">
      <w:start w:val="1"/>
      <w:numFmt w:val="bullet"/>
      <w:lvlText w:val=""/>
      <w:lvlJc w:val="left"/>
      <w:pPr>
        <w:ind w:left="3160" w:hanging="420"/>
      </w:pPr>
      <w:rPr>
        <w:rFonts w:hint="default" w:ascii="Wingdings" w:hAnsi="Wingdings"/>
      </w:rPr>
    </w:lvl>
    <w:lvl w:ilvl="6" w:tentative="0">
      <w:start w:val="1"/>
      <w:numFmt w:val="bullet"/>
      <w:lvlText w:val=""/>
      <w:lvlJc w:val="left"/>
      <w:pPr>
        <w:ind w:left="3580" w:hanging="420"/>
      </w:pPr>
      <w:rPr>
        <w:rFonts w:hint="default" w:ascii="Wingdings" w:hAnsi="Wingdings"/>
      </w:rPr>
    </w:lvl>
    <w:lvl w:ilvl="7" w:tentative="0">
      <w:start w:val="1"/>
      <w:numFmt w:val="bullet"/>
      <w:lvlText w:val=""/>
      <w:lvlJc w:val="left"/>
      <w:pPr>
        <w:ind w:left="4000" w:hanging="420"/>
      </w:pPr>
      <w:rPr>
        <w:rFonts w:hint="default" w:ascii="Wingdings" w:hAnsi="Wingdings"/>
      </w:rPr>
    </w:lvl>
    <w:lvl w:ilvl="8" w:tentative="0">
      <w:start w:val="1"/>
      <w:numFmt w:val="bullet"/>
      <w:lvlText w:val=""/>
      <w:lvlJc w:val="left"/>
      <w:pPr>
        <w:ind w:left="4420" w:hanging="420"/>
      </w:pPr>
      <w:rPr>
        <w:rFonts w:hint="default" w:ascii="Wingdings" w:hAnsi="Wingdings"/>
      </w:rPr>
    </w:lvl>
  </w:abstractNum>
  <w:abstractNum w:abstractNumId="39">
    <w:nsid w:val="5D832ABC"/>
    <w:multiLevelType w:val="multilevel"/>
    <w:tmpl w:val="5D832ABC"/>
    <w:lvl w:ilvl="0" w:tentative="0">
      <w:start w:val="8"/>
      <w:numFmt w:val="decimal"/>
      <w:suff w:val="space"/>
      <w:lvlText w:val="%1."/>
      <w:lvlJc w:val="left"/>
      <w:pPr>
        <w:ind w:left="0" w:firstLine="0"/>
      </w:pPr>
      <w:rPr>
        <w:rFonts w:hint="default" w:ascii="Times New Roman" w:hAnsi="Times New Roman" w:eastAsia="仿宋_GB2312"/>
        <w:b w:val="0"/>
        <w:i w:val="0"/>
        <w:sz w:val="32"/>
        <w:szCs w:val="40"/>
      </w:rPr>
    </w:lvl>
    <w:lvl w:ilvl="1" w:tentative="0">
      <w:start w:val="1"/>
      <w:numFmt w:val="decimal"/>
      <w:lvlRestart w:val="0"/>
      <w:suff w:val="space"/>
      <w:lvlText w:val="%1.%2"/>
      <w:lvlJc w:val="left"/>
      <w:pPr>
        <w:ind w:left="0" w:firstLine="0"/>
      </w:pPr>
      <w:rPr>
        <w:rFonts w:hint="eastAsia"/>
        <w:color w:val="auto"/>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0">
    <w:nsid w:val="64BC4A00"/>
    <w:multiLevelType w:val="multilevel"/>
    <w:tmpl w:val="64BC4A00"/>
    <w:lvl w:ilvl="0" w:tentative="0">
      <w:start w:val="1"/>
      <w:numFmt w:val="decimal"/>
      <w:suff w:val="nothing"/>
      <w:lvlText w:val="（%1）"/>
      <w:lvlJc w:val="left"/>
      <w:pPr>
        <w:ind w:left="1060" w:hanging="420"/>
      </w:pPr>
      <w:rPr>
        <w:rFonts w:hint="default" w:ascii="Times New Roman" w:hAnsi="Times New Roman" w:eastAsia="仿宋_GB2312"/>
        <w:b w:val="0"/>
        <w:i w:val="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1">
    <w:nsid w:val="71634362"/>
    <w:multiLevelType w:val="multilevel"/>
    <w:tmpl w:val="71634362"/>
    <w:lvl w:ilvl="0" w:tentative="0">
      <w:start w:val="1"/>
      <w:numFmt w:val="decimal"/>
      <w:suff w:val="space"/>
      <w:lvlText w:val="%1."/>
      <w:lvlJc w:val="left"/>
      <w:pPr>
        <w:ind w:left="1060" w:hanging="420"/>
      </w:pPr>
      <w:rPr>
        <w:rFonts w:hint="default" w:ascii="Times New Roman" w:hAnsi="Times New Roman" w:cs="Times New Roman"/>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2">
    <w:nsid w:val="75800003"/>
    <w:multiLevelType w:val="multilevel"/>
    <w:tmpl w:val="75800003"/>
    <w:lvl w:ilvl="0" w:tentative="0">
      <w:start w:val="1"/>
      <w:numFmt w:val="decimal"/>
      <w:suff w:val="space"/>
      <w:lvlText w:val="%1."/>
      <w:lvlJc w:val="left"/>
      <w:pPr>
        <w:ind w:left="1063" w:hanging="420"/>
      </w:pPr>
      <w:rPr>
        <w:rFonts w:hint="eastAsia"/>
        <w:sz w:val="32"/>
        <w:szCs w:val="40"/>
      </w:rPr>
    </w:lvl>
    <w:lvl w:ilvl="1" w:tentative="0">
      <w:start w:val="1"/>
      <w:numFmt w:val="decimal"/>
      <w:lvlText w:val="%1.%2"/>
      <w:lvlJc w:val="left"/>
      <w:pPr>
        <w:ind w:left="1483" w:hanging="420"/>
      </w:pPr>
      <w:rPr>
        <w:rFonts w:hint="eastAsia"/>
      </w:rPr>
    </w:lvl>
    <w:lvl w:ilvl="2" w:tentative="0">
      <w:start w:val="1"/>
      <w:numFmt w:val="lowerRoman"/>
      <w:lvlText w:val="%3."/>
      <w:lvlJc w:val="right"/>
      <w:pPr>
        <w:ind w:left="1903" w:hanging="420"/>
      </w:pPr>
      <w:rPr>
        <w:rFonts w:hint="eastAsia"/>
      </w:rPr>
    </w:lvl>
    <w:lvl w:ilvl="3" w:tentative="0">
      <w:start w:val="1"/>
      <w:numFmt w:val="decimal"/>
      <w:lvlText w:val="%4."/>
      <w:lvlJc w:val="left"/>
      <w:pPr>
        <w:ind w:left="2323" w:hanging="420"/>
      </w:pPr>
      <w:rPr>
        <w:rFonts w:hint="eastAsia"/>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abstractNum w:abstractNumId="43">
    <w:nsid w:val="77750295"/>
    <w:multiLevelType w:val="multilevel"/>
    <w:tmpl w:val="77750295"/>
    <w:lvl w:ilvl="0" w:tentative="0">
      <w:start w:val="1"/>
      <w:numFmt w:val="decimal"/>
      <w:suff w:val="nothing"/>
      <w:lvlText w:val="（%1）"/>
      <w:lvlJc w:val="left"/>
      <w:pPr>
        <w:ind w:left="2971" w:hanging="420"/>
      </w:pPr>
      <w:rPr>
        <w:rFonts w:hint="default" w:ascii="Times New Roman" w:hAnsi="Times New Roman" w:eastAsia="仿宋_GB2312"/>
        <w:b w:val="0"/>
        <w:i w:val="0"/>
      </w:rPr>
    </w:lvl>
    <w:lvl w:ilvl="1" w:tentative="0">
      <w:start w:val="1"/>
      <w:numFmt w:val="lowerLetter"/>
      <w:lvlText w:val="%2)"/>
      <w:lvlJc w:val="left"/>
      <w:pPr>
        <w:ind w:left="2751" w:hanging="420"/>
      </w:pPr>
      <w:rPr>
        <w:rFonts w:hint="eastAsia"/>
      </w:rPr>
    </w:lvl>
    <w:lvl w:ilvl="2" w:tentative="0">
      <w:start w:val="1"/>
      <w:numFmt w:val="lowerRoman"/>
      <w:lvlText w:val="%3."/>
      <w:lvlJc w:val="right"/>
      <w:pPr>
        <w:ind w:left="3171" w:hanging="420"/>
      </w:pPr>
      <w:rPr>
        <w:rFonts w:hint="eastAsia"/>
      </w:rPr>
    </w:lvl>
    <w:lvl w:ilvl="3" w:tentative="0">
      <w:start w:val="1"/>
      <w:numFmt w:val="decimal"/>
      <w:lvlText w:val="%4."/>
      <w:lvlJc w:val="left"/>
      <w:pPr>
        <w:ind w:left="3591" w:hanging="420"/>
      </w:pPr>
      <w:rPr>
        <w:rFonts w:hint="eastAsia"/>
      </w:rPr>
    </w:lvl>
    <w:lvl w:ilvl="4" w:tentative="0">
      <w:start w:val="1"/>
      <w:numFmt w:val="lowerLetter"/>
      <w:lvlText w:val="%5)"/>
      <w:lvlJc w:val="left"/>
      <w:pPr>
        <w:ind w:left="4011" w:hanging="420"/>
      </w:pPr>
      <w:rPr>
        <w:rFonts w:hint="eastAsia"/>
      </w:rPr>
    </w:lvl>
    <w:lvl w:ilvl="5" w:tentative="0">
      <w:start w:val="1"/>
      <w:numFmt w:val="lowerRoman"/>
      <w:lvlText w:val="%6."/>
      <w:lvlJc w:val="right"/>
      <w:pPr>
        <w:ind w:left="4431" w:hanging="420"/>
      </w:pPr>
      <w:rPr>
        <w:rFonts w:hint="eastAsia"/>
      </w:rPr>
    </w:lvl>
    <w:lvl w:ilvl="6" w:tentative="0">
      <w:start w:val="1"/>
      <w:numFmt w:val="decimal"/>
      <w:lvlText w:val="%7."/>
      <w:lvlJc w:val="left"/>
      <w:pPr>
        <w:ind w:left="4851" w:hanging="420"/>
      </w:pPr>
      <w:rPr>
        <w:rFonts w:hint="eastAsia"/>
      </w:rPr>
    </w:lvl>
    <w:lvl w:ilvl="7" w:tentative="0">
      <w:start w:val="1"/>
      <w:numFmt w:val="lowerLetter"/>
      <w:lvlText w:val="%8)"/>
      <w:lvlJc w:val="left"/>
      <w:pPr>
        <w:ind w:left="5271" w:hanging="420"/>
      </w:pPr>
      <w:rPr>
        <w:rFonts w:hint="eastAsia"/>
      </w:rPr>
    </w:lvl>
    <w:lvl w:ilvl="8" w:tentative="0">
      <w:start w:val="1"/>
      <w:numFmt w:val="lowerRoman"/>
      <w:lvlText w:val="%9."/>
      <w:lvlJc w:val="right"/>
      <w:pPr>
        <w:ind w:left="5691" w:hanging="420"/>
      </w:pPr>
      <w:rPr>
        <w:rFonts w:hint="eastAsia"/>
      </w:rPr>
    </w:lvl>
  </w:abstractNum>
  <w:abstractNum w:abstractNumId="44">
    <w:nsid w:val="78035E29"/>
    <w:multiLevelType w:val="multilevel"/>
    <w:tmpl w:val="78035E29"/>
    <w:lvl w:ilvl="0" w:tentative="0">
      <w:start w:val="1"/>
      <w:numFmt w:val="decimal"/>
      <w:suff w:val="space"/>
      <w:lvlText w:val="%1."/>
      <w:lvlJc w:val="left"/>
      <w:pPr>
        <w:ind w:left="1060" w:hanging="420"/>
      </w:pPr>
      <w:rPr>
        <w:rFonts w:hint="default" w:ascii="Times New Roman" w:hAnsi="Times New Roman" w:cs="Times New Roman"/>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5">
    <w:nsid w:val="7F15230A"/>
    <w:multiLevelType w:val="multilevel"/>
    <w:tmpl w:val="7F15230A"/>
    <w:lvl w:ilvl="0" w:tentative="0">
      <w:start w:val="1"/>
      <w:numFmt w:val="decimal"/>
      <w:suff w:val="nothing"/>
      <w:lvlText w:val="（%1）"/>
      <w:lvlJc w:val="left"/>
      <w:pPr>
        <w:ind w:left="1060" w:hanging="420"/>
      </w:pPr>
      <w:rPr>
        <w:rFonts w:hint="default" w:ascii="Times New Roman" w:hAnsi="Times New Roman" w:eastAsia="仿宋_GB2312"/>
        <w:b w:val="0"/>
        <w:i w:val="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6">
    <w:nsid w:val="7F3B4DA8"/>
    <w:multiLevelType w:val="multilevel"/>
    <w:tmpl w:val="7F3B4DA8"/>
    <w:lvl w:ilvl="0" w:tentative="0">
      <w:start w:val="1"/>
      <w:numFmt w:val="chineseCountingThousand"/>
      <w:suff w:val="nothing"/>
      <w:lvlText w:val="（%1）"/>
      <w:lvlJc w:val="left"/>
      <w:pPr>
        <w:ind w:left="1060" w:hanging="420"/>
      </w:pPr>
      <w:rPr>
        <w:rFonts w:hint="eastAsia" w:eastAsia="楷体_GB2312"/>
        <w:b w:val="0"/>
        <w:bC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0"/>
  </w:num>
  <w:num w:numId="2">
    <w:abstractNumId w:val="24"/>
  </w:num>
  <w:num w:numId="3">
    <w:abstractNumId w:val="21"/>
  </w:num>
  <w:num w:numId="4">
    <w:abstractNumId w:val="12"/>
  </w:num>
  <w:num w:numId="5">
    <w:abstractNumId w:val="25"/>
  </w:num>
  <w:num w:numId="6">
    <w:abstractNumId w:val="22"/>
  </w:num>
  <w:num w:numId="7">
    <w:abstractNumId w:val="15"/>
  </w:num>
  <w:num w:numId="8">
    <w:abstractNumId w:val="6"/>
  </w:num>
  <w:num w:numId="9">
    <w:abstractNumId w:val="23"/>
  </w:num>
  <w:num w:numId="10">
    <w:abstractNumId w:val="20"/>
  </w:num>
  <w:num w:numId="11">
    <w:abstractNumId w:val="13"/>
  </w:num>
  <w:num w:numId="12">
    <w:abstractNumId w:val="16"/>
  </w:num>
  <w:num w:numId="13">
    <w:abstractNumId w:val="3"/>
  </w:num>
  <w:num w:numId="14">
    <w:abstractNumId w:val="38"/>
  </w:num>
  <w:num w:numId="15">
    <w:abstractNumId w:val="37"/>
  </w:num>
  <w:num w:numId="16">
    <w:abstractNumId w:val="35"/>
  </w:num>
  <w:num w:numId="17">
    <w:abstractNumId w:val="11"/>
  </w:num>
  <w:num w:numId="18">
    <w:abstractNumId w:val="18"/>
  </w:num>
  <w:num w:numId="19">
    <w:abstractNumId w:val="39"/>
  </w:num>
  <w:num w:numId="20">
    <w:abstractNumId w:val="36"/>
  </w:num>
  <w:num w:numId="21">
    <w:abstractNumId w:val="34"/>
  </w:num>
  <w:num w:numId="22">
    <w:abstractNumId w:val="42"/>
  </w:num>
  <w:num w:numId="23">
    <w:abstractNumId w:val="9"/>
  </w:num>
  <w:num w:numId="24">
    <w:abstractNumId w:val="28"/>
  </w:num>
  <w:num w:numId="25">
    <w:abstractNumId w:val="4"/>
  </w:num>
  <w:num w:numId="26">
    <w:abstractNumId w:val="8"/>
  </w:num>
  <w:num w:numId="27">
    <w:abstractNumId w:val="26"/>
  </w:num>
  <w:num w:numId="28">
    <w:abstractNumId w:val="1"/>
  </w:num>
  <w:num w:numId="29">
    <w:abstractNumId w:val="33"/>
  </w:num>
  <w:num w:numId="30">
    <w:abstractNumId w:val="27"/>
  </w:num>
  <w:num w:numId="31">
    <w:abstractNumId w:val="10"/>
  </w:num>
  <w:num w:numId="32">
    <w:abstractNumId w:val="31"/>
  </w:num>
  <w:num w:numId="33">
    <w:abstractNumId w:val="5"/>
  </w:num>
  <w:num w:numId="34">
    <w:abstractNumId w:val="29"/>
  </w:num>
  <w:num w:numId="35">
    <w:abstractNumId w:val="19"/>
  </w:num>
  <w:num w:numId="36">
    <w:abstractNumId w:val="46"/>
  </w:num>
  <w:num w:numId="37">
    <w:abstractNumId w:val="41"/>
  </w:num>
  <w:num w:numId="38">
    <w:abstractNumId w:val="14"/>
  </w:num>
  <w:num w:numId="39">
    <w:abstractNumId w:val="7"/>
  </w:num>
  <w:num w:numId="40">
    <w:abstractNumId w:val="2"/>
  </w:num>
  <w:num w:numId="41">
    <w:abstractNumId w:val="0"/>
  </w:num>
  <w:num w:numId="42">
    <w:abstractNumId w:val="43"/>
  </w:num>
  <w:num w:numId="43">
    <w:abstractNumId w:val="32"/>
  </w:num>
  <w:num w:numId="44">
    <w:abstractNumId w:val="17"/>
  </w:num>
  <w:num w:numId="45">
    <w:abstractNumId w:val="45"/>
  </w:num>
  <w:num w:numId="46">
    <w:abstractNumId w:val="44"/>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removePersonalInformation/>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000000"/>
    <w:rsid w:val="0F7677DC"/>
    <w:rsid w:val="1FF986F8"/>
    <w:rsid w:val="21DB6C68"/>
    <w:rsid w:val="2DC3E5A6"/>
    <w:rsid w:val="4BBFB9D1"/>
    <w:rsid w:val="5BD773B4"/>
    <w:rsid w:val="5EF5514C"/>
    <w:rsid w:val="6F371AD8"/>
    <w:rsid w:val="6FAE8EE1"/>
    <w:rsid w:val="6FE790F7"/>
    <w:rsid w:val="77A69C30"/>
    <w:rsid w:val="78FFD6CC"/>
    <w:rsid w:val="7D24E261"/>
    <w:rsid w:val="7DBB7222"/>
    <w:rsid w:val="7DF3C3CB"/>
    <w:rsid w:val="7DFBE9B9"/>
    <w:rsid w:val="7DFEFC51"/>
    <w:rsid w:val="7EF7C088"/>
    <w:rsid w:val="7EFE7F94"/>
    <w:rsid w:val="7F7FBF70"/>
    <w:rsid w:val="9DC65DB7"/>
    <w:rsid w:val="9FEE6545"/>
    <w:rsid w:val="DBD78698"/>
    <w:rsid w:val="DCD5E821"/>
    <w:rsid w:val="E5DD2A73"/>
    <w:rsid w:val="EEF353A2"/>
    <w:rsid w:val="F35DBC97"/>
    <w:rsid w:val="F797B4CC"/>
    <w:rsid w:val="FFD3CAA3"/>
    <w:rsid w:val="FFF7FB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keepLines/>
      <w:autoSpaceDE w:val="0"/>
      <w:autoSpaceDN w:val="0"/>
      <w:adjustRightInd w:val="0"/>
      <w:spacing w:before="340" w:after="330" w:line="578" w:lineRule="auto"/>
      <w:jc w:val="left"/>
      <w:outlineLvl w:val="0"/>
    </w:pPr>
    <w:rPr>
      <w:rFonts w:ascii="tim" w:hAnsi="tim" w:cs="Arial"/>
      <w:b/>
      <w:bCs/>
      <w:kern w:val="44"/>
      <w:sz w:val="44"/>
      <w:szCs w:val="44"/>
    </w:rPr>
  </w:style>
  <w:style w:type="paragraph" w:styleId="3">
    <w:name w:val="heading 2"/>
    <w:basedOn w:val="1"/>
    <w:next w:val="1"/>
    <w:link w:val="30"/>
    <w:qFormat/>
    <w:uiPriority w:val="0"/>
    <w:pPr>
      <w:keepNext/>
      <w:keepLines/>
      <w:autoSpaceDE w:val="0"/>
      <w:autoSpaceDN w:val="0"/>
      <w:adjustRightInd w:val="0"/>
      <w:spacing w:before="260" w:after="260" w:line="416" w:lineRule="auto"/>
      <w:jc w:val="left"/>
      <w:outlineLvl w:val="1"/>
    </w:pPr>
    <w:rPr>
      <w:rFonts w:ascii="Arial" w:hAnsi="Arial" w:eastAsia="黑体" w:cs="宋体"/>
      <w:b/>
      <w:bCs/>
      <w:kern w:val="0"/>
      <w:sz w:val="32"/>
      <w:szCs w:val="32"/>
    </w:rPr>
  </w:style>
  <w:style w:type="paragraph" w:styleId="4">
    <w:name w:val="heading 3"/>
    <w:basedOn w:val="1"/>
    <w:next w:val="1"/>
    <w:link w:val="31"/>
    <w:qFormat/>
    <w:uiPriority w:val="0"/>
    <w:pPr>
      <w:keepNext/>
      <w:keepLines/>
      <w:autoSpaceDE w:val="0"/>
      <w:autoSpaceDN w:val="0"/>
      <w:adjustRightInd w:val="0"/>
      <w:spacing w:before="260" w:after="260" w:line="416" w:lineRule="auto"/>
      <w:jc w:val="left"/>
      <w:outlineLvl w:val="2"/>
    </w:pPr>
    <w:rPr>
      <w:rFonts w:ascii="tim" w:hAnsi="tim" w:cs="Arial"/>
      <w:b/>
      <w:bCs/>
      <w:kern w:val="0"/>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2"/>
    <w:unhideWhenUsed/>
    <w:qFormat/>
    <w:uiPriority w:val="0"/>
    <w:pPr>
      <w:autoSpaceDE w:val="0"/>
      <w:autoSpaceDN w:val="0"/>
      <w:adjustRightInd w:val="0"/>
      <w:jc w:val="left"/>
    </w:pPr>
    <w:rPr>
      <w:rFonts w:ascii="tim" w:hAnsi="tim" w:cs="Arial"/>
      <w:kern w:val="0"/>
      <w:sz w:val="20"/>
      <w:szCs w:val="20"/>
    </w:rPr>
  </w:style>
  <w:style w:type="paragraph" w:styleId="6">
    <w:name w:val="Body Text"/>
    <w:basedOn w:val="1"/>
    <w:link w:val="34"/>
    <w:qFormat/>
    <w:uiPriority w:val="0"/>
    <w:pPr>
      <w:autoSpaceDE w:val="0"/>
      <w:autoSpaceDN w:val="0"/>
      <w:jc w:val="left"/>
    </w:pPr>
    <w:rPr>
      <w:rFonts w:ascii="宋体" w:hAnsi="宋体" w:cs="宋体"/>
      <w:kern w:val="0"/>
      <w:sz w:val="24"/>
      <w:lang w:eastAsia="en-US"/>
    </w:rPr>
  </w:style>
  <w:style w:type="paragraph" w:styleId="7">
    <w:name w:val="Date"/>
    <w:basedOn w:val="1"/>
    <w:next w:val="1"/>
    <w:link w:val="37"/>
    <w:qFormat/>
    <w:uiPriority w:val="0"/>
    <w:pPr>
      <w:autoSpaceDE w:val="0"/>
      <w:autoSpaceDN w:val="0"/>
      <w:adjustRightInd w:val="0"/>
      <w:ind w:left="100" w:leftChars="2500"/>
      <w:jc w:val="left"/>
    </w:pPr>
    <w:rPr>
      <w:rFonts w:ascii="tim" w:hAnsi="tim" w:cs="Arial"/>
      <w:kern w:val="0"/>
      <w:sz w:val="20"/>
      <w:szCs w:val="20"/>
    </w:rPr>
  </w:style>
  <w:style w:type="paragraph" w:styleId="8">
    <w:name w:val="Balloon Text"/>
    <w:basedOn w:val="1"/>
    <w:link w:val="41"/>
    <w:qFormat/>
    <w:uiPriority w:val="99"/>
    <w:pPr>
      <w:autoSpaceDE w:val="0"/>
      <w:autoSpaceDN w:val="0"/>
      <w:adjustRightInd w:val="0"/>
      <w:jc w:val="left"/>
    </w:pPr>
    <w:rPr>
      <w:rFonts w:ascii="tim" w:hAnsi="tim" w:cs="Arial"/>
      <w:kern w:val="0"/>
      <w:sz w:val="18"/>
      <w:szCs w:val="18"/>
    </w:rPr>
  </w:style>
  <w:style w:type="paragraph" w:styleId="9">
    <w:name w:val="footer"/>
    <w:basedOn w:val="1"/>
    <w:link w:val="25"/>
    <w:unhideWhenUsed/>
    <w:qFormat/>
    <w:uiPriority w:val="0"/>
    <w:pPr>
      <w:tabs>
        <w:tab w:val="center" w:pos="4153"/>
        <w:tab w:val="right" w:pos="8306"/>
      </w:tabs>
      <w:snapToGrid w:val="0"/>
      <w:jc w:val="left"/>
    </w:pPr>
    <w:rPr>
      <w:sz w:val="18"/>
      <w:szCs w:val="18"/>
    </w:rPr>
  </w:style>
  <w:style w:type="paragraph" w:styleId="10">
    <w:name w:val="header"/>
    <w:basedOn w:val="1"/>
    <w:next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99"/>
    <w:pPr>
      <w:autoSpaceDE w:val="0"/>
      <w:autoSpaceDN w:val="0"/>
      <w:adjustRightInd w:val="0"/>
      <w:ind w:left="300" w:hanging="300" w:hangingChars="300"/>
      <w:jc w:val="left"/>
    </w:pPr>
    <w:rPr>
      <w:rFonts w:ascii="tim" w:hAnsi="tim" w:cs="Arial"/>
      <w:kern w:val="0"/>
      <w:szCs w:val="20"/>
    </w:rPr>
  </w:style>
  <w:style w:type="paragraph" w:styleId="12">
    <w:name w:val="footnote text"/>
    <w:basedOn w:val="1"/>
    <w:link w:val="26"/>
    <w:unhideWhenUsed/>
    <w:qFormat/>
    <w:uiPriority w:val="0"/>
    <w:pPr>
      <w:snapToGrid w:val="0"/>
      <w:jc w:val="left"/>
    </w:pPr>
    <w:rPr>
      <w:sz w:val="18"/>
    </w:rPr>
  </w:style>
  <w:style w:type="paragraph" w:styleId="13">
    <w:name w:val="toc 2"/>
    <w:basedOn w:val="1"/>
    <w:next w:val="1"/>
    <w:autoRedefine/>
    <w:qFormat/>
    <w:uiPriority w:val="39"/>
    <w:pPr>
      <w:autoSpaceDE w:val="0"/>
      <w:autoSpaceDN w:val="0"/>
      <w:adjustRightInd w:val="0"/>
      <w:ind w:left="300" w:leftChars="100" w:hanging="200" w:hangingChars="200"/>
    </w:pPr>
    <w:rPr>
      <w:rFonts w:ascii="tim" w:hAnsi="tim" w:cs="Arial"/>
      <w:kern w:val="0"/>
      <w:szCs w:val="20"/>
    </w:rPr>
  </w:style>
  <w:style w:type="paragraph" w:styleId="14">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5">
    <w:name w:val="annotation subject"/>
    <w:basedOn w:val="5"/>
    <w:next w:val="5"/>
    <w:link w:val="44"/>
    <w:semiHidden/>
    <w:unhideWhenUsed/>
    <w:qFormat/>
    <w:uiPriority w:val="0"/>
    <w:rPr>
      <w:b/>
      <w:bCs/>
    </w:rPr>
  </w:style>
  <w:style w:type="table" w:styleId="17">
    <w:name w:val="Table Grid"/>
    <w:basedOn w:val="16"/>
    <w:qFormat/>
    <w:uiPriority w:val="59"/>
    <w:pPr>
      <w:widowControl w:val="0"/>
      <w:autoSpaceDE w:val="0"/>
      <w:autoSpaceDN w:val="0"/>
      <w:adjustRightInd w:val="0"/>
    </w:pPr>
    <w:rPr>
      <w:rFonts w:ascii="宋体" w:hAnsi="宋体" w:eastAsia="宋体" w:cs="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line number"/>
    <w:basedOn w:val="18"/>
    <w:qFormat/>
    <w:uiPriority w:val="0"/>
  </w:style>
  <w:style w:type="character" w:styleId="21">
    <w:name w:val="Hyperlink"/>
    <w:basedOn w:val="18"/>
    <w:qFormat/>
    <w:uiPriority w:val="99"/>
    <w:rPr>
      <w:color w:val="0000FF"/>
      <w:u w:val="single"/>
    </w:rPr>
  </w:style>
  <w:style w:type="character" w:styleId="22">
    <w:name w:val="annotation reference"/>
    <w:basedOn w:val="18"/>
    <w:semiHidden/>
    <w:unhideWhenUsed/>
    <w:qFormat/>
    <w:uiPriority w:val="99"/>
    <w:rPr>
      <w:sz w:val="21"/>
      <w:szCs w:val="21"/>
    </w:rPr>
  </w:style>
  <w:style w:type="character" w:styleId="23">
    <w:name w:val="footnote reference"/>
    <w:unhideWhenUsed/>
    <w:qFormat/>
    <w:uiPriority w:val="0"/>
    <w:rPr>
      <w:vertAlign w:val="superscript"/>
    </w:rPr>
  </w:style>
  <w:style w:type="character" w:customStyle="1" w:styleId="24">
    <w:name w:val="页眉 字符"/>
    <w:basedOn w:val="18"/>
    <w:link w:val="10"/>
    <w:qFormat/>
    <w:uiPriority w:val="0"/>
    <w:rPr>
      <w:sz w:val="18"/>
      <w:szCs w:val="18"/>
    </w:rPr>
  </w:style>
  <w:style w:type="character" w:customStyle="1" w:styleId="25">
    <w:name w:val="页脚 字符"/>
    <w:basedOn w:val="18"/>
    <w:link w:val="9"/>
    <w:uiPriority w:val="0"/>
    <w:rPr>
      <w:sz w:val="18"/>
      <w:szCs w:val="18"/>
    </w:rPr>
  </w:style>
  <w:style w:type="character" w:customStyle="1" w:styleId="26">
    <w:name w:val="脚注文本 字符"/>
    <w:basedOn w:val="18"/>
    <w:link w:val="12"/>
    <w:qFormat/>
    <w:uiPriority w:val="0"/>
    <w:rPr>
      <w:rFonts w:ascii="Times New Roman" w:hAnsi="Times New Roman" w:eastAsia="宋体" w:cs="Times New Roman"/>
      <w:sz w:val="18"/>
      <w:szCs w:val="24"/>
    </w:rPr>
  </w:style>
  <w:style w:type="paragraph" w:customStyle="1" w:styleId="27">
    <w:name w:val="Default"/>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8"/>
    <w:link w:val="2"/>
    <w:qFormat/>
    <w:uiPriority w:val="0"/>
    <w:rPr>
      <w:rFonts w:ascii="tim" w:hAnsi="tim" w:eastAsia="宋体" w:cs="Arial"/>
      <w:b/>
      <w:bCs/>
      <w:kern w:val="44"/>
      <w:sz w:val="44"/>
      <w:szCs w:val="44"/>
    </w:rPr>
  </w:style>
  <w:style w:type="character" w:customStyle="1" w:styleId="30">
    <w:name w:val="标题 2 字符"/>
    <w:basedOn w:val="18"/>
    <w:link w:val="3"/>
    <w:qFormat/>
    <w:uiPriority w:val="0"/>
    <w:rPr>
      <w:rFonts w:ascii="Arial" w:hAnsi="Arial" w:eastAsia="黑体" w:cs="宋体"/>
      <w:b/>
      <w:bCs/>
      <w:kern w:val="0"/>
      <w:sz w:val="32"/>
      <w:szCs w:val="32"/>
    </w:rPr>
  </w:style>
  <w:style w:type="character" w:customStyle="1" w:styleId="31">
    <w:name w:val="标题 3 字符"/>
    <w:basedOn w:val="18"/>
    <w:link w:val="4"/>
    <w:qFormat/>
    <w:uiPriority w:val="0"/>
    <w:rPr>
      <w:rFonts w:ascii="tim" w:hAnsi="tim" w:eastAsia="宋体" w:cs="Arial"/>
      <w:b/>
      <w:bCs/>
      <w:kern w:val="0"/>
      <w:sz w:val="32"/>
      <w:szCs w:val="32"/>
    </w:rPr>
  </w:style>
  <w:style w:type="character" w:customStyle="1" w:styleId="32">
    <w:name w:val="正文文本 (2)"/>
    <w:qFormat/>
    <w:uiPriority w:val="0"/>
    <w:rPr>
      <w:rFonts w:ascii="Franklin Gothic Demi Cond" w:hAnsi="Franklin Gothic Demi Cond"/>
      <w:color w:val="FFFFFF"/>
      <w:spacing w:val="50"/>
      <w:w w:val="100"/>
      <w:position w:val="0"/>
      <w:sz w:val="34"/>
      <w:u w:val="none"/>
    </w:rPr>
  </w:style>
  <w:style w:type="character" w:customStyle="1" w:styleId="33">
    <w:name w:val="正文文本 (2) + SimHei"/>
    <w:qFormat/>
    <w:uiPriority w:val="0"/>
    <w:rPr>
      <w:rFonts w:ascii="黑体" w:hAnsi="黑体" w:eastAsia="黑体"/>
      <w:color w:val="FFFFFF"/>
      <w:spacing w:val="-30"/>
      <w:w w:val="100"/>
      <w:position w:val="0"/>
      <w:sz w:val="30"/>
      <w:u w:val="none"/>
    </w:rPr>
  </w:style>
  <w:style w:type="character" w:customStyle="1" w:styleId="34">
    <w:name w:val="正文文本 字符"/>
    <w:basedOn w:val="18"/>
    <w:link w:val="6"/>
    <w:qFormat/>
    <w:uiPriority w:val="0"/>
    <w:rPr>
      <w:rFonts w:ascii="宋体" w:hAnsi="宋体" w:eastAsia="宋体" w:cs="宋体"/>
      <w:kern w:val="0"/>
      <w:sz w:val="24"/>
      <w:szCs w:val="24"/>
      <w:lang w:eastAsia="en-US"/>
    </w:rPr>
  </w:style>
  <w:style w:type="paragraph" w:customStyle="1" w:styleId="35">
    <w:name w:val="列出段落1"/>
    <w:basedOn w:val="1"/>
    <w:qFormat/>
    <w:uiPriority w:val="0"/>
    <w:pPr>
      <w:autoSpaceDE w:val="0"/>
      <w:autoSpaceDN w:val="0"/>
      <w:ind w:left="829" w:hanging="360"/>
      <w:jc w:val="left"/>
    </w:pPr>
    <w:rPr>
      <w:rFonts w:ascii="宋体" w:hAnsi="宋体" w:cs="宋体"/>
      <w:kern w:val="0"/>
      <w:sz w:val="22"/>
      <w:szCs w:val="22"/>
      <w:lang w:eastAsia="en-US"/>
    </w:rPr>
  </w:style>
  <w:style w:type="paragraph" w:customStyle="1" w:styleId="36">
    <w:name w:val="Table Paragraph"/>
    <w:basedOn w:val="1"/>
    <w:qFormat/>
    <w:uiPriority w:val="0"/>
    <w:pPr>
      <w:autoSpaceDE w:val="0"/>
      <w:autoSpaceDN w:val="0"/>
      <w:ind w:left="115"/>
      <w:jc w:val="left"/>
    </w:pPr>
    <w:rPr>
      <w:rFonts w:ascii="宋体" w:hAnsi="宋体" w:cs="宋体"/>
      <w:kern w:val="0"/>
      <w:sz w:val="22"/>
      <w:szCs w:val="22"/>
      <w:lang w:eastAsia="en-US"/>
    </w:rPr>
  </w:style>
  <w:style w:type="character" w:customStyle="1" w:styleId="37">
    <w:name w:val="日期 字符"/>
    <w:basedOn w:val="18"/>
    <w:link w:val="7"/>
    <w:qFormat/>
    <w:uiPriority w:val="0"/>
    <w:rPr>
      <w:rFonts w:ascii="tim" w:hAnsi="tim" w:eastAsia="宋体" w:cs="Arial"/>
      <w:kern w:val="0"/>
      <w:sz w:val="20"/>
      <w:szCs w:val="20"/>
    </w:rPr>
  </w:style>
  <w:style w:type="paragraph" w:customStyle="1" w:styleId="38">
    <w:name w:val="11"/>
    <w:basedOn w:val="1"/>
    <w:link w:val="39"/>
    <w:qFormat/>
    <w:uiPriority w:val="0"/>
    <w:pPr>
      <w:autoSpaceDE w:val="0"/>
      <w:autoSpaceDN w:val="0"/>
      <w:adjustRightInd w:val="0"/>
      <w:spacing w:beforeLines="100" w:afterLines="50"/>
    </w:pPr>
    <w:rPr>
      <w:rFonts w:ascii="宋体" w:hAnsi="宋体" w:cs="宋体"/>
      <w:b/>
      <w:bCs/>
      <w:color w:val="000000"/>
      <w:kern w:val="0"/>
      <w:sz w:val="30"/>
      <w:szCs w:val="30"/>
    </w:rPr>
  </w:style>
  <w:style w:type="character" w:customStyle="1" w:styleId="39">
    <w:name w:val="11 Char"/>
    <w:basedOn w:val="18"/>
    <w:link w:val="38"/>
    <w:qFormat/>
    <w:uiPriority w:val="0"/>
    <w:rPr>
      <w:rFonts w:ascii="宋体" w:hAnsi="宋体" w:eastAsia="宋体" w:cs="宋体"/>
      <w:b/>
      <w:bCs/>
      <w:color w:val="000000"/>
      <w:kern w:val="0"/>
      <w:sz w:val="30"/>
      <w:szCs w:val="30"/>
    </w:rPr>
  </w:style>
  <w:style w:type="paragraph" w:customStyle="1" w:styleId="40">
    <w:name w:val="12"/>
    <w:basedOn w:val="1"/>
    <w:qFormat/>
    <w:uiPriority w:val="0"/>
    <w:pPr>
      <w:autoSpaceDE w:val="0"/>
      <w:autoSpaceDN w:val="0"/>
      <w:adjustRightInd w:val="0"/>
      <w:spacing w:beforeLines="100" w:afterLines="50"/>
      <w:ind w:left="600" w:leftChars="300"/>
    </w:pPr>
    <w:rPr>
      <w:rFonts w:ascii="宋体" w:hAnsi="宋体" w:cs="宋体"/>
      <w:b/>
      <w:bCs/>
      <w:color w:val="000000"/>
      <w:kern w:val="0"/>
      <w:sz w:val="28"/>
      <w:szCs w:val="28"/>
    </w:rPr>
  </w:style>
  <w:style w:type="character" w:customStyle="1" w:styleId="41">
    <w:name w:val="批注框文本 字符"/>
    <w:basedOn w:val="18"/>
    <w:link w:val="8"/>
    <w:qFormat/>
    <w:uiPriority w:val="99"/>
    <w:rPr>
      <w:rFonts w:ascii="tim" w:hAnsi="tim" w:eastAsia="宋体" w:cs="Arial"/>
      <w:kern w:val="0"/>
      <w:sz w:val="18"/>
      <w:szCs w:val="18"/>
    </w:rPr>
  </w:style>
  <w:style w:type="character" w:customStyle="1" w:styleId="42">
    <w:name w:val="批注文字 字符"/>
    <w:basedOn w:val="18"/>
    <w:link w:val="5"/>
    <w:qFormat/>
    <w:uiPriority w:val="0"/>
    <w:rPr>
      <w:rFonts w:ascii="tim" w:hAnsi="tim" w:eastAsia="宋体" w:cs="Arial"/>
      <w:kern w:val="0"/>
      <w:sz w:val="20"/>
      <w:szCs w:val="20"/>
    </w:rPr>
  </w:style>
  <w:style w:type="character" w:customStyle="1" w:styleId="43">
    <w:name w:val="批注文字 字符1"/>
    <w:basedOn w:val="18"/>
    <w:semiHidden/>
    <w:qFormat/>
    <w:uiPriority w:val="99"/>
    <w:rPr>
      <w:rFonts w:ascii="Times New Roman" w:hAnsi="Times New Roman" w:eastAsia="宋体" w:cs="Times New Roman"/>
      <w:szCs w:val="24"/>
    </w:rPr>
  </w:style>
  <w:style w:type="character" w:customStyle="1" w:styleId="44">
    <w:name w:val="批注主题 字符"/>
    <w:basedOn w:val="42"/>
    <w:link w:val="15"/>
    <w:semiHidden/>
    <w:qFormat/>
    <w:uiPriority w:val="0"/>
    <w:rPr>
      <w:rFonts w:ascii="tim" w:hAnsi="tim" w:eastAsia="宋体" w:cs="Arial"/>
      <w:b/>
      <w:bCs/>
      <w:kern w:val="0"/>
      <w:sz w:val="20"/>
      <w:szCs w:val="20"/>
    </w:rPr>
  </w:style>
  <w:style w:type="character" w:customStyle="1" w:styleId="45">
    <w:name w:val="批注主题 字符1"/>
    <w:basedOn w:val="43"/>
    <w:semiHidden/>
    <w:qFormat/>
    <w:uiPriority w:val="99"/>
    <w:rPr>
      <w:rFonts w:ascii="Times New Roman" w:hAnsi="Times New Roman" w:eastAsia="宋体" w:cs="Times New Roman"/>
      <w:b/>
      <w:bCs/>
      <w:szCs w:val="24"/>
    </w:rPr>
  </w:style>
  <w:style w:type="character" w:customStyle="1" w:styleId="46">
    <w:name w:val="页眉 字符1"/>
    <w:basedOn w:val="18"/>
    <w:qFormat/>
    <w:locked/>
    <w:uiPriority w:val="99"/>
    <w:rPr>
      <w:rFonts w:cs="Times New Roman"/>
      <w:sz w:val="18"/>
      <w:szCs w:val="18"/>
      <w:lang w:val="zh-CN"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01A82-426A-4478-9240-A54C183FEE49}">
  <ds:schemaRefs/>
</ds:datastoreItem>
</file>

<file path=docProps/app.xml><?xml version="1.0" encoding="utf-8"?>
<Properties xmlns="http://schemas.openxmlformats.org/officeDocument/2006/extended-properties" xmlns:vt="http://schemas.openxmlformats.org/officeDocument/2006/docPropsVTypes">
  <Template>Normal.dotm</Template>
  <Pages>47</Pages>
  <Words>20336</Words>
  <Characters>21942</Characters>
  <Lines>164</Lines>
  <Paragraphs>46</Paragraphs>
  <TotalTime>0</TotalTime>
  <ScaleCrop>false</ScaleCrop>
  <LinksUpToDate>false</LinksUpToDate>
  <CharactersWithSpaces>22193</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2022-03-19T23:09:00Z</dcterms:created>
  <dcterms:modified xsi:type="dcterms:W3CDTF">2026-09-29T13:53:54Z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57D053F9526CED180DF5BA6ACDE59F41_42</vt:lpwstr>
  </property>
</Properties>
</file>