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BD572">
      <w:pPr>
        <w:tabs>
          <w:tab w:val="left" w:pos="7200"/>
          <w:tab w:val="left" w:pos="7380"/>
          <w:tab w:val="left" w:pos="7560"/>
        </w:tabs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35BD4BC3">
      <w:pPr>
        <w:tabs>
          <w:tab w:val="left" w:pos="7200"/>
          <w:tab w:val="left" w:pos="7380"/>
          <w:tab w:val="left" w:pos="7560"/>
        </w:tabs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63CCABB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医疗器械行业标准废止信息表</w:t>
      </w:r>
    </w:p>
    <w:p w14:paraId="2DD40F3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52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210"/>
        <w:gridCol w:w="3698"/>
        <w:gridCol w:w="2217"/>
      </w:tblGrid>
      <w:tr w14:paraId="473D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61" w:type="pct"/>
            <w:noWrap w:val="0"/>
            <w:vAlign w:val="center"/>
          </w:tcPr>
          <w:p w14:paraId="07CBBF4F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234" w:type="pct"/>
            <w:noWrap w:val="0"/>
            <w:vAlign w:val="center"/>
          </w:tcPr>
          <w:p w14:paraId="5AC4EDCF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标准编号</w:t>
            </w:r>
          </w:p>
        </w:tc>
        <w:tc>
          <w:tcPr>
            <w:tcW w:w="2065" w:type="pct"/>
            <w:noWrap w:val="0"/>
            <w:vAlign w:val="center"/>
          </w:tcPr>
          <w:p w14:paraId="12FD528F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标准名称</w:t>
            </w:r>
          </w:p>
        </w:tc>
        <w:tc>
          <w:tcPr>
            <w:tcW w:w="1238" w:type="pct"/>
            <w:noWrap w:val="0"/>
            <w:vAlign w:val="center"/>
          </w:tcPr>
          <w:p w14:paraId="12B3AC3B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废止日期</w:t>
            </w:r>
          </w:p>
        </w:tc>
      </w:tr>
      <w:tr w14:paraId="7F91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61" w:type="pct"/>
            <w:noWrap w:val="0"/>
            <w:vAlign w:val="center"/>
          </w:tcPr>
          <w:p w14:paraId="4DB1241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234" w:type="pct"/>
            <w:noWrap w:val="0"/>
            <w:vAlign w:val="center"/>
          </w:tcPr>
          <w:p w14:paraId="2642EBB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YY/T </w:t>
            </w:r>
          </w:p>
          <w:p w14:paraId="33CC71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  <w:t>1000.1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2065" w:type="pct"/>
            <w:noWrap w:val="0"/>
            <w:vAlign w:val="center"/>
          </w:tcPr>
          <w:p w14:paraId="70E26E9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医疗器械行业标准的制定 第1部分：阶段划分、代码和程序</w:t>
            </w:r>
          </w:p>
        </w:tc>
        <w:tc>
          <w:tcPr>
            <w:tcW w:w="1238" w:type="pct"/>
            <w:noWrap w:val="0"/>
            <w:vAlign w:val="center"/>
          </w:tcPr>
          <w:p w14:paraId="2FCD4A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自公告发布之日起废止</w:t>
            </w:r>
          </w:p>
        </w:tc>
      </w:tr>
      <w:tr w14:paraId="7BD9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61" w:type="pct"/>
            <w:noWrap w:val="0"/>
            <w:vAlign w:val="center"/>
          </w:tcPr>
          <w:p w14:paraId="7551CCA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234" w:type="pct"/>
            <w:noWrap w:val="0"/>
            <w:vAlign w:val="center"/>
          </w:tcPr>
          <w:p w14:paraId="426A1F3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YY/T </w:t>
            </w:r>
          </w:p>
          <w:p w14:paraId="285BCB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1000.2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2005</w:t>
            </w:r>
          </w:p>
        </w:tc>
        <w:tc>
          <w:tcPr>
            <w:tcW w:w="2065" w:type="pct"/>
            <w:noWrap w:val="0"/>
            <w:vAlign w:val="center"/>
          </w:tcPr>
          <w:p w14:paraId="6BAE42B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医疗器械行业标准的制定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第2部分：工作指南</w:t>
            </w:r>
          </w:p>
        </w:tc>
        <w:tc>
          <w:tcPr>
            <w:tcW w:w="1238" w:type="pct"/>
            <w:noWrap w:val="0"/>
            <w:vAlign w:val="center"/>
          </w:tcPr>
          <w:p w14:paraId="73EB66C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自公告发布之日起废止</w:t>
            </w:r>
          </w:p>
        </w:tc>
      </w:tr>
      <w:tr w14:paraId="3389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61" w:type="pct"/>
            <w:noWrap w:val="0"/>
            <w:vAlign w:val="center"/>
          </w:tcPr>
          <w:p w14:paraId="40B00B4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34" w:type="pct"/>
            <w:noWrap w:val="0"/>
            <w:vAlign w:val="center"/>
          </w:tcPr>
          <w:p w14:paraId="69C76D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YY/T</w:t>
            </w:r>
          </w:p>
          <w:p w14:paraId="5619EF2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0869.1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2016</w:t>
            </w:r>
          </w:p>
        </w:tc>
        <w:tc>
          <w:tcPr>
            <w:tcW w:w="2065" w:type="pct"/>
            <w:noWrap w:val="0"/>
            <w:vAlign w:val="center"/>
          </w:tcPr>
          <w:p w14:paraId="1DF770B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医疗器械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不良事件分级编码结构 第1部分：事件类型编码</w:t>
            </w:r>
          </w:p>
        </w:tc>
        <w:tc>
          <w:tcPr>
            <w:tcW w:w="1238" w:type="pct"/>
            <w:noWrap w:val="0"/>
            <w:vAlign w:val="center"/>
          </w:tcPr>
          <w:p w14:paraId="09884D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自公告发布之日起废止</w:t>
            </w:r>
          </w:p>
        </w:tc>
      </w:tr>
      <w:tr w14:paraId="2BC1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61" w:type="pct"/>
            <w:noWrap w:val="0"/>
            <w:vAlign w:val="center"/>
          </w:tcPr>
          <w:p w14:paraId="4AA1DF6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34" w:type="pct"/>
            <w:noWrap w:val="0"/>
            <w:vAlign w:val="center"/>
          </w:tcPr>
          <w:p w14:paraId="743DECB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YY/T </w:t>
            </w:r>
          </w:p>
          <w:p w14:paraId="1576BB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0869.2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2016</w:t>
            </w:r>
          </w:p>
        </w:tc>
        <w:tc>
          <w:tcPr>
            <w:tcW w:w="2065" w:type="pct"/>
            <w:noWrap w:val="0"/>
            <w:vAlign w:val="center"/>
          </w:tcPr>
          <w:p w14:paraId="6DB77B8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医疗器械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不良事件分级编码结构 第2部分：评价编码</w:t>
            </w:r>
          </w:p>
        </w:tc>
        <w:tc>
          <w:tcPr>
            <w:tcW w:w="1238" w:type="pct"/>
            <w:noWrap w:val="0"/>
            <w:vAlign w:val="center"/>
          </w:tcPr>
          <w:p w14:paraId="5DD390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自公告发布之日起废止</w:t>
            </w:r>
          </w:p>
        </w:tc>
      </w:tr>
      <w:tr w14:paraId="7389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461" w:type="pct"/>
            <w:noWrap w:val="0"/>
            <w:vAlign w:val="center"/>
          </w:tcPr>
          <w:p w14:paraId="7CA7A7C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34" w:type="pct"/>
            <w:noWrap w:val="0"/>
            <w:vAlign w:val="center"/>
          </w:tcPr>
          <w:p w14:paraId="3F68CB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YY/T </w:t>
            </w:r>
          </w:p>
          <w:p w14:paraId="11B7F4B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0467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2016</w:t>
            </w:r>
          </w:p>
        </w:tc>
        <w:tc>
          <w:tcPr>
            <w:tcW w:w="2065" w:type="pct"/>
            <w:noWrap w:val="0"/>
            <w:vAlign w:val="center"/>
          </w:tcPr>
          <w:p w14:paraId="7DD87AC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医疗器械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保障医疗器械安全和性能公认基本原则的标准选用指南</w:t>
            </w:r>
          </w:p>
        </w:tc>
        <w:tc>
          <w:tcPr>
            <w:tcW w:w="1238" w:type="pct"/>
            <w:noWrap w:val="0"/>
            <w:vAlign w:val="center"/>
          </w:tcPr>
          <w:p w14:paraId="17100F0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自公告发布之日起废止</w:t>
            </w:r>
          </w:p>
        </w:tc>
      </w:tr>
    </w:tbl>
    <w:p w14:paraId="411C33C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A36E2"/>
    <w:rsid w:val="77FFE6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279</Characters>
  <Lines>0</Lines>
  <Paragraphs>0</Paragraphs>
  <TotalTime>0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2025-08-29T15:34:19Z</dcterms:created>
  <dc:creator>jiangx</dc:creator>
  <cp:lastModifiedBy>新祺</cp:lastModifiedBy>
  <dcterms:modified xsi:type="dcterms:W3CDTF">2025-09-01T01:11:36Z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089C201AFBEF4FDF8ABD297E1D8A5515_13</vt:lpwstr>
  </property>
</Properties>
</file>