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海南省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vertAlign w:val="baseline"/>
          <w:lang w:val="en-US" w:eastAsia="zh-CN"/>
        </w:rPr>
        <w:t>听力障碍救助干预患儿随访表</w:t>
      </w: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83"/>
        <w:gridCol w:w="639"/>
        <w:gridCol w:w="726"/>
        <w:gridCol w:w="689"/>
        <w:gridCol w:w="241"/>
        <w:gridCol w:w="1097"/>
        <w:gridCol w:w="85"/>
        <w:gridCol w:w="1014"/>
        <w:gridCol w:w="242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50" w:type="dxa"/>
            <w:gridSpan w:val="11"/>
          </w:tcPr>
          <w:p>
            <w:pPr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儿童姓名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分娩医院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法定监护人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病史</w:t>
            </w:r>
          </w:p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既往听力情况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病史：</w:t>
            </w:r>
          </w:p>
          <w:p>
            <w:pPr>
              <w:spacing w:line="360" w:lineRule="exact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听力初筛：</w:t>
            </w:r>
          </w:p>
          <w:p>
            <w:pPr>
              <w:spacing w:line="360" w:lineRule="exact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听力复筛：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听力/言语/救助状况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首次确诊时间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确诊年龄（月）</w:t>
            </w:r>
          </w:p>
        </w:tc>
        <w:tc>
          <w:tcPr>
            <w:tcW w:w="219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救助前听力损失程度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救助前听力及言语</w:t>
            </w:r>
          </w:p>
          <w:p>
            <w:pPr>
              <w:spacing w:line="36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否    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□能</w:t>
            </w:r>
          </w:p>
          <w:p>
            <w:pPr>
              <w:spacing w:line="360" w:lineRule="exact"/>
              <w:ind w:left="3360" w:hanging="3360" w:hangingChars="120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单词 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双音词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词组 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句子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行为测听：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ind w:firstLine="1400" w:firstLineChars="50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救助辅助器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种类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PMingLiU"/>
                <w:sz w:val="28"/>
                <w:szCs w:val="28"/>
              </w:rPr>
            </w:pP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□助听器</w:t>
            </w:r>
            <w:r>
              <w:rPr>
                <w:rFonts w:ascii="PMingLiU" w:eastAsia="宋体"/>
                <w:sz w:val="28"/>
                <w:szCs w:val="28"/>
                <w:lang w:eastAsia="zh-CN"/>
              </w:rPr>
              <w:t>___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PMingLiU" w:eastAsia="宋体"/>
                <w:sz w:val="28"/>
                <w:szCs w:val="28"/>
                <w:lang w:eastAsia="zh-CN"/>
              </w:rPr>
              <w:t>__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耳</w:t>
            </w:r>
            <w:r>
              <w:rPr>
                <w:rFonts w:ascii="PMingLiU" w:eastAsia="宋体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□人工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耳蜗</w:t>
            </w:r>
            <w:r>
              <w:rPr>
                <w:rFonts w:ascii="PMingLiU" w:eastAsia="宋体"/>
                <w:sz w:val="28"/>
                <w:szCs w:val="28"/>
                <w:lang w:eastAsia="zh-CN"/>
              </w:rPr>
              <w:t>______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耳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>品牌/型号：</w:t>
            </w:r>
            <w:r>
              <w:rPr>
                <w:rFonts w:hint="eastAsia" w:ascii="PMingLiU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品牌/型号：</w:t>
            </w:r>
            <w:r>
              <w:rPr>
                <w:rFonts w:hint="eastAsia" w:ascii="PMingLiU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配戴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助听器时间/人工耳蜗植入</w:t>
            </w:r>
            <w:r>
              <w:rPr>
                <w:rFonts w:hint="eastAsia" w:ascii="PMingLiU" w:eastAsia="宋体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言语</w:t>
            </w: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康复情况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目前康复状态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机构康复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□家庭康复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□未接受康复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初次</w:t>
            </w:r>
            <w:r>
              <w:rPr>
                <w:rFonts w:ascii="宋体" w:hAnsi="宋体" w:eastAsia="宋体" w:cs="宋体"/>
                <w:sz w:val="28"/>
                <w:szCs w:val="28"/>
              </w:rPr>
              <w:t>康复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康复频次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康复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机构名称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PMingLiU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救助效果评估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（救助后6个月）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词组 □句子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PMingLiU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行为测听/纯音测听 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9"/>
        <w:gridCol w:w="283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（救助后1年）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词组 □句子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PMingLiU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行为测听/纯音测听 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9"/>
        <w:gridCol w:w="283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（救助后1年半）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词组 □句子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行为测听/纯音测听 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9"/>
        <w:gridCol w:w="283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（救助后2年）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词组 □句子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行为测听/纯音测听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9"/>
        <w:gridCol w:w="283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（救助后2年半）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词组 □句子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行为测听/纯音测听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tbl>
      <w:tblPr>
        <w:tblStyle w:val="3"/>
        <w:tblW w:w="975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639"/>
        <w:gridCol w:w="283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术后第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次评估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（救助后3年）</w:t>
            </w:r>
          </w:p>
        </w:tc>
        <w:tc>
          <w:tcPr>
            <w:tcW w:w="283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随访日期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45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患儿年龄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听力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言语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能力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能否讲话：□否    □能</w:t>
            </w:r>
          </w:p>
          <w:p>
            <w:pPr>
              <w:ind w:firstLine="0" w:firstLineChars="0"/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言语表达程度：□单词 □双音词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词组 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□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句子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 xml:space="preserve"> dB HL</w:t>
            </w:r>
          </w:p>
          <w:p>
            <w:pPr>
              <w:jc w:val="both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b/>
                <w:bCs/>
                <w:sz w:val="28"/>
                <w:szCs w:val="28"/>
                <w:lang w:val="en-US" w:eastAsia="zh-CN"/>
              </w:rPr>
              <w:t>助听听阈情况</w:t>
            </w:r>
          </w:p>
        </w:tc>
        <w:tc>
          <w:tcPr>
            <w:tcW w:w="693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行为测听/纯音测听</w:t>
            </w:r>
          </w:p>
          <w:p>
            <w:pPr>
              <w:spacing w:line="360" w:lineRule="exact"/>
              <w:ind w:firstLine="0" w:firstLineChars="0"/>
              <w:jc w:val="left"/>
              <w:rPr>
                <w:rFonts w:hint="eastAsia" w:ascii="PMingLiU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左耳：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  <w:r>
              <w:rPr>
                <w:rFonts w:hint="eastAsia" w:ascii="PMingLiU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右耳：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dB HL</w:t>
            </w:r>
          </w:p>
          <w:p>
            <w:pPr>
              <w:spacing w:line="360" w:lineRule="exact"/>
              <w:jc w:val="left"/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PMingLiU" w:eastAsia="宋体"/>
                <w:sz w:val="28"/>
                <w:szCs w:val="28"/>
                <w:lang w:val="en-US" w:eastAsia="zh-CN"/>
              </w:rPr>
              <w:t>检查配合度：</w:t>
            </w:r>
            <w:r>
              <w:rPr>
                <w:rFonts w:hint="eastAsia" w:ascii="PMingLiU" w:eastAsia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exact"/>
              <w:jc w:val="left"/>
              <w:rPr>
                <w:rFonts w:hint="default" w:ascii="PMingLiU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秋实 简">
    <w:panose1 w:val="00020600040101010101"/>
    <w:charset w:val="86"/>
    <w:family w:val="auto"/>
    <w:pitch w:val="default"/>
    <w:sig w:usb0="A000003F" w:usb1="4AC17CFA" w:usb2="00000016" w:usb3="00000000" w:csb0="0004009F" w:csb1="00000000"/>
  </w:font>
  <w:font w:name="汉仪细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汉仪正圆-4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mI3Y2VjYmJkMmFkYjg1M2JmYzA5ZDkwODJmNGIifQ=="/>
  </w:docVars>
  <w:rsids>
    <w:rsidRoot w:val="00000000"/>
    <w:rsid w:val="10327DD0"/>
    <w:rsid w:val="170D185C"/>
    <w:rsid w:val="3A6C1620"/>
    <w:rsid w:val="3B5206E1"/>
    <w:rsid w:val="3EFA5035"/>
    <w:rsid w:val="53106282"/>
    <w:rsid w:val="5BCB7743"/>
    <w:rsid w:val="5C617C6B"/>
    <w:rsid w:val="5D272F65"/>
    <w:rsid w:val="6B8213FE"/>
    <w:rsid w:val="6FDFA1FD"/>
    <w:rsid w:val="7337762D"/>
    <w:rsid w:val="7B6F9CA0"/>
    <w:rsid w:val="7EBFB249"/>
    <w:rsid w:val="E6CFEDDE"/>
    <w:rsid w:val="FEF70A99"/>
    <w:rsid w:val="FEFA0D24"/>
    <w:rsid w:val="FFB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1086</Words>
  <Characters>1162</Characters>
  <Paragraphs>89</Paragraphs>
  <TotalTime>50</TotalTime>
  <ScaleCrop>false</ScaleCrop>
  <LinksUpToDate>false</LinksUpToDate>
  <CharactersWithSpaces>1997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2024-04-01T14:46:00Z</dcterms:created>
  <dc:creator>Vaughn</dc:creator>
  <cp:lastModifiedBy>ruijie</cp:lastModifiedBy>
  <dcterms:modified xsi:type="dcterms:W3CDTF">2024-05-17T15:25:18Z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3B38F935390B71765E064766CF825FDD</vt:lpwstr>
  </property>
</Properties>
</file>