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1453">
      <w:pPr>
        <w:spacing w:before="0"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-1</w:t>
      </w:r>
    </w:p>
    <w:p w14:paraId="203784AA">
      <w:pPr>
        <w:spacing w:before="0" w:line="560" w:lineRule="exact"/>
        <w:jc w:val="center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方正小标宋简体" w:cs="Times New Roman"/>
          <w:spacing w:val="0"/>
          <w:position w:val="0"/>
          <w:sz w:val="44"/>
          <w:szCs w:val="44"/>
          <w:lang w:eastAsia="zh-CN"/>
        </w:rPr>
        <w:t>主要工作指标清单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  <w:lang w:eastAsia="zh-CN"/>
        </w:rPr>
        <w:t>与目标推进表</w:t>
      </w:r>
    </w:p>
    <w:p w14:paraId="1609CF81">
      <w:pPr>
        <w:spacing w:before="0" w:line="560" w:lineRule="exact"/>
        <w:ind w:left="0"/>
        <w:jc w:val="center"/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8"/>
          <w:lang w:eastAsia="zh-CN"/>
        </w:rPr>
        <w:t>表1 防止疟疾输入再传播主要工作指标清单</w:t>
      </w:r>
    </w:p>
    <w:p w14:paraId="1221C734">
      <w:pPr>
        <w:spacing w:line="56" w:lineRule="auto"/>
        <w:rPr>
          <w:rFonts w:ascii="Times New Roman" w:hAnsi="Times New Roman" w:cs="Times New Roman"/>
          <w:sz w:val="2"/>
          <w:lang w:eastAsia="zh-CN"/>
        </w:rPr>
      </w:pPr>
    </w:p>
    <w:tbl>
      <w:tblPr>
        <w:tblStyle w:val="6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545"/>
        <w:gridCol w:w="3554"/>
        <w:gridCol w:w="3646"/>
        <w:gridCol w:w="1258"/>
        <w:gridCol w:w="1371"/>
        <w:gridCol w:w="1466"/>
        <w:gridCol w:w="1454"/>
      </w:tblGrid>
      <w:tr w14:paraId="5DDEF2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Header/>
          <w:jc w:val="center"/>
        </w:trPr>
        <w:tc>
          <w:tcPr>
            <w:tcW w:w="1243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5A4A36C1">
            <w:pPr>
              <w:spacing w:before="200" w:line="21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545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6A741330">
            <w:pPr>
              <w:spacing w:before="200" w:line="217" w:lineRule="auto"/>
              <w:ind w:left="1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54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156D4172">
            <w:pPr>
              <w:spacing w:before="200" w:line="21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3646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66F563CB">
            <w:pPr>
              <w:spacing w:before="200" w:line="21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定义</w:t>
            </w:r>
          </w:p>
        </w:tc>
        <w:tc>
          <w:tcPr>
            <w:tcW w:w="1258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7010E253">
            <w:pPr>
              <w:pStyle w:val="8"/>
              <w:spacing w:before="44" w:line="228" w:lineRule="auto"/>
              <w:ind w:left="135" w:right="156" w:firstLine="91"/>
              <w:rPr>
                <w:rFonts w:eastAsia="仿宋_GB2312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eastAsia="仿宋_GB2312"/>
                <w:b/>
                <w:bCs/>
                <w:sz w:val="22"/>
                <w:szCs w:val="22"/>
                <w:lang w:eastAsia="zh-CN" w:bidi="ar"/>
              </w:rPr>
              <w:t>2023年 基线水平</w:t>
            </w:r>
          </w:p>
        </w:tc>
        <w:tc>
          <w:tcPr>
            <w:tcW w:w="4291" w:type="dxa"/>
            <w:gridSpan w:val="3"/>
            <w:tcBorders>
              <w:top w:val="single" w:color="000000" w:sz="10" w:space="0"/>
              <w:bottom w:val="single" w:color="000000" w:sz="2" w:space="0"/>
            </w:tcBorders>
            <w:noWrap w:val="0"/>
            <w:vAlign w:val="center"/>
          </w:tcPr>
          <w:p w14:paraId="7B15F1EB">
            <w:pPr>
              <w:spacing w:before="39" w:line="207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目标要求</w:t>
            </w:r>
          </w:p>
        </w:tc>
      </w:tr>
      <w:tr w14:paraId="740472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Header/>
          <w:jc w:val="center"/>
        </w:trPr>
        <w:tc>
          <w:tcPr>
            <w:tcW w:w="124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15475200">
            <w:pPr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4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1544522B">
            <w:pPr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554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C91A04F">
            <w:pPr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646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6451649B">
            <w:pPr>
              <w:rPr>
                <w:rFonts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719279D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</w:pPr>
          </w:p>
        </w:tc>
        <w:tc>
          <w:tcPr>
            <w:tcW w:w="1371" w:type="dxa"/>
            <w:tcBorders>
              <w:top w:val="single" w:color="000000" w:sz="2" w:space="0"/>
              <w:bottom w:val="single" w:color="000000" w:sz="4" w:space="0"/>
            </w:tcBorders>
            <w:noWrap w:val="0"/>
            <w:vAlign w:val="center"/>
          </w:tcPr>
          <w:p w14:paraId="505982D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2025 年</w:t>
            </w:r>
          </w:p>
        </w:tc>
        <w:tc>
          <w:tcPr>
            <w:tcW w:w="1466" w:type="dxa"/>
            <w:tcBorders>
              <w:top w:val="single" w:color="000000" w:sz="2" w:space="0"/>
              <w:bottom w:val="single" w:color="000000" w:sz="4" w:space="0"/>
            </w:tcBorders>
            <w:noWrap w:val="0"/>
            <w:vAlign w:val="center"/>
          </w:tcPr>
          <w:p w14:paraId="3E4A741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2027 年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4" w:space="0"/>
            </w:tcBorders>
            <w:noWrap w:val="0"/>
            <w:vAlign w:val="center"/>
          </w:tcPr>
          <w:p w14:paraId="11F32578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2030 年</w:t>
            </w:r>
          </w:p>
        </w:tc>
      </w:tr>
      <w:tr w14:paraId="48040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nil"/>
              <w:bottom w:val="nil"/>
            </w:tcBorders>
            <w:noWrap w:val="0"/>
            <w:vAlign w:val="center"/>
          </w:tcPr>
          <w:p w14:paraId="0CFF1E79">
            <w:pPr>
              <w:kinsoku/>
              <w:spacing w:before="0" w:line="228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疟疾检测</w:t>
            </w:r>
          </w:p>
          <w:p w14:paraId="085840B7">
            <w:pPr>
              <w:kinsoku/>
              <w:spacing w:before="0" w:line="228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与诊断</w:t>
            </w:r>
          </w:p>
        </w:tc>
        <w:tc>
          <w:tcPr>
            <w:tcW w:w="545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02A8BBDF">
            <w:pPr>
              <w:kinsoku/>
              <w:spacing w:line="4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C8509A">
            <w:pPr>
              <w:pStyle w:val="8"/>
              <w:kinsoku/>
              <w:spacing w:before="69" w:line="1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5D3B38A5">
            <w:pPr>
              <w:kinsoku/>
              <w:spacing w:before="28" w:line="234" w:lineRule="auto"/>
              <w:ind w:left="134" w:right="190" w:firstLine="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以县（市、区）为单位，具备疟原虫检测能力的二级及以上公立综合医院和传染病 专科医院数</w:t>
            </w:r>
          </w:p>
        </w:tc>
        <w:tc>
          <w:tcPr>
            <w:tcW w:w="3646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3FD9C178">
            <w:pPr>
              <w:kinsoku/>
              <w:spacing w:before="28" w:line="234" w:lineRule="auto"/>
              <w:ind w:left="134" w:right="190" w:firstLine="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以县（市、区）为单位，二级及以上公立综合医院和传染病专科医院中具备疟原虫（镜检和RDT）检测能力的机构数量及比例</w:t>
            </w:r>
          </w:p>
        </w:tc>
        <w:tc>
          <w:tcPr>
            <w:tcW w:w="1258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6E9885E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—</w:t>
            </w:r>
          </w:p>
        </w:tc>
        <w:tc>
          <w:tcPr>
            <w:tcW w:w="1371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576D6C7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≥ 1家</w:t>
            </w:r>
          </w:p>
        </w:tc>
        <w:tc>
          <w:tcPr>
            <w:tcW w:w="1466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5059948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75%</w:t>
            </w:r>
          </w:p>
        </w:tc>
        <w:tc>
          <w:tcPr>
            <w:tcW w:w="1454" w:type="dxa"/>
            <w:tcBorders>
              <w:top w:val="single" w:color="000000" w:sz="4" w:space="0"/>
              <w:bottom w:val="nil"/>
              <w:right w:val="nil"/>
            </w:tcBorders>
            <w:noWrap w:val="0"/>
            <w:vAlign w:val="center"/>
          </w:tcPr>
          <w:p w14:paraId="627EA5EE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</w:tr>
      <w:tr w14:paraId="24B457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46E5AB0">
            <w:pPr>
              <w:kinsoku/>
              <w:spacing w:before="78" w:line="227" w:lineRule="auto"/>
              <w:ind w:left="301" w:right="124" w:hanging="12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noWrap w:val="0"/>
            <w:vAlign w:val="center"/>
          </w:tcPr>
          <w:p w14:paraId="4CC07D8B">
            <w:pPr>
              <w:kinsoku/>
              <w:spacing w:before="69" w:line="33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54" w:type="dxa"/>
            <w:tcBorders>
              <w:top w:val="nil"/>
              <w:bottom w:val="nil"/>
            </w:tcBorders>
            <w:noWrap w:val="0"/>
            <w:vAlign w:val="center"/>
          </w:tcPr>
          <w:p w14:paraId="7F8C40BB">
            <w:pPr>
              <w:kinsoku/>
              <w:spacing w:before="28" w:line="234" w:lineRule="auto"/>
              <w:ind w:left="134" w:right="190" w:firstLine="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设立市级疟疾参比实验室</w:t>
            </w:r>
          </w:p>
        </w:tc>
        <w:tc>
          <w:tcPr>
            <w:tcW w:w="3646" w:type="dxa"/>
            <w:tcBorders>
              <w:top w:val="nil"/>
              <w:bottom w:val="nil"/>
            </w:tcBorders>
            <w:noWrap w:val="0"/>
            <w:vAlign w:val="center"/>
          </w:tcPr>
          <w:p w14:paraId="2775CC94">
            <w:pPr>
              <w:kinsoku/>
              <w:spacing w:before="28" w:line="234" w:lineRule="auto"/>
              <w:ind w:left="134" w:right="190" w:firstLine="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为单位，设立市级疟疾参比实验室的数量及比例</w:t>
            </w:r>
          </w:p>
        </w:tc>
        <w:tc>
          <w:tcPr>
            <w:tcW w:w="1258" w:type="dxa"/>
            <w:tcBorders>
              <w:top w:val="nil"/>
              <w:bottom w:val="nil"/>
            </w:tcBorders>
            <w:noWrap w:val="0"/>
            <w:vAlign w:val="center"/>
          </w:tcPr>
          <w:p w14:paraId="46AB0F6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—</w:t>
            </w:r>
          </w:p>
        </w:tc>
        <w:tc>
          <w:tcPr>
            <w:tcW w:w="1371" w:type="dxa"/>
            <w:tcBorders>
              <w:top w:val="nil"/>
              <w:bottom w:val="nil"/>
            </w:tcBorders>
            <w:noWrap w:val="0"/>
            <w:vAlign w:val="center"/>
          </w:tcPr>
          <w:p w14:paraId="27BB427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30%（6个）</w:t>
            </w:r>
          </w:p>
        </w:tc>
        <w:tc>
          <w:tcPr>
            <w:tcW w:w="1466" w:type="dxa"/>
            <w:tcBorders>
              <w:top w:val="nil"/>
              <w:bottom w:val="nil"/>
            </w:tcBorders>
            <w:noWrap w:val="0"/>
            <w:vAlign w:val="center"/>
          </w:tcPr>
          <w:p w14:paraId="4F61201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65%（14个）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BED4BD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100%（21个）</w:t>
            </w:r>
          </w:p>
        </w:tc>
      </w:tr>
      <w:tr w14:paraId="450B68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43" w:type="dxa"/>
            <w:tcBorders>
              <w:top w:val="nil"/>
              <w:bottom w:val="nil"/>
            </w:tcBorders>
            <w:noWrap w:val="0"/>
            <w:vAlign w:val="center"/>
          </w:tcPr>
          <w:p w14:paraId="707A0EE0">
            <w:pPr>
              <w:kinsoku/>
              <w:spacing w:before="0" w:line="228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2" w:colFirst="4" w:colLast="7"/>
            <w:r>
              <w:rPr>
                <w:rFonts w:hint="eastAsia" w:ascii="宋体" w:hAnsi="宋体" w:eastAsia="宋体" w:cs="宋体"/>
                <w:sz w:val="24"/>
                <w:szCs w:val="24"/>
              </w:rPr>
              <w:t>疟疾病例</w:t>
            </w:r>
          </w:p>
          <w:p w14:paraId="51871600">
            <w:pPr>
              <w:kinsoku/>
              <w:spacing w:before="0" w:line="228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救治</w:t>
            </w:r>
          </w:p>
        </w:tc>
        <w:tc>
          <w:tcPr>
            <w:tcW w:w="545" w:type="dxa"/>
            <w:tcBorders>
              <w:top w:val="nil"/>
              <w:bottom w:val="nil"/>
            </w:tcBorders>
            <w:noWrap w:val="0"/>
            <w:vAlign w:val="center"/>
          </w:tcPr>
          <w:p w14:paraId="4E7170BD">
            <w:pPr>
              <w:pStyle w:val="8"/>
              <w:kinsoku/>
              <w:spacing w:before="69" w:line="1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54" w:type="dxa"/>
            <w:tcBorders>
              <w:top w:val="nil"/>
              <w:bottom w:val="nil"/>
            </w:tcBorders>
            <w:noWrap w:val="0"/>
            <w:vAlign w:val="center"/>
          </w:tcPr>
          <w:p w14:paraId="3DDC0E1B">
            <w:pPr>
              <w:kinsoku/>
              <w:spacing w:before="209" w:line="227" w:lineRule="auto"/>
              <w:ind w:left="138" w:right="18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市级疟疾治疗定点医院覆盖率</w:t>
            </w:r>
          </w:p>
        </w:tc>
        <w:tc>
          <w:tcPr>
            <w:tcW w:w="3646" w:type="dxa"/>
            <w:tcBorders>
              <w:top w:val="nil"/>
              <w:bottom w:val="nil"/>
            </w:tcBorders>
            <w:noWrap w:val="0"/>
            <w:vAlign w:val="center"/>
          </w:tcPr>
          <w:p w14:paraId="5A85B351">
            <w:pPr>
              <w:pStyle w:val="8"/>
              <w:kinsoku/>
              <w:spacing w:before="53" w:line="224" w:lineRule="auto"/>
              <w:ind w:left="201" w:right="13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21个地市中设立疟疾治疗定点医院的比例</w:t>
            </w:r>
          </w:p>
        </w:tc>
        <w:tc>
          <w:tcPr>
            <w:tcW w:w="1258" w:type="dxa"/>
            <w:tcBorders>
              <w:top w:val="nil"/>
              <w:bottom w:val="nil"/>
            </w:tcBorders>
            <w:noWrap w:val="0"/>
            <w:vAlign w:val="center"/>
          </w:tcPr>
          <w:p w14:paraId="0974B264">
            <w:pPr>
              <w:pStyle w:val="8"/>
              <w:spacing w:before="69" w:line="188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371" w:type="dxa"/>
            <w:tcBorders>
              <w:top w:val="nil"/>
              <w:bottom w:val="nil"/>
            </w:tcBorders>
            <w:noWrap w:val="0"/>
            <w:vAlign w:val="center"/>
          </w:tcPr>
          <w:p w14:paraId="6CB739ED">
            <w:pPr>
              <w:pStyle w:val="8"/>
              <w:spacing w:before="69" w:line="188" w:lineRule="auto"/>
              <w:ind w:left="313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466" w:type="dxa"/>
            <w:tcBorders>
              <w:top w:val="nil"/>
              <w:bottom w:val="nil"/>
            </w:tcBorders>
            <w:noWrap w:val="0"/>
            <w:vAlign w:val="center"/>
          </w:tcPr>
          <w:p w14:paraId="42F87A9E">
            <w:pPr>
              <w:pStyle w:val="8"/>
              <w:spacing w:before="69" w:line="188" w:lineRule="auto"/>
              <w:ind w:left="321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454" w:type="dxa"/>
            <w:tcBorders>
              <w:top w:val="nil"/>
              <w:bottom w:val="nil"/>
            </w:tcBorders>
            <w:noWrap w:val="0"/>
            <w:vAlign w:val="center"/>
          </w:tcPr>
          <w:p w14:paraId="4ECC22E8">
            <w:pPr>
              <w:pStyle w:val="8"/>
              <w:spacing w:before="69" w:line="188" w:lineRule="auto"/>
              <w:ind w:left="306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</w:tr>
      <w:bookmarkEnd w:id="0"/>
      <w:tr w14:paraId="62132B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3" w:type="dxa"/>
            <w:tcBorders>
              <w:top w:val="nil"/>
            </w:tcBorders>
            <w:noWrap w:val="0"/>
            <w:vAlign w:val="center"/>
          </w:tcPr>
          <w:p w14:paraId="08874631">
            <w:pPr>
              <w:kinsoku/>
              <w:spacing w:line="28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695CD1">
            <w:pPr>
              <w:kinsoku/>
              <w:spacing w:before="78" w:line="185" w:lineRule="auto"/>
              <w:ind w:left="1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疟疾监测</w:t>
            </w:r>
          </w:p>
        </w:tc>
        <w:tc>
          <w:tcPr>
            <w:tcW w:w="545" w:type="dxa"/>
            <w:tcBorders>
              <w:top w:val="nil"/>
            </w:tcBorders>
            <w:noWrap w:val="0"/>
            <w:vAlign w:val="center"/>
          </w:tcPr>
          <w:p w14:paraId="75C9B7BE">
            <w:pPr>
              <w:pStyle w:val="8"/>
              <w:kinsoku/>
              <w:spacing w:before="257" w:line="18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54" w:type="dxa"/>
            <w:tcBorders>
              <w:top w:val="nil"/>
            </w:tcBorders>
            <w:noWrap w:val="0"/>
            <w:vAlign w:val="center"/>
          </w:tcPr>
          <w:p w14:paraId="7C0EC825">
            <w:pPr>
              <w:pStyle w:val="8"/>
              <w:kinsoku/>
              <w:spacing w:before="210" w:line="214" w:lineRule="auto"/>
              <w:ind w:left="1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7日内疫点调查与处置率</w:t>
            </w:r>
          </w:p>
        </w:tc>
        <w:tc>
          <w:tcPr>
            <w:tcW w:w="3646" w:type="dxa"/>
            <w:tcBorders>
              <w:top w:val="nil"/>
            </w:tcBorders>
            <w:noWrap w:val="0"/>
            <w:vAlign w:val="center"/>
          </w:tcPr>
          <w:p w14:paraId="73D7D9CA">
            <w:pPr>
              <w:pStyle w:val="8"/>
              <w:kinsoku/>
              <w:spacing w:before="55" w:line="212" w:lineRule="auto"/>
              <w:ind w:left="201" w:right="134" w:firstLine="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疟疾疫点在病例报告后7天内完成调查处置的比例</w:t>
            </w:r>
          </w:p>
        </w:tc>
        <w:tc>
          <w:tcPr>
            <w:tcW w:w="1258" w:type="dxa"/>
            <w:tcBorders>
              <w:top w:val="nil"/>
            </w:tcBorders>
            <w:noWrap w:val="0"/>
            <w:vAlign w:val="center"/>
          </w:tcPr>
          <w:p w14:paraId="4D4EB26E">
            <w:pPr>
              <w:pStyle w:val="8"/>
              <w:spacing w:before="250" w:line="229" w:lineRule="auto"/>
              <w:ind w:left="348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≥90%*</w:t>
            </w:r>
          </w:p>
        </w:tc>
        <w:tc>
          <w:tcPr>
            <w:tcW w:w="1371" w:type="dxa"/>
            <w:tcBorders>
              <w:top w:val="nil"/>
            </w:tcBorders>
            <w:noWrap w:val="0"/>
            <w:vAlign w:val="center"/>
          </w:tcPr>
          <w:p w14:paraId="2F8B1CC0">
            <w:pPr>
              <w:pStyle w:val="8"/>
              <w:spacing w:before="210" w:line="233" w:lineRule="auto"/>
              <w:ind w:left="285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≥92%</w:t>
            </w:r>
            <w:bookmarkEnd w:id="1"/>
          </w:p>
        </w:tc>
        <w:tc>
          <w:tcPr>
            <w:tcW w:w="1466" w:type="dxa"/>
            <w:tcBorders>
              <w:top w:val="nil"/>
            </w:tcBorders>
            <w:noWrap w:val="0"/>
            <w:vAlign w:val="center"/>
          </w:tcPr>
          <w:p w14:paraId="3DE36CDE">
            <w:pPr>
              <w:pStyle w:val="8"/>
              <w:spacing w:before="210" w:line="233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≥95%</w:t>
            </w:r>
          </w:p>
        </w:tc>
        <w:tc>
          <w:tcPr>
            <w:tcW w:w="1454" w:type="dxa"/>
            <w:tcBorders>
              <w:top w:val="nil"/>
            </w:tcBorders>
            <w:noWrap w:val="0"/>
            <w:vAlign w:val="center"/>
          </w:tcPr>
          <w:p w14:paraId="051E72A7">
            <w:pPr>
              <w:pStyle w:val="8"/>
              <w:spacing w:before="210" w:line="233" w:lineRule="auto"/>
              <w:ind w:left="279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≥95%</w:t>
            </w:r>
          </w:p>
        </w:tc>
      </w:tr>
      <w:tr w14:paraId="4C6BBC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3" w:type="dxa"/>
            <w:tcBorders>
              <w:bottom w:val="single" w:color="000000" w:sz="10" w:space="0"/>
            </w:tcBorders>
            <w:noWrap w:val="0"/>
            <w:vAlign w:val="center"/>
          </w:tcPr>
          <w:p w14:paraId="4CBE2B34">
            <w:pPr>
              <w:kinsoku/>
              <w:spacing w:before="61" w:line="214" w:lineRule="auto"/>
              <w:ind w:left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</w:t>
            </w:r>
          </w:p>
        </w:tc>
        <w:tc>
          <w:tcPr>
            <w:tcW w:w="545" w:type="dxa"/>
            <w:tcBorders>
              <w:bottom w:val="single" w:color="000000" w:sz="10" w:space="0"/>
            </w:tcBorders>
            <w:noWrap w:val="0"/>
            <w:vAlign w:val="center"/>
          </w:tcPr>
          <w:p w14:paraId="69BCA947">
            <w:pPr>
              <w:pStyle w:val="8"/>
              <w:kinsoku/>
              <w:spacing w:before="258" w:line="1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54" w:type="dxa"/>
            <w:tcBorders>
              <w:bottom w:val="single" w:color="000000" w:sz="10" w:space="0"/>
            </w:tcBorders>
            <w:noWrap w:val="0"/>
            <w:vAlign w:val="center"/>
          </w:tcPr>
          <w:p w14:paraId="2498FF15">
            <w:pPr>
              <w:kinsoku/>
              <w:spacing w:before="217" w:line="214" w:lineRule="auto"/>
              <w:ind w:left="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突发疫情及时处置率</w:t>
            </w:r>
          </w:p>
        </w:tc>
        <w:tc>
          <w:tcPr>
            <w:tcW w:w="3646" w:type="dxa"/>
            <w:tcBorders>
              <w:bottom w:val="single" w:color="000000" w:sz="10" w:space="0"/>
            </w:tcBorders>
            <w:noWrap w:val="0"/>
            <w:vAlign w:val="center"/>
          </w:tcPr>
          <w:p w14:paraId="0CDE0BD5">
            <w:pPr>
              <w:pStyle w:val="8"/>
              <w:kinsoku/>
              <w:spacing w:before="62" w:line="223" w:lineRule="auto"/>
              <w:ind w:left="208" w:right="134" w:firstLine="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突发疟疾疫情在报告后1天得到处置的比例</w:t>
            </w:r>
          </w:p>
        </w:tc>
        <w:tc>
          <w:tcPr>
            <w:tcW w:w="1258" w:type="dxa"/>
            <w:tcBorders>
              <w:bottom w:val="single" w:color="000000" w:sz="10" w:space="0"/>
            </w:tcBorders>
            <w:noWrap w:val="0"/>
            <w:vAlign w:val="center"/>
          </w:tcPr>
          <w:p w14:paraId="73FBEB8E">
            <w:pPr>
              <w:pStyle w:val="8"/>
              <w:spacing w:before="256" w:line="188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noWrap w:val="0"/>
            <w:vAlign w:val="center"/>
          </w:tcPr>
          <w:p w14:paraId="5EB1CAD7">
            <w:pPr>
              <w:pStyle w:val="8"/>
              <w:spacing w:before="256" w:line="188" w:lineRule="auto"/>
              <w:ind w:left="313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466" w:type="dxa"/>
            <w:tcBorders>
              <w:bottom w:val="single" w:color="000000" w:sz="10" w:space="0"/>
            </w:tcBorders>
            <w:noWrap w:val="0"/>
            <w:vAlign w:val="center"/>
          </w:tcPr>
          <w:p w14:paraId="13669C3A">
            <w:pPr>
              <w:pStyle w:val="8"/>
              <w:spacing w:before="256" w:line="188" w:lineRule="auto"/>
              <w:ind w:left="321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  <w:tc>
          <w:tcPr>
            <w:tcW w:w="1454" w:type="dxa"/>
            <w:tcBorders>
              <w:bottom w:val="single" w:color="000000" w:sz="10" w:space="0"/>
            </w:tcBorders>
            <w:noWrap w:val="0"/>
            <w:vAlign w:val="center"/>
          </w:tcPr>
          <w:p w14:paraId="324B7246">
            <w:pPr>
              <w:pStyle w:val="8"/>
              <w:spacing w:before="256" w:line="188" w:lineRule="auto"/>
              <w:ind w:left="306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100%</w:t>
            </w:r>
          </w:p>
        </w:tc>
      </w:tr>
    </w:tbl>
    <w:p w14:paraId="3724292C">
      <w:pPr>
        <w:pStyle w:val="3"/>
        <w:spacing w:before="36" w:line="228" w:lineRule="auto"/>
        <w:ind w:left="225"/>
        <w:rPr>
          <w:rFonts w:ascii="Times New Roman" w:hAnsi="Times New Roman" w:cs="Times New Roman"/>
          <w:spacing w:val="0"/>
          <w:sz w:val="24"/>
          <w:szCs w:val="24"/>
          <w:lang w:eastAsia="zh-CN"/>
        </w:rPr>
        <w:sectPr>
          <w:footerReference r:id="rId3" w:type="default"/>
          <w:pgSz w:w="16838" w:h="11905" w:orient="landscape"/>
          <w:pgMar w:top="1531" w:right="2041" w:bottom="1531" w:left="2041" w:header="850" w:footer="1332" w:gutter="0"/>
          <w:pgNumType w:fmt="numberInDash"/>
          <w:cols w:space="720" w:num="1"/>
          <w:rtlGutter w:val="0"/>
          <w:docGrid w:type="linesAndChars" w:linePitch="580" w:charSpace="-1024"/>
        </w:sectPr>
      </w:pP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注：</w:t>
      </w:r>
      <w:r>
        <w:rPr>
          <w:rFonts w:ascii="Times New Roman" w:hAnsi="Times New Roman" w:eastAsia="仿宋_GB2312" w:cs="Times New Roman"/>
          <w:spacing w:val="0"/>
          <w:sz w:val="24"/>
          <w:szCs w:val="24"/>
          <w:lang w:eastAsia="zh-CN"/>
        </w:rPr>
        <w:t>*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为</w:t>
      </w:r>
      <w:r>
        <w:rPr>
          <w:rFonts w:ascii="Times New Roman" w:hAnsi="Times New Roman" w:eastAsia="仿宋_GB2312" w:cs="Times New Roman"/>
          <w:spacing w:val="0"/>
          <w:sz w:val="24"/>
          <w:szCs w:val="24"/>
          <w:lang w:eastAsia="zh-CN"/>
        </w:rPr>
        <w:t>2023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年</w:t>
      </w:r>
      <w:r>
        <w:rPr>
          <w:rFonts w:ascii="Times New Roman" w:hAnsi="Times New Roman" w:eastAsia="仿宋_GB2312" w:cs="Times New Roman"/>
          <w:spacing w:val="0"/>
          <w:sz w:val="24"/>
          <w:szCs w:val="24"/>
          <w:lang w:eastAsia="zh-CN"/>
        </w:rPr>
        <w:t>11</w:t>
      </w:r>
      <w:r>
        <w:rPr>
          <w:rFonts w:hint="eastAsia" w:ascii="Times New Roman" w:hAnsi="Times New Roman" w:cs="Times New Roman"/>
          <w:spacing w:val="0"/>
          <w:sz w:val="24"/>
          <w:szCs w:val="24"/>
          <w:lang w:eastAsia="zh-CN"/>
        </w:rPr>
        <w:t>—</w:t>
      </w:r>
      <w:r>
        <w:rPr>
          <w:rFonts w:ascii="Times New Roman" w:hAnsi="Times New Roman" w:eastAsia="仿宋_GB2312" w:cs="Times New Roman"/>
          <w:spacing w:val="0"/>
          <w:sz w:val="24"/>
          <w:szCs w:val="24"/>
          <w:lang w:eastAsia="zh-CN"/>
        </w:rPr>
        <w:t>12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月寄生虫病防治信息管理系统上线时数据作为基线。</w:t>
      </w:r>
    </w:p>
    <w:p w14:paraId="0459D8CF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8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  <w:lang w:eastAsia="zh-CN"/>
        </w:rPr>
        <w:t>广东省土源性线虫病传播控制与阻断目标推进表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821"/>
        <w:gridCol w:w="1983"/>
        <w:gridCol w:w="1912"/>
        <w:gridCol w:w="1912"/>
      </w:tblGrid>
      <w:tr w14:paraId="6A7C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44470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地市名称</w:t>
            </w: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73299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2027年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FEB06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2030年</w:t>
            </w:r>
          </w:p>
        </w:tc>
      </w:tr>
      <w:tr w14:paraId="11E8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A9B01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AD56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传播控制县数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E29DD0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传播阻断县数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AA3C3F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传播控制县数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A48982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传播阻断县数</w:t>
            </w:r>
          </w:p>
        </w:tc>
      </w:tr>
      <w:tr w14:paraId="58E2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ADBF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广州市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3332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F3CAC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4B70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9E264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3D0A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3D392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韶关市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F74C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F3F48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F3239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0BFEE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5347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BCA99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深圳市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383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6472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9DBC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2E4DF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4BC0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CB6C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汕头市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1A83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A1DC6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B1EA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16AEB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7F18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28B0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珠海市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C784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8A3FB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4630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FC144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04BB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AB74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佛山市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7DC98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E2A0A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3F3EA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1F7A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3D1F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C37C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肇庆市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BCE8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CAC6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6697B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6F4D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69F9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8FCDA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江门市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2277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F9EC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4317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2108E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4465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CC564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惠州市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90D5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67FE2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7F04B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834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4DF7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B2EF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湛江市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105B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2F885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6C59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2C25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220F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A8FE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茂名市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715EC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164B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3856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1AFFF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370E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D0D1A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阳江市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F37FE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0C5CF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0ED7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9597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27D8D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CB64F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梅州市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D38B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0883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496F0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278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4F2C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50F7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河源市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EC7B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1A756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8C93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B492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3D4A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B9F4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汕尾市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96623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EFF69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4414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11BE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0F47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ED0C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东莞市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D7FEA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E15BE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4B61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EFFB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4159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D6355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中山市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36058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2A2EF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ABB3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FAAD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</w:tr>
      <w:tr w14:paraId="2364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2C33C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清远市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A760E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0AB3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3612D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3C48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</w:tr>
      <w:tr w14:paraId="6DAD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C00E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潮州市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1E5F8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BEE1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948E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8F05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1F01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86BE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揭阳市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73F90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DE261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4044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B3DC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4A52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0DB0E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云浮市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3C46B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3A6AD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7DEE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FE755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0</w:t>
            </w:r>
          </w:p>
        </w:tc>
      </w:tr>
      <w:tr w14:paraId="2D42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A38963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5B56C74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658BD35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4A1AB27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8BA1D7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11</w:t>
            </w:r>
          </w:p>
        </w:tc>
      </w:tr>
    </w:tbl>
    <w:p w14:paraId="7A2A9DD9">
      <w:pPr>
        <w:spacing w:before="120" w:beforeLines="50"/>
        <w:rPr>
          <w:rFonts w:hint="default" w:ascii="Times New Roman" w:hAnsi="Times New Roman" w:cs="Times New Roman"/>
          <w:sz w:val="21"/>
          <w:lang w:eastAsia="zh-CN"/>
        </w:rPr>
      </w:pPr>
      <w:r>
        <w:rPr>
          <w:rFonts w:hint="default" w:ascii="Times New Roman" w:hAnsi="Times New Roman" w:cs="Times New Roman"/>
          <w:sz w:val="21"/>
          <w:lang w:eastAsia="zh-CN"/>
        </w:rPr>
        <w:t>注：传播控制与阻断需达到连续3年感染率在1%以下和 0.1%以下，2025年传播控制与阻断县数均为0。2030年传播控制目标为累计县数，传播阻断县数不计入传播控制县数。</w:t>
      </w:r>
    </w:p>
    <w:p w14:paraId="66C40589">
      <w:pPr>
        <w:pStyle w:val="4"/>
        <w:spacing w:line="560" w:lineRule="exact"/>
        <w:jc w:val="both"/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</w:pPr>
    </w:p>
    <w:p w14:paraId="53CB444F">
      <w:pPr>
        <w:pStyle w:val="4"/>
        <w:spacing w:line="560" w:lineRule="exact"/>
        <w:jc w:val="both"/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</w:pPr>
    </w:p>
    <w:p w14:paraId="7A6ECDC6">
      <w:pP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  <w:br w:type="page"/>
      </w:r>
    </w:p>
    <w:p w14:paraId="3347F048">
      <w:pPr>
        <w:pStyle w:val="4"/>
        <w:spacing w:line="560" w:lineRule="exact"/>
        <w:jc w:val="center"/>
        <w:rPr>
          <w:rFonts w:hint="default" w:ascii="Times New Roman" w:hAnsi="Times New Roman" w:eastAsia="黑体" w:cs="Times New Roman"/>
          <w:b w:val="0"/>
          <w:bCs w:val="0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sz w:val="28"/>
          <w:szCs w:val="22"/>
          <w:lang w:eastAsia="zh-CN"/>
        </w:rPr>
        <w:t>3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28"/>
          <w:szCs w:val="22"/>
          <w:lang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28"/>
          <w:szCs w:val="22"/>
          <w:lang w:eastAsia="zh-CN"/>
        </w:rPr>
        <w:t>广东省食源性寄生虫病防治主要工作指标清单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80"/>
        <w:gridCol w:w="2874"/>
        <w:gridCol w:w="1118"/>
        <w:gridCol w:w="1118"/>
        <w:gridCol w:w="1122"/>
      </w:tblGrid>
      <w:tr w14:paraId="63E3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AE5E2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50E7EA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指标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471E9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定义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9A914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目标要求</w:t>
            </w:r>
          </w:p>
        </w:tc>
      </w:tr>
      <w:tr w14:paraId="2C3A1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E6127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E2DCF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C33C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DB3DB5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2025年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826675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2027年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21CBE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  <w:t>2030年</w:t>
            </w:r>
          </w:p>
        </w:tc>
      </w:tr>
      <w:tr w14:paraId="21997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86D2F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EFBA8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食源性寄生虫病知识知晓率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67B0B6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防治知识正确率60%及以上即为知晓，知晓防治知识的人数占受调查的人数的百分比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6795A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≥80%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7CD51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≥85%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A89C82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≥90%</w:t>
            </w:r>
          </w:p>
        </w:tc>
      </w:tr>
      <w:tr w14:paraId="390D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78CE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BEBDBC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监测县覆盖率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1E216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各地市每年开展的监测县数占总县数的百分比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DF345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≥10%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3EF82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≥10%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084CA8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≥10%</w:t>
            </w:r>
          </w:p>
        </w:tc>
      </w:tr>
      <w:tr w14:paraId="1352D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D4A4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952054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检出感染者治疗率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10608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接受治疗的人数占检出感染者的百分比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91C2F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≥90%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D96AA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≥90%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A1EDFB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≥90%</w:t>
            </w:r>
          </w:p>
        </w:tc>
      </w:tr>
      <w:tr w14:paraId="5D3B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7261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8C3E2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市级诊断参比实验室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E308B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具有市级诊断参比实验室的地市占全省地市总数的百分比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060FF0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30%（6个）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EA8F4">
            <w:pPr>
              <w:textAlignment w:val="center"/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65%（14个）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39B512">
            <w:pPr>
              <w:textAlignment w:val="center"/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CN" w:bidi="ar"/>
              </w:rPr>
              <w:t>100%（21个）</w:t>
            </w:r>
          </w:p>
        </w:tc>
      </w:tr>
      <w:tr w14:paraId="537B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2C8552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495A2DD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农村供水水质达标率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AFA6EE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农村供水水质达标人口占农村供水总人口的百分比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FB50F6">
            <w:pPr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总体达到当地县城水平</w:t>
            </w:r>
          </w:p>
        </w:tc>
      </w:tr>
    </w:tbl>
    <w:p w14:paraId="5C1840FA">
      <w:pPr>
        <w:jc w:val="both"/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2"/>
          <w:szCs w:val="22"/>
          <w:lang w:eastAsia="zh-CN" w:bidi="ar"/>
        </w:rPr>
        <w:t>广东省食源性寄生虫病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  <w:t>重点是肝吸虫病</w:t>
      </w:r>
    </w:p>
    <w:p w14:paraId="6DF34F03">
      <w:pPr>
        <w:jc w:val="both"/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</w:pPr>
    </w:p>
    <w:p w14:paraId="0F169B19">
      <w:pPr>
        <w:jc w:val="both"/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</w:pPr>
    </w:p>
    <w:p w14:paraId="37DA30A9">
      <w:pPr>
        <w:jc w:val="both"/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 w:bidi="ar"/>
        </w:rPr>
      </w:pPr>
    </w:p>
    <w:p w14:paraId="6C914DC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36"/>
          <w:lang w:eastAsia="zh-CN"/>
        </w:rPr>
        <w:t>表4 广东省肝吸虫病防治目标推进表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91"/>
        <w:gridCol w:w="1567"/>
        <w:gridCol w:w="2159"/>
        <w:gridCol w:w="2338"/>
      </w:tblGrid>
      <w:tr w14:paraId="51330F1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01" w:type="dxa"/>
            <w:vMerge w:val="restart"/>
            <w:noWrap w:val="0"/>
            <w:vAlign w:val="center"/>
          </w:tcPr>
          <w:p w14:paraId="2FC0CE3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病 种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27EEC285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基线人群感染率</w:t>
            </w:r>
          </w:p>
        </w:tc>
        <w:tc>
          <w:tcPr>
            <w:tcW w:w="6064" w:type="dxa"/>
            <w:gridSpan w:val="3"/>
            <w:noWrap w:val="0"/>
            <w:vAlign w:val="center"/>
          </w:tcPr>
          <w:p w14:paraId="1E91B8EF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下降幅度</w:t>
            </w:r>
          </w:p>
        </w:tc>
      </w:tr>
      <w:tr w14:paraId="346BD19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1" w:type="dxa"/>
            <w:vMerge w:val="continue"/>
            <w:noWrap w:val="0"/>
            <w:vAlign w:val="center"/>
          </w:tcPr>
          <w:p w14:paraId="7CB465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53DB5C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AEE881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2025年</w:t>
            </w:r>
          </w:p>
        </w:tc>
        <w:tc>
          <w:tcPr>
            <w:tcW w:w="2159" w:type="dxa"/>
            <w:noWrap w:val="0"/>
            <w:vAlign w:val="center"/>
          </w:tcPr>
          <w:p w14:paraId="6854F71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2027年</w:t>
            </w:r>
          </w:p>
        </w:tc>
        <w:tc>
          <w:tcPr>
            <w:tcW w:w="2338" w:type="dxa"/>
            <w:noWrap w:val="0"/>
            <w:vAlign w:val="center"/>
          </w:tcPr>
          <w:p w14:paraId="5EF7618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 w:bidi="ar"/>
              </w:rPr>
              <w:t>2030年</w:t>
            </w:r>
          </w:p>
        </w:tc>
      </w:tr>
      <w:tr w14:paraId="0F66A4F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1" w:type="dxa"/>
            <w:noWrap w:val="0"/>
            <w:vAlign w:val="center"/>
          </w:tcPr>
          <w:p w14:paraId="2B70E2CD">
            <w:pPr>
              <w:ind w:firstLine="220" w:firstLineChars="10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  <w:t>肝吸虫病</w:t>
            </w:r>
          </w:p>
        </w:tc>
        <w:tc>
          <w:tcPr>
            <w:tcW w:w="1391" w:type="dxa"/>
            <w:noWrap w:val="0"/>
            <w:vAlign w:val="center"/>
          </w:tcPr>
          <w:p w14:paraId="728413B8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  <w:t>2.95%</w:t>
            </w:r>
          </w:p>
        </w:tc>
        <w:tc>
          <w:tcPr>
            <w:tcW w:w="1567" w:type="dxa"/>
            <w:noWrap w:val="0"/>
            <w:vAlign w:val="center"/>
          </w:tcPr>
          <w:p w14:paraId="6441BE34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  <w:t>5%</w:t>
            </w:r>
          </w:p>
        </w:tc>
        <w:tc>
          <w:tcPr>
            <w:tcW w:w="2159" w:type="dxa"/>
            <w:noWrap w:val="0"/>
            <w:vAlign w:val="center"/>
          </w:tcPr>
          <w:p w14:paraId="19DCC6EA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  <w:t>10%</w:t>
            </w:r>
          </w:p>
        </w:tc>
        <w:tc>
          <w:tcPr>
            <w:tcW w:w="2338" w:type="dxa"/>
            <w:noWrap w:val="0"/>
            <w:vAlign w:val="center"/>
          </w:tcPr>
          <w:p w14:paraId="2FE490B8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 w:bidi="ar"/>
              </w:rPr>
              <w:t>15%</w:t>
            </w:r>
          </w:p>
        </w:tc>
      </w:tr>
    </w:tbl>
    <w:p w14:paraId="516C3367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E529D">
    <w:pPr>
      <w:spacing w:line="177" w:lineRule="auto"/>
      <w:ind w:left="4343"/>
      <w:rPr>
        <w:rFonts w:eastAsia="Times New Roma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526D42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26D42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94B2">
    <w:pPr>
      <w:spacing w:line="177" w:lineRule="auto"/>
      <w:ind w:left="4343"/>
      <w:rPr>
        <w:rFonts w:eastAsia="Times New Roma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56FC9C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6FC9C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cs="Times New Roman"/>
      <w:sz w:val="30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z w:val="32"/>
      <w:szCs w:val="24"/>
      <w:lang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2025-02-26T10:23:47Z</dcterms:created>
  <dc:creator>LINNN000</dc:creator>
  <cp:lastModifiedBy>LINNN000</cp:lastModifiedBy>
  <dcterms:modified xsi:type="dcterms:W3CDTF">2025-02-26T10:24:59Z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eyJoZGlkIjoiZWU5NDk4N2I4NGM5OTYxOTE3MmI3YzBiMzhhYTZmOGMiLCJ1c2VySWQiOiIxMjc2ODM5MzE0In0=</vt:lpwstr>
  </property>
  <property fmtid="{D5CDD505-2E9C-101B-9397-08002B2CF9AE}" pid="4" name="ICV">
    <vt:lpwstr>D4585F31B10F4B83A45CB49E29AABB18_12</vt:lpwstr>
  </property>
</Properties>
</file>