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283" w:leftChars="-135" w:right="-388" w:rightChars="-185"/>
        <w:jc w:val="left"/>
        <w:rPr>
          <w:rFonts w:hint="default" w:ascii="方正小标宋简体" w:hAnsi="方正小标宋简体" w:eastAsia="方正小标宋简体" w:cs="方正小标宋简体"/>
          <w:color w:val="auto"/>
          <w:spacing w:val="-24"/>
          <w:sz w:val="56"/>
          <w:szCs w:val="96"/>
          <w:lang w:val="en-US"/>
        </w:rPr>
      </w:pPr>
      <w:bookmarkStart w:id="27" w:name="_GoBack"/>
      <w:bookmarkEnd w:id="27"/>
    </w:p>
    <w:p>
      <w:pPr>
        <w:spacing w:line="600" w:lineRule="exact"/>
        <w:jc w:val="center"/>
        <w:rPr>
          <w:rFonts w:hint="eastAsia" w:ascii="方正小标宋简体" w:hAnsi="方正小标宋简体" w:eastAsia="方正小标宋简体" w:cs="方正小标宋简体"/>
          <w:color w:val="auto"/>
          <w:spacing w:val="-24"/>
          <w:sz w:val="44"/>
          <w:szCs w:val="44"/>
        </w:rPr>
      </w:pPr>
    </w:p>
    <w:p>
      <w:pPr>
        <w:spacing w:line="600" w:lineRule="exact"/>
        <w:jc w:val="center"/>
        <w:rPr>
          <w:rFonts w:hint="eastAsia" w:ascii="方正小标宋简体" w:hAnsi="方正小标宋简体" w:eastAsia="方正小标宋简体" w:cs="方正小标宋简体"/>
          <w:color w:val="auto"/>
          <w:spacing w:val="-24"/>
          <w:sz w:val="44"/>
          <w:szCs w:val="44"/>
        </w:rPr>
      </w:pPr>
      <w:r>
        <w:rPr>
          <w:rFonts w:hint="eastAsia" w:ascii="方正小标宋简体" w:hAnsi="方正小标宋简体" w:eastAsia="方正小标宋简体" w:cs="方正小标宋简体"/>
          <w:color w:val="auto"/>
          <w:spacing w:val="-24"/>
          <w:sz w:val="44"/>
          <w:szCs w:val="44"/>
        </w:rPr>
        <w:t>肾功和心肌酶生化类检测试剂省际</w:t>
      </w:r>
    </w:p>
    <w:p>
      <w:pPr>
        <w:spacing w:line="600" w:lineRule="exact"/>
        <w:jc w:val="center"/>
        <w:rPr>
          <w:rFonts w:hint="eastAsia" w:ascii="方正小标宋简体" w:hAnsi="方正小标宋简体" w:eastAsia="方正小标宋简体" w:cs="方正小标宋简体"/>
          <w:color w:val="auto"/>
          <w:spacing w:val="-24"/>
          <w:sz w:val="44"/>
          <w:szCs w:val="44"/>
        </w:rPr>
      </w:pPr>
      <w:r>
        <w:rPr>
          <w:rFonts w:hint="eastAsia" w:ascii="方正小标宋简体" w:hAnsi="方正小标宋简体" w:eastAsia="方正小标宋简体" w:cs="方正小标宋简体"/>
          <w:color w:val="auto"/>
          <w:spacing w:val="-24"/>
          <w:sz w:val="44"/>
          <w:szCs w:val="44"/>
        </w:rPr>
        <w:t>联盟集中带量采购文件</w:t>
      </w:r>
    </w:p>
    <w:p>
      <w:pPr>
        <w:spacing w:line="600" w:lineRule="exact"/>
        <w:jc w:val="center"/>
        <w:rPr>
          <w:rFonts w:hint="eastAsia" w:ascii="仿宋_GB2312" w:hAnsi="仿宋_GB2312" w:eastAsia="仿宋_GB2312" w:cs="仿宋_GB2312"/>
          <w:color w:val="auto"/>
          <w:spacing w:val="-24"/>
          <w:sz w:val="32"/>
          <w:szCs w:val="32"/>
        </w:rPr>
      </w:pPr>
      <w:r>
        <w:rPr>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24"/>
          <w:sz w:val="32"/>
          <w:szCs w:val="32"/>
          <w:lang w:val="en-US" w:eastAsia="zh-CN"/>
        </w:rPr>
        <w:t>征求意见稿</w:t>
      </w:r>
      <w:r>
        <w:rPr>
          <w:rFonts w:hint="eastAsia" w:ascii="仿宋_GB2312" w:hAnsi="仿宋_GB2312" w:eastAsia="仿宋_GB2312" w:cs="仿宋_GB2312"/>
          <w:color w:val="auto"/>
          <w:spacing w:val="-24"/>
          <w:sz w:val="32"/>
          <w:szCs w:val="32"/>
        </w:rPr>
        <w:t>）</w:t>
      </w:r>
    </w:p>
    <w:p>
      <w:pPr>
        <w:spacing w:line="600" w:lineRule="exact"/>
        <w:jc w:val="center"/>
        <w:rPr>
          <w:rFonts w:hint="eastAsia" w:ascii="仿宋_GB2312" w:hAnsi="华文楷体" w:eastAsia="仿宋_GB2312" w:cs="华文楷体"/>
          <w:bCs/>
          <w:color w:val="auto"/>
          <w:sz w:val="32"/>
          <w:szCs w:val="32"/>
        </w:rPr>
      </w:pPr>
    </w:p>
    <w:p>
      <w:pPr>
        <w:spacing w:line="600" w:lineRule="exact"/>
        <w:jc w:val="center"/>
        <w:rPr>
          <w:rFonts w:hint="eastAsia" w:ascii="黑体" w:hAnsi="黑体" w:eastAsia="黑体" w:cs="黑体"/>
          <w:bCs/>
          <w:color w:val="auto"/>
          <w:sz w:val="32"/>
          <w:szCs w:val="32"/>
        </w:rPr>
      </w:pPr>
      <w:r>
        <w:rPr>
          <w:rFonts w:hint="eastAsia" w:ascii="黑体" w:hAnsi="黑体" w:eastAsia="黑体" w:cs="黑体"/>
          <w:color w:val="auto"/>
          <w:sz w:val="32"/>
          <w:szCs w:val="32"/>
        </w:rPr>
        <w:t>采购文件编号：JX-HC2023-01</w:t>
      </w:r>
    </w:p>
    <w:p>
      <w:pPr>
        <w:spacing w:line="600" w:lineRule="exact"/>
        <w:jc w:val="center"/>
        <w:rPr>
          <w:rFonts w:hint="eastAsia" w:ascii="仿宋_GB2312" w:hAnsi="仿宋_GB2312" w:eastAsia="仿宋_GB2312" w:cs="仿宋_GB2312"/>
          <w:color w:val="auto"/>
          <w:sz w:val="44"/>
          <w:szCs w:val="44"/>
        </w:rPr>
      </w:pPr>
    </w:p>
    <w:p>
      <w:pPr>
        <w:spacing w:line="600" w:lineRule="exact"/>
        <w:jc w:val="center"/>
        <w:rPr>
          <w:rFonts w:hint="eastAsia" w:ascii="黑体" w:hAnsi="黑体" w:eastAsia="黑体" w:cs="黑体"/>
          <w:color w:val="auto"/>
          <w:sz w:val="44"/>
          <w:szCs w:val="44"/>
        </w:rPr>
      </w:pPr>
    </w:p>
    <w:p>
      <w:pPr>
        <w:spacing w:line="600" w:lineRule="exact"/>
        <w:rPr>
          <w:rFonts w:hint="eastAsia" w:ascii="黑体" w:hAnsi="黑体" w:eastAsia="黑体" w:cs="黑体"/>
          <w:color w:val="auto"/>
          <w:sz w:val="44"/>
          <w:szCs w:val="44"/>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p>
    <w:p>
      <w:pPr>
        <w:spacing w:line="60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江西省药品医用耗材集中采购联席会议办公室</w:t>
      </w:r>
    </w:p>
    <w:p>
      <w:pPr>
        <w:spacing w:line="60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2023年9月</w:t>
      </w:r>
    </w:p>
    <w:p>
      <w:pPr>
        <w:pStyle w:val="2"/>
        <w:spacing w:line="600" w:lineRule="exact"/>
        <w:rPr>
          <w:color w:val="auto"/>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before="4680" w:beforeLines="1500" w:line="600" w:lineRule="exact"/>
        <w:jc w:val="center"/>
        <w:outlineLvl w:val="0"/>
        <w:rPr>
          <w:rFonts w:hint="eastAsia" w:ascii="方正小标宋简体" w:hAnsi="方正小标宋简体" w:eastAsia="方正小标宋简体" w:cs="方正小标宋简体"/>
          <w:bCs/>
          <w:color w:val="auto"/>
          <w:sz w:val="44"/>
          <w:szCs w:val="44"/>
        </w:rPr>
      </w:pPr>
      <w:bookmarkStart w:id="0" w:name="_Toc89358207"/>
      <w:r>
        <w:rPr>
          <w:rFonts w:hint="eastAsia" w:ascii="方正小标宋简体" w:hAnsi="方正小标宋简体" w:eastAsia="方正小标宋简体" w:cs="方正小标宋简体"/>
          <w:bCs/>
          <w:color w:val="auto"/>
          <w:sz w:val="44"/>
          <w:szCs w:val="44"/>
        </w:rPr>
        <w:t>第一部分  采购邀请</w:t>
      </w:r>
      <w:bookmarkEnd w:id="0"/>
    </w:p>
    <w:p>
      <w:pPr>
        <w:pStyle w:val="2"/>
        <w:spacing w:line="600" w:lineRule="exact"/>
        <w:rPr>
          <w:color w:val="auto"/>
        </w:rPr>
      </w:pPr>
    </w:p>
    <w:p>
      <w:pPr>
        <w:pStyle w:val="2"/>
        <w:spacing w:line="600" w:lineRule="exact"/>
        <w:rPr>
          <w:color w:val="auto"/>
        </w:rPr>
        <w:sectPr>
          <w:footerReference r:id="rId5" w:type="default"/>
          <w:pgSz w:w="11906" w:h="16838"/>
          <w:pgMar w:top="1440" w:right="1706" w:bottom="1440" w:left="1800" w:header="851" w:footer="992" w:gutter="0"/>
          <w:pgNumType w:start="1"/>
          <w:cols w:space="720" w:num="1"/>
          <w:docGrid w:type="lines" w:linePitch="312" w:charSpace="0"/>
        </w:sectPr>
      </w:pPr>
    </w:p>
    <w:p>
      <w:pPr>
        <w:spacing w:line="6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省际联盟医用耗材带量采购邀请函</w:t>
      </w:r>
    </w:p>
    <w:p>
      <w:pPr>
        <w:spacing w:line="600" w:lineRule="exact"/>
        <w:jc w:val="center"/>
        <w:rPr>
          <w:rFonts w:hint="eastAsia" w:ascii="仿宋_GB2312" w:hAnsi="仿宋_GB2312" w:eastAsia="仿宋_GB2312" w:cs="仿宋_GB2312"/>
          <w:bCs/>
          <w:color w:val="auto"/>
          <w:sz w:val="32"/>
          <w:szCs w:val="32"/>
        </w:rPr>
      </w:pPr>
      <w:r>
        <w:rPr>
          <w:rFonts w:hint="eastAsia" w:ascii="仿宋_GB2312" w:hAnsi="华文楷体" w:eastAsia="仿宋_GB2312" w:cs="华文楷体"/>
          <w:bCs/>
          <w:color w:val="auto"/>
          <w:sz w:val="32"/>
          <w:szCs w:val="32"/>
        </w:rPr>
        <w:t>（</w:t>
      </w:r>
      <w:r>
        <w:rPr>
          <w:rFonts w:hint="eastAsia" w:ascii="仿宋_GB2312" w:hAnsi="华文楷体" w:eastAsia="仿宋_GB2312" w:cs="华文楷体"/>
          <w:color w:val="auto"/>
          <w:sz w:val="32"/>
          <w:szCs w:val="32"/>
        </w:rPr>
        <w:t>采购文件编号：JX-HC2023-01</w:t>
      </w:r>
      <w:r>
        <w:rPr>
          <w:rFonts w:hint="eastAsia" w:ascii="仿宋_GB2312" w:hAnsi="仿宋_GB2312" w:eastAsia="仿宋_GB2312" w:cs="仿宋_GB2312"/>
          <w:bCs/>
          <w:color w:val="auto"/>
          <w:sz w:val="32"/>
          <w:szCs w:val="32"/>
        </w:rPr>
        <w:t>）</w:t>
      </w:r>
    </w:p>
    <w:p>
      <w:pPr>
        <w:spacing w:line="600" w:lineRule="exact"/>
        <w:rPr>
          <w:rFonts w:ascii="仿宋_GB2312" w:hAnsi="宋体" w:eastAsia="仿宋_GB2312" w:cs="仿宋_GB2312"/>
          <w:color w:val="auto"/>
          <w:kern w:val="0"/>
          <w:sz w:val="31"/>
          <w:szCs w:val="31"/>
          <w:lang w:bidi="ar"/>
        </w:rPr>
      </w:pPr>
    </w:p>
    <w:p>
      <w:pPr>
        <w:spacing w:line="60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为贯彻落实</w:t>
      </w:r>
      <w:r>
        <w:rPr>
          <w:rFonts w:ascii="仿宋_GB2312" w:hAnsi="微软雅黑" w:eastAsia="仿宋_GB2312" w:cs="仿宋_GB2312"/>
          <w:color w:val="auto"/>
          <w:sz w:val="32"/>
          <w:szCs w:val="32"/>
        </w:rPr>
        <w:t>国家医保局等八部门《关于开展国家组织高值医用耗材集中带量采购和使用的指导意见》（医保发〔</w:t>
      </w:r>
      <w:r>
        <w:rPr>
          <w:rFonts w:eastAsia="微软雅黑"/>
          <w:color w:val="auto"/>
          <w:sz w:val="32"/>
          <w:szCs w:val="32"/>
        </w:rPr>
        <w:t>2021</w:t>
      </w:r>
      <w:r>
        <w:rPr>
          <w:rFonts w:hint="eastAsia" w:ascii="仿宋_GB2312" w:hAnsi="微软雅黑" w:eastAsia="仿宋_GB2312" w:cs="仿宋_GB2312"/>
          <w:color w:val="auto"/>
          <w:sz w:val="32"/>
          <w:szCs w:val="32"/>
        </w:rPr>
        <w:t>〕</w:t>
      </w:r>
      <w:r>
        <w:rPr>
          <w:rFonts w:eastAsia="微软雅黑"/>
          <w:color w:val="auto"/>
          <w:sz w:val="32"/>
          <w:szCs w:val="32"/>
        </w:rPr>
        <w:t>31</w:t>
      </w:r>
      <w:r>
        <w:rPr>
          <w:rFonts w:hint="eastAsia" w:ascii="仿宋_GB2312" w:hAnsi="微软雅黑" w:eastAsia="仿宋_GB2312" w:cs="仿宋_GB2312"/>
          <w:color w:val="auto"/>
          <w:sz w:val="32"/>
          <w:szCs w:val="32"/>
        </w:rPr>
        <w:t>号）等文件精神</w:t>
      </w:r>
      <w:r>
        <w:rPr>
          <w:rFonts w:hint="eastAsia" w:ascii="仿宋_GB2312" w:hAnsi="仿宋_GB2312" w:eastAsia="仿宋_GB2312" w:cs="仿宋_GB2312"/>
          <w:color w:val="auto"/>
          <w:kern w:val="0"/>
          <w:sz w:val="32"/>
          <w:szCs w:val="32"/>
          <w:lang w:bidi="ar"/>
        </w:rPr>
        <w:t>，江西省、河北省、山西省、内蒙古自治区、辽宁省、吉林省、黑龙江省、安徽省、福建省、河南省、湖南省、湖北省、广西壮族自治区、海南省、重庆市、四川省、贵州省、西藏自治区、陕西省、甘肃省、青海省、宁夏回族自治区、新疆维吾尔自治区、新疆生产建设兵团组成采购联盟，代表各地区公立医疗机构（含军队医疗机构）及自愿参加的医保定点社会办医疗机构等开展肾功和心肌酶生化类检测试剂集中带量采购，由江西省药品医用耗材集中采购联席会议办公室（以下简称“联席会议办公室”）承担日常工作并具体实施。</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现就开展肾功和心肌酶生化类检测试剂集中带量采购工作，邀请符合要求的企业积极参与。</w:t>
      </w:r>
    </w:p>
    <w:p>
      <w:pPr>
        <w:spacing w:line="600" w:lineRule="exact"/>
        <w:ind w:firstLine="640" w:firstLineChars="200"/>
        <w:outlineLvl w:val="1"/>
        <w:rPr>
          <w:rFonts w:ascii="黑体" w:hAnsi="黑体" w:eastAsia="黑体" w:cs="黑体"/>
          <w:color w:val="auto"/>
          <w:kern w:val="0"/>
          <w:sz w:val="32"/>
          <w:szCs w:val="32"/>
          <w:lang w:bidi="ar"/>
        </w:rPr>
      </w:pPr>
      <w:r>
        <w:rPr>
          <w:rFonts w:ascii="仿宋_GB2312" w:hAnsi="仿宋_GB2312" w:eastAsia="仿宋_GB2312" w:cs="仿宋_GB2312"/>
          <w:bCs/>
          <w:color w:val="auto"/>
          <w:sz w:val="32"/>
          <w:szCs w:val="32"/>
        </w:rPr>
        <w:br w:type="page"/>
      </w:r>
      <w:bookmarkStart w:id="1" w:name="_Toc89358208"/>
      <w:r>
        <w:rPr>
          <w:rFonts w:ascii="黑体" w:hAnsi="黑体" w:eastAsia="黑体" w:cs="黑体"/>
          <w:color w:val="auto"/>
          <w:kern w:val="0"/>
          <w:sz w:val="32"/>
          <w:szCs w:val="32"/>
          <w:lang w:bidi="ar"/>
        </w:rPr>
        <w:t>一、采购品种</w:t>
      </w:r>
      <w:r>
        <w:rPr>
          <w:rFonts w:hint="eastAsia" w:ascii="黑体" w:hAnsi="黑体" w:eastAsia="黑体" w:cs="黑体"/>
          <w:color w:val="auto"/>
          <w:kern w:val="0"/>
          <w:sz w:val="32"/>
          <w:szCs w:val="32"/>
          <w:lang w:bidi="ar"/>
        </w:rPr>
        <w:t>、</w:t>
      </w:r>
      <w:r>
        <w:rPr>
          <w:rFonts w:ascii="黑体" w:hAnsi="黑体" w:eastAsia="黑体" w:cs="黑体"/>
          <w:color w:val="auto"/>
          <w:kern w:val="0"/>
          <w:sz w:val="32"/>
          <w:szCs w:val="32"/>
          <w:lang w:bidi="ar"/>
        </w:rPr>
        <w:t>采购需求量</w:t>
      </w:r>
      <w:r>
        <w:rPr>
          <w:rFonts w:hint="eastAsia" w:ascii="黑体" w:hAnsi="黑体" w:eastAsia="黑体" w:cs="黑体"/>
          <w:color w:val="auto"/>
          <w:kern w:val="0"/>
          <w:sz w:val="32"/>
          <w:szCs w:val="32"/>
          <w:lang w:bidi="ar"/>
        </w:rPr>
        <w:t>及最高有效申报价</w:t>
      </w:r>
      <w:bookmarkEnd w:id="1"/>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（一）采购品种</w:t>
      </w:r>
    </w:p>
    <w:p>
      <w:pPr>
        <w:spacing w:line="600" w:lineRule="exact"/>
        <w:ind w:firstLine="640" w:firstLineChars="200"/>
        <w:rPr>
          <w:rFonts w:ascii="仿宋_GB2312" w:hAnsi="微软雅黑" w:eastAsia="仿宋_GB2312"/>
          <w:color w:val="auto"/>
          <w:sz w:val="32"/>
          <w:szCs w:val="32"/>
        </w:rPr>
      </w:pPr>
      <w:r>
        <w:rPr>
          <w:rFonts w:hint="eastAsia" w:ascii="仿宋_GB2312" w:hAnsi="微软雅黑" w:eastAsia="仿宋_GB2312"/>
          <w:color w:val="auto"/>
          <w:sz w:val="32"/>
          <w:szCs w:val="32"/>
        </w:rPr>
        <w:t>1.本次带量采购的品种，是指按医疗器械管理的用于人体样本体外检测的单品种液体肾功和心肌酶生化诊断试剂，具体见下表。</w:t>
      </w:r>
    </w:p>
    <w:tbl>
      <w:tblPr>
        <w:tblStyle w:val="7"/>
        <w:tblW w:w="8113" w:type="dxa"/>
        <w:tblInd w:w="151" w:type="dxa"/>
        <w:tblLayout w:type="autofit"/>
        <w:tblCellMar>
          <w:top w:w="0" w:type="dxa"/>
          <w:left w:w="108" w:type="dxa"/>
          <w:bottom w:w="0" w:type="dxa"/>
          <w:right w:w="108" w:type="dxa"/>
        </w:tblCellMar>
      </w:tblPr>
      <w:tblGrid>
        <w:gridCol w:w="1517"/>
        <w:gridCol w:w="2643"/>
        <w:gridCol w:w="1609"/>
        <w:gridCol w:w="2344"/>
      </w:tblGrid>
      <w:tr>
        <w:tblPrEx>
          <w:tblCellMar>
            <w:top w:w="0" w:type="dxa"/>
            <w:left w:w="108" w:type="dxa"/>
            <w:bottom w:w="0" w:type="dxa"/>
            <w:right w:w="108" w:type="dxa"/>
          </w:tblCellMar>
        </w:tblPrEx>
        <w:trPr>
          <w:trHeight w:val="615" w:hRule="atLeast"/>
        </w:trPr>
        <w:tc>
          <w:tcPr>
            <w:tcW w:w="1517" w:type="dxa"/>
            <w:tcBorders>
              <w:top w:val="single" w:color="auto" w:sz="4" w:space="0"/>
              <w:left w:val="single" w:color="auto" w:sz="4" w:space="0"/>
              <w:bottom w:val="nil"/>
              <w:right w:val="single" w:color="auto" w:sz="4" w:space="0"/>
            </w:tcBorders>
            <w:noWrap w:val="0"/>
            <w:vAlign w:val="center"/>
          </w:tcPr>
          <w:p>
            <w:pPr>
              <w:spacing w:line="420" w:lineRule="exact"/>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43" w:type="dxa"/>
            <w:tcBorders>
              <w:top w:val="single" w:color="auto" w:sz="4" w:space="0"/>
              <w:left w:val="nil"/>
              <w:bottom w:val="nil"/>
              <w:right w:val="single" w:color="auto" w:sz="4" w:space="0"/>
            </w:tcBorders>
            <w:noWrap w:val="0"/>
            <w:vAlign w:val="center"/>
          </w:tcPr>
          <w:p>
            <w:pPr>
              <w:spacing w:line="420" w:lineRule="exact"/>
              <w:jc w:val="center"/>
              <w:rPr>
                <w:rFonts w:hint="eastAsia" w:ascii="宋体" w:hAnsi="宋体" w:cs="宋体"/>
                <w:b/>
                <w:bCs/>
                <w:color w:val="auto"/>
                <w:kern w:val="0"/>
                <w:sz w:val="24"/>
              </w:rPr>
            </w:pPr>
            <w:r>
              <w:rPr>
                <w:rFonts w:hint="eastAsia" w:ascii="宋体" w:hAnsi="宋体" w:cs="宋体"/>
                <w:b/>
                <w:bCs/>
                <w:color w:val="auto"/>
                <w:kern w:val="0"/>
                <w:sz w:val="24"/>
              </w:rPr>
              <w:t>品种</w:t>
            </w:r>
          </w:p>
        </w:tc>
        <w:tc>
          <w:tcPr>
            <w:tcW w:w="1609" w:type="dxa"/>
            <w:tcBorders>
              <w:top w:val="single" w:color="auto" w:sz="4" w:space="0"/>
              <w:left w:val="nil"/>
              <w:bottom w:val="nil"/>
              <w:right w:val="single" w:color="auto" w:sz="4" w:space="0"/>
            </w:tcBorders>
            <w:noWrap w:val="0"/>
            <w:vAlign w:val="center"/>
          </w:tcPr>
          <w:p>
            <w:pPr>
              <w:spacing w:line="420" w:lineRule="exact"/>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344" w:type="dxa"/>
            <w:tcBorders>
              <w:top w:val="single" w:color="auto" w:sz="4" w:space="0"/>
              <w:left w:val="nil"/>
              <w:bottom w:val="nil"/>
              <w:right w:val="single" w:color="auto" w:sz="4" w:space="0"/>
            </w:tcBorders>
            <w:noWrap w:val="0"/>
            <w:vAlign w:val="center"/>
          </w:tcPr>
          <w:p>
            <w:pPr>
              <w:spacing w:line="420" w:lineRule="exact"/>
              <w:jc w:val="center"/>
              <w:rPr>
                <w:rFonts w:hint="eastAsia" w:ascii="宋体" w:hAnsi="宋体" w:cs="宋体"/>
                <w:b/>
                <w:bCs/>
                <w:color w:val="auto"/>
                <w:kern w:val="0"/>
                <w:sz w:val="24"/>
              </w:rPr>
            </w:pPr>
            <w:r>
              <w:rPr>
                <w:rFonts w:hint="eastAsia" w:ascii="宋体" w:hAnsi="宋体" w:cs="宋体"/>
                <w:b/>
                <w:bCs/>
                <w:color w:val="auto"/>
                <w:kern w:val="0"/>
                <w:sz w:val="24"/>
              </w:rPr>
              <w:t>品种</w:t>
            </w:r>
          </w:p>
        </w:tc>
      </w:tr>
      <w:tr>
        <w:tblPrEx>
          <w:tblCellMar>
            <w:top w:w="0" w:type="dxa"/>
            <w:left w:w="108" w:type="dxa"/>
            <w:bottom w:w="0" w:type="dxa"/>
            <w:right w:w="108" w:type="dxa"/>
          </w:tblCellMar>
        </w:tblPrEx>
        <w:trPr>
          <w:trHeight w:val="704" w:hRule="atLeast"/>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肾功能01</w:t>
            </w:r>
          </w:p>
        </w:tc>
        <w:tc>
          <w:tcPr>
            <w:tcW w:w="2643"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N-乙酰-β-D-氨基葡萄糖苷酶</w:t>
            </w:r>
          </w:p>
        </w:tc>
        <w:tc>
          <w:tcPr>
            <w:tcW w:w="1609"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肾功能09</w:t>
            </w:r>
          </w:p>
        </w:tc>
        <w:tc>
          <w:tcPr>
            <w:tcW w:w="2344"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尿微量白蛋白</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肾功能02</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α1-微球蛋白</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肾功能10</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尿微量总蛋白</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肾功能03</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α2-巨球蛋白</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肾功能11</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视黄醇结合蛋白</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肾功能04</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β2-微球蛋白</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肾功能12</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补体C1q</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肾功能05</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胱抑素</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肾功能13</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超氧化物歧化酶</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肾功能06</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肌酐</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肾功能14</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二氧化碳</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肾功能07</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尿免疫球蛋白G</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肾功能15</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尿酸</w:t>
            </w:r>
          </w:p>
        </w:tc>
      </w:tr>
      <w:tr>
        <w:tblPrEx>
          <w:tblCellMar>
            <w:top w:w="0" w:type="dxa"/>
            <w:left w:w="108" w:type="dxa"/>
            <w:bottom w:w="0" w:type="dxa"/>
            <w:right w:w="108" w:type="dxa"/>
          </w:tblCellMar>
        </w:tblPrEx>
        <w:trPr>
          <w:trHeight w:val="663"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肾功能08</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尿素</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肾功能16</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中性粒细胞明胶酶相关脂质运载蛋白</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心肌酶01</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α-羟丁酸脱氢酶</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心肌酶08</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乳酸脱氢酶同工酶</w:t>
            </w:r>
          </w:p>
        </w:tc>
      </w:tr>
      <w:tr>
        <w:tblPrEx>
          <w:tblCellMar>
            <w:top w:w="0" w:type="dxa"/>
            <w:left w:w="108" w:type="dxa"/>
            <w:bottom w:w="0" w:type="dxa"/>
            <w:right w:w="108" w:type="dxa"/>
          </w:tblCellMar>
        </w:tblPrEx>
        <w:trPr>
          <w:trHeight w:val="615" w:hRule="atLeast"/>
        </w:trPr>
        <w:tc>
          <w:tcPr>
            <w:tcW w:w="1517" w:type="dxa"/>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心肌酶02</w:t>
            </w:r>
          </w:p>
        </w:tc>
        <w:tc>
          <w:tcPr>
            <w:tcW w:w="2643"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肌钙蛋白I</w:t>
            </w:r>
          </w:p>
        </w:tc>
        <w:tc>
          <w:tcPr>
            <w:tcW w:w="1609"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心肌酶09</w:t>
            </w:r>
          </w:p>
        </w:tc>
        <w:tc>
          <w:tcPr>
            <w:tcW w:w="2344" w:type="dxa"/>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髓过氧化物酶</w:t>
            </w:r>
          </w:p>
        </w:tc>
      </w:tr>
      <w:tr>
        <w:tblPrEx>
          <w:tblCellMar>
            <w:top w:w="0" w:type="dxa"/>
            <w:left w:w="108" w:type="dxa"/>
            <w:bottom w:w="0" w:type="dxa"/>
            <w:right w:w="108" w:type="dxa"/>
          </w:tblCellMar>
        </w:tblPrEx>
        <w:trPr>
          <w:trHeight w:val="615" w:hRule="atLeast"/>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心肌酶03</w:t>
            </w:r>
          </w:p>
        </w:tc>
        <w:tc>
          <w:tcPr>
            <w:tcW w:w="2643"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肌钙蛋白T</w:t>
            </w:r>
          </w:p>
        </w:tc>
        <w:tc>
          <w:tcPr>
            <w:tcW w:w="1609"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心肌酶10</w:t>
            </w:r>
          </w:p>
        </w:tc>
        <w:tc>
          <w:tcPr>
            <w:tcW w:w="2344"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同型半胱氨酸</w:t>
            </w:r>
          </w:p>
        </w:tc>
      </w:tr>
      <w:tr>
        <w:tblPrEx>
          <w:tblCellMar>
            <w:top w:w="0" w:type="dxa"/>
            <w:left w:w="108" w:type="dxa"/>
            <w:bottom w:w="0" w:type="dxa"/>
            <w:right w:w="108" w:type="dxa"/>
          </w:tblCellMar>
        </w:tblPrEx>
        <w:trPr>
          <w:trHeight w:val="615" w:hRule="atLeast"/>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心肌酶04</w:t>
            </w:r>
          </w:p>
        </w:tc>
        <w:tc>
          <w:tcPr>
            <w:tcW w:w="2643"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肌红蛋白</w:t>
            </w:r>
          </w:p>
        </w:tc>
        <w:tc>
          <w:tcPr>
            <w:tcW w:w="1609"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心肌酶11</w:t>
            </w:r>
          </w:p>
        </w:tc>
        <w:tc>
          <w:tcPr>
            <w:tcW w:w="2344"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心脏型脂肪酸结合蛋白</w:t>
            </w:r>
          </w:p>
        </w:tc>
      </w:tr>
      <w:tr>
        <w:tblPrEx>
          <w:tblCellMar>
            <w:top w:w="0" w:type="dxa"/>
            <w:left w:w="108" w:type="dxa"/>
            <w:bottom w:w="0" w:type="dxa"/>
            <w:right w:w="108" w:type="dxa"/>
          </w:tblCellMar>
        </w:tblPrEx>
        <w:trPr>
          <w:trHeight w:val="615" w:hRule="atLeast"/>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心肌酶05</w:t>
            </w:r>
          </w:p>
        </w:tc>
        <w:tc>
          <w:tcPr>
            <w:tcW w:w="2643"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肌酸激酶</w:t>
            </w:r>
          </w:p>
        </w:tc>
        <w:tc>
          <w:tcPr>
            <w:tcW w:w="1609"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心肌酶12</w:t>
            </w:r>
          </w:p>
        </w:tc>
        <w:tc>
          <w:tcPr>
            <w:tcW w:w="2344"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血管紧张素转化酶</w:t>
            </w:r>
          </w:p>
        </w:tc>
      </w:tr>
      <w:tr>
        <w:tblPrEx>
          <w:tblCellMar>
            <w:top w:w="0" w:type="dxa"/>
            <w:left w:w="108" w:type="dxa"/>
            <w:bottom w:w="0" w:type="dxa"/>
            <w:right w:w="108" w:type="dxa"/>
          </w:tblCellMar>
        </w:tblPrEx>
        <w:trPr>
          <w:trHeight w:val="674" w:hRule="atLeast"/>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心肌酶06</w:t>
            </w:r>
          </w:p>
        </w:tc>
        <w:tc>
          <w:tcPr>
            <w:tcW w:w="2643"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肌酸激酶同工酶</w:t>
            </w:r>
          </w:p>
        </w:tc>
        <w:tc>
          <w:tcPr>
            <w:tcW w:w="1609"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心肌酶13</w:t>
            </w:r>
          </w:p>
        </w:tc>
        <w:tc>
          <w:tcPr>
            <w:tcW w:w="2344" w:type="dxa"/>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脂蛋白相关磷脂酶A2</w:t>
            </w:r>
          </w:p>
        </w:tc>
      </w:tr>
      <w:tr>
        <w:tblPrEx>
          <w:tblCellMar>
            <w:top w:w="0" w:type="dxa"/>
            <w:left w:w="108" w:type="dxa"/>
            <w:bottom w:w="0" w:type="dxa"/>
            <w:right w:w="108" w:type="dxa"/>
          </w:tblCellMar>
        </w:tblPrEx>
        <w:trPr>
          <w:trHeight w:val="615" w:hRule="atLeast"/>
        </w:trPr>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心肌酶07</w:t>
            </w: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缺血修饰白蛋白</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p>
        </w:tc>
        <w:tc>
          <w:tcPr>
            <w:tcW w:w="2344" w:type="dxa"/>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4"/>
              </w:rPr>
            </w:pPr>
          </w:p>
        </w:tc>
      </w:tr>
    </w:tbl>
    <w:p>
      <w:pPr>
        <w:spacing w:line="600" w:lineRule="exact"/>
        <w:ind w:firstLine="640" w:firstLineChars="200"/>
        <w:rPr>
          <w:rFonts w:hint="eastAsia" w:ascii="仿宋_GB2312" w:hAnsi="微软雅黑" w:eastAsia="仿宋_GB2312"/>
          <w:color w:val="auto"/>
          <w:sz w:val="32"/>
          <w:szCs w:val="32"/>
        </w:rPr>
      </w:pPr>
      <w:r>
        <w:rPr>
          <w:rFonts w:hint="eastAsia" w:ascii="仿宋_GB2312" w:hAnsi="微软雅黑" w:eastAsia="仿宋_GB2312"/>
          <w:color w:val="auto"/>
          <w:sz w:val="32"/>
          <w:szCs w:val="32"/>
        </w:rPr>
        <w:t>2.单独注册的诊断试剂、注册证中附带校准品和（或）质控品的诊断试剂均属于本次采购品种范围。</w:t>
      </w:r>
    </w:p>
    <w:p>
      <w:pPr>
        <w:spacing w:line="600" w:lineRule="exact"/>
        <w:ind w:firstLine="640" w:firstLineChars="200"/>
        <w:rPr>
          <w:rFonts w:eastAsia="仿宋_GB2312"/>
          <w:color w:val="auto"/>
        </w:rPr>
      </w:pPr>
      <w:r>
        <w:rPr>
          <w:rFonts w:hint="eastAsia" w:ascii="仿宋_GB2312" w:hAnsi="微软雅黑" w:eastAsia="仿宋_GB2312"/>
          <w:color w:val="auto"/>
          <w:sz w:val="32"/>
          <w:szCs w:val="32"/>
        </w:rPr>
        <w:t>3.品种大于或等于2种的联合诊断试剂不在本次采购品种范围之内。干性试剂、试纸条和按药品管理的诊断试剂，不在本次采购品种范围之内。</w:t>
      </w:r>
    </w:p>
    <w:p>
      <w:pPr>
        <w:spacing w:line="600" w:lineRule="exact"/>
        <w:ind w:firstLine="642" w:firstLineChars="200"/>
        <w:rPr>
          <w:rFonts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（二）采购需求量</w:t>
      </w:r>
    </w:p>
    <w:p>
      <w:pPr>
        <w:widowControl/>
        <w:spacing w:line="600" w:lineRule="exact"/>
        <w:ind w:firstLine="640" w:firstLineChars="200"/>
        <w:rPr>
          <w:rFonts w:hint="eastAsia" w:ascii="仿宋_GB2312" w:hAnsi="微软雅黑" w:eastAsia="仿宋_GB2312"/>
          <w:color w:val="auto"/>
          <w:sz w:val="32"/>
          <w:szCs w:val="32"/>
        </w:rPr>
      </w:pPr>
      <w:r>
        <w:rPr>
          <w:rFonts w:hint="eastAsia" w:ascii="仿宋_GB2312" w:hAnsi="微软雅黑" w:eastAsia="仿宋_GB2312"/>
          <w:color w:val="auto"/>
          <w:sz w:val="32"/>
          <w:szCs w:val="32"/>
        </w:rPr>
        <w:t>1.以企业申报的产品（具体到包装规格）为对象，组织联盟地区医疗机构报送年度采购需求量。根据包装计量单位，将各品种分为ml和测试两组，分别计算各品种ml和测试两组的采购需求量。各品种各联盟首年采购需求量详见附表。</w:t>
      </w:r>
    </w:p>
    <w:p>
      <w:pPr>
        <w:widowControl/>
        <w:spacing w:line="600" w:lineRule="exact"/>
        <w:ind w:firstLine="640" w:firstLineChars="200"/>
        <w:rPr>
          <w:rFonts w:hint="eastAsia" w:ascii="仿宋_GB2312" w:hAnsi="微软雅黑" w:eastAsia="仿宋_GB2312"/>
          <w:color w:val="auto"/>
          <w:sz w:val="32"/>
          <w:szCs w:val="32"/>
        </w:rPr>
      </w:pPr>
      <w:r>
        <w:rPr>
          <w:rFonts w:hint="eastAsia" w:ascii="仿宋_GB2312" w:hAnsi="微软雅黑" w:eastAsia="仿宋_GB2312"/>
          <w:color w:val="auto"/>
          <w:sz w:val="32"/>
          <w:szCs w:val="32"/>
        </w:rPr>
        <w:t>2.以ml为包装计量单位的浓缩型产品、检测试剂与稀释液分别注册的产品，由企业提供注册证、说明书、上机参数等材料，按照试剂与稀释液的比例，换算每盒ml数。</w:t>
      </w:r>
    </w:p>
    <w:p>
      <w:pPr>
        <w:widowControl/>
        <w:spacing w:line="600" w:lineRule="exact"/>
        <w:ind w:firstLine="640" w:firstLineChars="200"/>
        <w:rPr>
          <w:color w:val="auto"/>
        </w:rPr>
        <w:sectPr>
          <w:pgSz w:w="11906" w:h="16838"/>
          <w:pgMar w:top="1440" w:right="1906" w:bottom="1440" w:left="1800" w:header="851" w:footer="992" w:gutter="0"/>
          <w:cols w:space="720" w:num="1"/>
          <w:docGrid w:type="lines" w:linePitch="312" w:charSpace="0"/>
        </w:sectPr>
      </w:pPr>
      <w:r>
        <w:rPr>
          <w:rFonts w:hint="eastAsia" w:ascii="仿宋_GB2312" w:hAnsi="微软雅黑" w:eastAsia="仿宋_GB2312"/>
          <w:color w:val="auto"/>
          <w:sz w:val="32"/>
          <w:szCs w:val="32"/>
        </w:rPr>
        <w:t>3.计算每盒ml数时，校准品和质控品等不纳入计算。注册证中附带校准品和（或）质控品应按需免费提供。</w:t>
      </w:r>
    </w:p>
    <w:p>
      <w:pPr>
        <w:pStyle w:val="4"/>
        <w:spacing w:line="600" w:lineRule="exact"/>
        <w:jc w:val="center"/>
        <w:rPr>
          <w:rFonts w:hint="eastAsia" w:ascii="宋体" w:hAnsi="宋体" w:cs="宋体"/>
          <w:b/>
          <w:color w:val="auto"/>
          <w:sz w:val="32"/>
          <w:szCs w:val="32"/>
        </w:rPr>
      </w:pPr>
      <w:r>
        <w:rPr>
          <w:rFonts w:hint="eastAsia" w:ascii="宋体" w:hAnsi="宋体" w:cs="宋体"/>
          <w:b/>
          <w:color w:val="auto"/>
          <w:kern w:val="0"/>
          <w:sz w:val="32"/>
          <w:szCs w:val="32"/>
          <w:lang w:bidi="ar"/>
        </w:rPr>
        <w:t>肾功和心肌酶生化类检测试剂</w:t>
      </w:r>
      <w:r>
        <w:rPr>
          <w:rFonts w:hint="eastAsia" w:ascii="宋体" w:hAnsi="宋体" w:cs="宋体"/>
          <w:b/>
          <w:color w:val="auto"/>
          <w:kern w:val="0"/>
          <w:sz w:val="32"/>
          <w:szCs w:val="32"/>
        </w:rPr>
        <w:t>首年采购需求量</w:t>
      </w:r>
    </w:p>
    <w:tbl>
      <w:tblPr>
        <w:tblStyle w:val="7"/>
        <w:tblW w:w="4952" w:type="pct"/>
        <w:tblInd w:w="60" w:type="dxa"/>
        <w:tblLayout w:type="autofit"/>
        <w:tblCellMar>
          <w:top w:w="0" w:type="dxa"/>
          <w:left w:w="28" w:type="dxa"/>
          <w:bottom w:w="0" w:type="dxa"/>
          <w:right w:w="28" w:type="dxa"/>
        </w:tblCellMar>
      </w:tblPr>
      <w:tblGrid>
        <w:gridCol w:w="1935"/>
        <w:gridCol w:w="5049"/>
        <w:gridCol w:w="3560"/>
        <w:gridCol w:w="3335"/>
      </w:tblGrid>
      <w:tr>
        <w:tblPrEx>
          <w:tblCellMar>
            <w:top w:w="0" w:type="dxa"/>
            <w:left w:w="28" w:type="dxa"/>
            <w:bottom w:w="0" w:type="dxa"/>
            <w:right w:w="28" w:type="dxa"/>
          </w:tblCellMar>
        </w:tblPrEx>
        <w:trPr>
          <w:cantSplit/>
          <w:trHeight w:val="288" w:hRule="atLeast"/>
          <w:tblHeader/>
        </w:trPr>
        <w:tc>
          <w:tcPr>
            <w:tcW w:w="697"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序号</w:t>
            </w:r>
          </w:p>
        </w:tc>
        <w:tc>
          <w:tcPr>
            <w:tcW w:w="181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品种</w:t>
            </w:r>
          </w:p>
        </w:tc>
        <w:tc>
          <w:tcPr>
            <w:tcW w:w="2483" w:type="pct"/>
            <w:gridSpan w:val="2"/>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首年采购需求量</w:t>
            </w:r>
          </w:p>
        </w:tc>
      </w:tr>
      <w:tr>
        <w:tblPrEx>
          <w:tblCellMar>
            <w:top w:w="0" w:type="dxa"/>
            <w:left w:w="28" w:type="dxa"/>
            <w:bottom w:w="0" w:type="dxa"/>
            <w:right w:w="28" w:type="dxa"/>
          </w:tblCellMar>
        </w:tblPrEx>
        <w:trPr>
          <w:cantSplit/>
          <w:trHeight w:val="288" w:hRule="atLeast"/>
          <w:tblHeader/>
        </w:trPr>
        <w:tc>
          <w:tcPr>
            <w:tcW w:w="697"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b/>
                <w:color w:val="auto"/>
                <w:kern w:val="0"/>
                <w:sz w:val="24"/>
              </w:rPr>
            </w:pPr>
          </w:p>
        </w:tc>
        <w:tc>
          <w:tcPr>
            <w:tcW w:w="181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b/>
                <w:color w:val="auto"/>
                <w:kern w:val="0"/>
                <w:sz w:val="24"/>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ml</w:t>
            </w: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测试</w:t>
            </w: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4</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5</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6</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7</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8</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9</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10</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11</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12</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13</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14</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15</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16</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17</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18</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19</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20</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21</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22</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23</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24</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nil"/>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25</w:t>
            </w:r>
          </w:p>
        </w:tc>
        <w:tc>
          <w:tcPr>
            <w:tcW w:w="1818"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nil"/>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26</w:t>
            </w:r>
          </w:p>
        </w:tc>
        <w:tc>
          <w:tcPr>
            <w:tcW w:w="1818"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27</w:t>
            </w:r>
          </w:p>
        </w:tc>
        <w:tc>
          <w:tcPr>
            <w:tcW w:w="1818"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28</w:t>
            </w:r>
          </w:p>
        </w:tc>
        <w:tc>
          <w:tcPr>
            <w:tcW w:w="1818"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r>
        <w:tblPrEx>
          <w:tblCellMar>
            <w:top w:w="0" w:type="dxa"/>
            <w:left w:w="28" w:type="dxa"/>
            <w:bottom w:w="0" w:type="dxa"/>
            <w:right w:w="28" w:type="dxa"/>
          </w:tblCellMar>
        </w:tblPrEx>
        <w:trPr>
          <w:trHeight w:val="288" w:hRule="atLeast"/>
        </w:trPr>
        <w:tc>
          <w:tcPr>
            <w:tcW w:w="697" w:type="pct"/>
            <w:tcBorders>
              <w:top w:val="single" w:color="auto" w:sz="4" w:space="0"/>
              <w:left w:val="single" w:color="auto" w:sz="4" w:space="0"/>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r>
              <w:rPr>
                <w:rFonts w:hint="eastAsia" w:ascii="宋体" w:hAnsi="宋体" w:cs="宋体"/>
                <w:color w:val="auto"/>
                <w:kern w:val="0"/>
                <w:sz w:val="28"/>
                <w:szCs w:val="28"/>
              </w:rPr>
              <w:t>29</w:t>
            </w:r>
          </w:p>
        </w:tc>
        <w:tc>
          <w:tcPr>
            <w:tcW w:w="1818"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kern w:val="0"/>
                <w:sz w:val="28"/>
                <w:szCs w:val="28"/>
              </w:rPr>
            </w:pPr>
          </w:p>
        </w:tc>
        <w:tc>
          <w:tcPr>
            <w:tcW w:w="1282"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c>
          <w:tcPr>
            <w:tcW w:w="1201" w:type="pct"/>
            <w:tcBorders>
              <w:top w:val="single" w:color="auto" w:sz="4" w:space="0"/>
              <w:left w:val="nil"/>
              <w:bottom w:val="single" w:color="auto" w:sz="4" w:space="0"/>
              <w:right w:val="single" w:color="auto" w:sz="4" w:space="0"/>
            </w:tcBorders>
            <w:noWrap w:val="0"/>
            <w:vAlign w:val="center"/>
          </w:tcPr>
          <w:p>
            <w:pPr>
              <w:widowControl/>
              <w:spacing w:line="420" w:lineRule="exact"/>
              <w:jc w:val="center"/>
              <w:rPr>
                <w:rFonts w:hint="eastAsia" w:ascii="宋体" w:hAnsi="宋体" w:cs="宋体"/>
                <w:color w:val="auto"/>
                <w:sz w:val="28"/>
                <w:szCs w:val="28"/>
              </w:rPr>
            </w:pPr>
          </w:p>
        </w:tc>
      </w:tr>
    </w:tbl>
    <w:p>
      <w:pPr>
        <w:spacing w:line="600" w:lineRule="exact"/>
        <w:rPr>
          <w:rFonts w:hint="eastAsia"/>
          <w:color w:val="auto"/>
        </w:rPr>
      </w:pPr>
    </w:p>
    <w:p>
      <w:pPr>
        <w:pStyle w:val="4"/>
        <w:spacing w:line="600" w:lineRule="exact"/>
        <w:rPr>
          <w:color w:val="auto"/>
        </w:rPr>
        <w:sectPr>
          <w:pgSz w:w="16838" w:h="11906" w:orient="landscape"/>
          <w:pgMar w:top="1906" w:right="1440" w:bottom="1800" w:left="1440" w:header="851" w:footer="992" w:gutter="0"/>
          <w:cols w:space="720" w:num="1"/>
          <w:docGrid w:type="lines" w:linePitch="312" w:charSpace="0"/>
        </w:sectPr>
      </w:pP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（三）最高有效申报价</w:t>
      </w:r>
    </w:p>
    <w:p>
      <w:pPr>
        <w:spacing w:line="600" w:lineRule="exact"/>
        <w:ind w:firstLine="640" w:firstLineChars="200"/>
        <w:rPr>
          <w:rFonts w:hint="eastAsia" w:ascii="仿宋_GB2312" w:hAnsi="微软雅黑" w:eastAsia="仿宋_GB2312"/>
          <w:color w:val="auto"/>
          <w:sz w:val="32"/>
          <w:szCs w:val="32"/>
        </w:rPr>
      </w:pPr>
      <w:bookmarkStart w:id="2" w:name="_Toc89358209"/>
      <w:r>
        <w:rPr>
          <w:rFonts w:hint="eastAsia" w:ascii="仿宋_GB2312" w:hAnsi="微软雅黑" w:eastAsia="仿宋_GB2312"/>
          <w:color w:val="auto"/>
          <w:sz w:val="32"/>
          <w:szCs w:val="32"/>
        </w:rPr>
        <w:t>以ml和测试为单位，分别制定29个品种的最高有效申报价。</w:t>
      </w:r>
    </w:p>
    <w:tbl>
      <w:tblPr>
        <w:tblStyle w:val="7"/>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93"/>
        <w:gridCol w:w="1954"/>
        <w:gridCol w:w="2724"/>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1293" w:type="dxa"/>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序号</w:t>
            </w:r>
          </w:p>
        </w:tc>
        <w:tc>
          <w:tcPr>
            <w:tcW w:w="1954" w:type="dxa"/>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品种</w:t>
            </w:r>
          </w:p>
        </w:tc>
        <w:tc>
          <w:tcPr>
            <w:tcW w:w="2724" w:type="dxa"/>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最高有效申报价（元/ml）</w:t>
            </w:r>
          </w:p>
        </w:tc>
        <w:tc>
          <w:tcPr>
            <w:tcW w:w="2200" w:type="dxa"/>
            <w:noWrap w:val="0"/>
            <w:vAlign w:val="center"/>
          </w:tcPr>
          <w:p>
            <w:pPr>
              <w:widowControl/>
              <w:spacing w:line="420" w:lineRule="exact"/>
              <w:jc w:val="center"/>
              <w:rPr>
                <w:rFonts w:hint="eastAsia" w:ascii="宋体" w:hAnsi="宋体" w:cs="宋体"/>
                <w:b/>
                <w:color w:val="auto"/>
                <w:kern w:val="0"/>
                <w:sz w:val="24"/>
              </w:rPr>
            </w:pPr>
            <w:r>
              <w:rPr>
                <w:rFonts w:hint="eastAsia" w:ascii="宋体" w:hAnsi="宋体" w:cs="宋体"/>
                <w:b/>
                <w:color w:val="auto"/>
                <w:kern w:val="0"/>
                <w:sz w:val="24"/>
              </w:rPr>
              <w:t>最高有效申报价（元/测试）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3</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4</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5</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6</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7</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8</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9</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10</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11</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12</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13</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14</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15</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16</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17</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18</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19</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20</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21</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22</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23</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24</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25</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26</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27</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28</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293" w:type="dxa"/>
            <w:noWrap w:val="0"/>
            <w:vAlign w:val="top"/>
          </w:tcPr>
          <w:p>
            <w:pPr>
              <w:widowControl/>
              <w:spacing w:line="420" w:lineRule="exact"/>
              <w:jc w:val="center"/>
              <w:rPr>
                <w:rFonts w:hint="eastAsia" w:ascii="宋体" w:hAnsi="宋体" w:cs="宋体"/>
                <w:color w:val="auto"/>
                <w:kern w:val="0"/>
                <w:sz w:val="24"/>
              </w:rPr>
            </w:pPr>
            <w:r>
              <w:rPr>
                <w:rFonts w:hint="eastAsia" w:ascii="宋体" w:hAnsi="宋体" w:cs="宋体"/>
                <w:color w:val="auto"/>
                <w:kern w:val="0"/>
                <w:sz w:val="24"/>
              </w:rPr>
              <w:t>29</w:t>
            </w:r>
          </w:p>
        </w:tc>
        <w:tc>
          <w:tcPr>
            <w:tcW w:w="1954" w:type="dxa"/>
            <w:noWrap w:val="0"/>
            <w:vAlign w:val="top"/>
          </w:tcPr>
          <w:p>
            <w:pPr>
              <w:widowControl/>
              <w:spacing w:line="420" w:lineRule="exact"/>
              <w:jc w:val="center"/>
              <w:rPr>
                <w:rFonts w:hint="eastAsia" w:ascii="宋体" w:hAnsi="宋体" w:cs="宋体"/>
                <w:color w:val="auto"/>
                <w:kern w:val="0"/>
                <w:sz w:val="24"/>
              </w:rPr>
            </w:pPr>
          </w:p>
        </w:tc>
        <w:tc>
          <w:tcPr>
            <w:tcW w:w="2724" w:type="dxa"/>
            <w:noWrap w:val="0"/>
            <w:vAlign w:val="center"/>
          </w:tcPr>
          <w:p>
            <w:pPr>
              <w:spacing w:line="420" w:lineRule="exact"/>
              <w:jc w:val="center"/>
              <w:rPr>
                <w:rFonts w:hint="eastAsia" w:ascii="宋体" w:hAnsi="宋体" w:cs="宋体"/>
                <w:color w:val="auto"/>
                <w:sz w:val="24"/>
              </w:rPr>
            </w:pPr>
          </w:p>
        </w:tc>
        <w:tc>
          <w:tcPr>
            <w:tcW w:w="2200" w:type="dxa"/>
            <w:noWrap w:val="0"/>
            <w:vAlign w:val="center"/>
          </w:tcPr>
          <w:p>
            <w:pPr>
              <w:spacing w:line="420" w:lineRule="exact"/>
              <w:jc w:val="center"/>
              <w:rPr>
                <w:rFonts w:hint="eastAsia" w:ascii="宋体" w:hAnsi="宋体" w:cs="宋体"/>
                <w:color w:val="auto"/>
                <w:sz w:val="24"/>
              </w:rPr>
            </w:pPr>
          </w:p>
        </w:tc>
      </w:tr>
    </w:tbl>
    <w:p>
      <w:pPr>
        <w:spacing w:line="600" w:lineRule="exact"/>
        <w:ind w:firstLine="640" w:firstLineChars="200"/>
        <w:outlineLvl w:val="1"/>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二、申报要求</w:t>
      </w:r>
      <w:bookmarkEnd w:id="2"/>
    </w:p>
    <w:p>
      <w:pPr>
        <w:spacing w:line="600" w:lineRule="exact"/>
        <w:ind w:firstLine="642" w:firstLineChars="200"/>
        <w:rPr>
          <w:rFonts w:ascii="楷体" w:hAnsi="楷体" w:eastAsia="楷体" w:cs="楷体"/>
          <w:b/>
          <w:bCs/>
          <w:color w:val="auto"/>
          <w:kern w:val="0"/>
          <w:sz w:val="32"/>
          <w:szCs w:val="32"/>
          <w:lang w:bidi="ar"/>
        </w:rPr>
      </w:pPr>
      <w:r>
        <w:rPr>
          <w:rFonts w:ascii="楷体" w:hAnsi="楷体" w:eastAsia="楷体" w:cs="楷体"/>
          <w:b/>
          <w:bCs/>
          <w:color w:val="auto"/>
          <w:kern w:val="0"/>
          <w:sz w:val="32"/>
          <w:szCs w:val="32"/>
          <w:lang w:bidi="ar"/>
        </w:rPr>
        <w:t>（一）申报企业资格及相关要求</w:t>
      </w:r>
    </w:p>
    <w:p>
      <w:pPr>
        <w:spacing w:line="600" w:lineRule="exact"/>
        <w:ind w:firstLine="640" w:firstLineChars="200"/>
        <w:rPr>
          <w:rFonts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1.申报企业为已取得本次集中带量采购品种合法资质的医疗器械注册人（代理人）</w:t>
      </w:r>
      <w:r>
        <w:rPr>
          <w:rFonts w:ascii="仿宋_GB2312" w:hAnsi="宋体" w:eastAsia="仿宋_GB2312" w:cs="仿宋_GB2312"/>
          <w:color w:val="auto"/>
          <w:kern w:val="0"/>
          <w:sz w:val="32"/>
          <w:szCs w:val="32"/>
          <w:lang w:bidi="ar"/>
        </w:rPr>
        <w:t>。其中，境外医疗器械注册人（代理人）应当指定我国境内企业法人协助其履行相应的法律义务，委托其作为申报企业。同一医疗器械注册人（代理人）的</w:t>
      </w:r>
      <w:r>
        <w:rPr>
          <w:rFonts w:hint="eastAsia" w:ascii="仿宋_GB2312" w:hAnsi="宋体" w:eastAsia="仿宋_GB2312" w:cs="仿宋_GB2312"/>
          <w:color w:val="auto"/>
          <w:kern w:val="0"/>
          <w:sz w:val="32"/>
          <w:szCs w:val="32"/>
          <w:lang w:bidi="ar"/>
        </w:rPr>
        <w:t>同一品种不得委托不同企业进行申报，否则视为无效申报。</w:t>
      </w:r>
      <w:r>
        <w:rPr>
          <w:rFonts w:ascii="仿宋_GB2312" w:hAnsi="宋体" w:eastAsia="仿宋_GB2312" w:cs="仿宋_GB2312"/>
          <w:color w:val="auto"/>
          <w:kern w:val="0"/>
          <w:sz w:val="32"/>
          <w:szCs w:val="32"/>
          <w:lang w:bidi="ar"/>
        </w:rPr>
        <w:t>不同医疗器械注册人（代理人）委托同一家企业申报的，视为多个申报企业。</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申报企业未被列入当前《全国医药价格和招采失信企业风险警示名单》，未被国家组织高值医用耗材联合采购办公室列入“违规名单”，未被</w:t>
      </w:r>
      <w:r>
        <w:rPr>
          <w:rFonts w:hint="eastAsia" w:ascii="仿宋_GB2312" w:hAnsi="仿宋_GB2312" w:eastAsia="仿宋_GB2312" w:cs="仿宋_GB2312"/>
          <w:color w:val="auto"/>
          <w:kern w:val="0"/>
          <w:sz w:val="32"/>
          <w:szCs w:val="32"/>
          <w:lang w:bidi="ar"/>
        </w:rPr>
        <w:t>国家或联盟地区</w:t>
      </w:r>
      <w:r>
        <w:rPr>
          <w:rFonts w:hint="eastAsia" w:ascii="仿宋_GB2312" w:hAnsi="宋体" w:eastAsia="仿宋_GB2312" w:cs="仿宋_GB2312"/>
          <w:color w:val="auto"/>
          <w:kern w:val="0"/>
          <w:sz w:val="32"/>
          <w:szCs w:val="32"/>
          <w:lang w:bidi="ar"/>
        </w:rPr>
        <w:t>依据医药价格和招采信用评价制度评定为“严重”或“特别严重”失信等级。</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3.</w:t>
      </w:r>
      <w:r>
        <w:rPr>
          <w:rFonts w:hint="eastAsia" w:ascii="仿宋_GB2312" w:hAnsi="宋体" w:eastAsia="仿宋_GB2312" w:cs="仿宋_GB2312"/>
          <w:color w:val="auto"/>
          <w:kern w:val="0"/>
          <w:sz w:val="32"/>
          <w:szCs w:val="32"/>
          <w:lang w:bidi="ar"/>
        </w:rPr>
        <w:t>申报企业应遵守《中华人民共和国民法典》《中华人民共和国专利法》《中华人民共和国反不正当竞争法》等相关法律法规。</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4.</w:t>
      </w:r>
      <w:r>
        <w:rPr>
          <w:rFonts w:hint="eastAsia" w:ascii="仿宋_GB2312" w:hAnsi="宋体" w:eastAsia="仿宋_GB2312" w:cs="仿宋_GB2312"/>
          <w:color w:val="auto"/>
          <w:kern w:val="0"/>
          <w:sz w:val="32"/>
          <w:szCs w:val="32"/>
          <w:lang w:bidi="ar"/>
        </w:rPr>
        <w:t>申报企业须依据医药价格和招采信用评价制度向</w:t>
      </w:r>
      <w:r>
        <w:rPr>
          <w:rFonts w:hint="eastAsia" w:ascii="仿宋_GB2312" w:hAnsi="仿宋_GB2312" w:eastAsia="仿宋_GB2312" w:cs="仿宋_GB2312"/>
          <w:color w:val="auto"/>
          <w:kern w:val="0"/>
          <w:sz w:val="32"/>
          <w:szCs w:val="32"/>
          <w:lang w:bidi="ar"/>
        </w:rPr>
        <w:t>联席会议办公室作出</w:t>
      </w:r>
      <w:r>
        <w:rPr>
          <w:rFonts w:hint="eastAsia" w:ascii="仿宋_GB2312" w:hAnsi="宋体" w:eastAsia="仿宋_GB2312" w:cs="仿宋_GB2312"/>
          <w:color w:val="auto"/>
          <w:kern w:val="0"/>
          <w:sz w:val="32"/>
          <w:szCs w:val="32"/>
          <w:lang w:bidi="ar"/>
        </w:rPr>
        <w:t>承诺，该承诺或将根据工作需要进行公开。</w:t>
      </w:r>
    </w:p>
    <w:p>
      <w:pPr>
        <w:spacing w:line="600" w:lineRule="exact"/>
        <w:ind w:firstLine="640" w:firstLineChars="200"/>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 xml:space="preserve">（二）申报产品资格要求 </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申报产品属于带量采购品种范围，并获得有效中华人民共和国医疗器械注册证。</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申报产品应当符合国家有关部门的质量标准要求，并按国家有关部门要求组织生产。</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3.2022年以来，申报产品不存在省级（含）以上药品监督管理部门质量检验不合格情况;申报企业不存在因申报产品质量等问题被省级（含）以上药品监督管理部门处罚过的情况。</w:t>
      </w:r>
    </w:p>
    <w:p>
      <w:pPr>
        <w:spacing w:line="600" w:lineRule="exact"/>
        <w:ind w:firstLine="419" w:firstLineChars="131"/>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4.申报信息公开当日，申报产品的注册证应在有效期内。</w:t>
      </w:r>
    </w:p>
    <w:p>
      <w:pPr>
        <w:spacing w:line="600" w:lineRule="exact"/>
        <w:ind w:firstLine="640" w:firstLineChars="200"/>
        <w:outlineLvl w:val="1"/>
        <w:rPr>
          <w:rFonts w:ascii="黑体" w:hAnsi="黑体" w:eastAsia="黑体" w:cs="黑体"/>
          <w:color w:val="auto"/>
          <w:kern w:val="0"/>
          <w:sz w:val="32"/>
          <w:szCs w:val="32"/>
          <w:lang w:bidi="ar"/>
        </w:rPr>
      </w:pPr>
      <w:bookmarkStart w:id="3" w:name="_Toc89358210"/>
      <w:r>
        <w:rPr>
          <w:rFonts w:ascii="黑体" w:hAnsi="黑体" w:eastAsia="黑体" w:cs="黑体"/>
          <w:color w:val="auto"/>
          <w:kern w:val="0"/>
          <w:sz w:val="32"/>
          <w:szCs w:val="32"/>
          <w:lang w:bidi="ar"/>
        </w:rPr>
        <w:t>三、采购周期与采购协议</w:t>
      </w:r>
      <w:bookmarkEnd w:id="3"/>
    </w:p>
    <w:p>
      <w:pPr>
        <w:spacing w:line="600" w:lineRule="exact"/>
        <w:ind w:firstLine="640" w:firstLineChars="200"/>
        <w:rPr>
          <w:rFonts w:hint="eastAsia" w:ascii="仿宋_GB2312" w:hAnsi="微软雅黑" w:eastAsia="仿宋_GB2312"/>
          <w:color w:val="auto"/>
          <w:sz w:val="32"/>
          <w:szCs w:val="32"/>
        </w:rPr>
      </w:pPr>
      <w:r>
        <w:rPr>
          <w:rFonts w:hint="eastAsia" w:ascii="仿宋_GB2312" w:hAnsi="宋体" w:eastAsia="仿宋_GB2312" w:cs="仿宋_GB2312"/>
          <w:color w:val="auto"/>
          <w:kern w:val="0"/>
          <w:sz w:val="32"/>
          <w:szCs w:val="32"/>
          <w:lang w:bidi="ar"/>
        </w:rPr>
        <w:t>（一）</w:t>
      </w:r>
      <w:r>
        <w:rPr>
          <w:rFonts w:hint="eastAsia" w:ascii="仿宋_GB2312" w:hAnsi="微软雅黑" w:eastAsia="仿宋_GB2312"/>
          <w:color w:val="auto"/>
          <w:sz w:val="32"/>
          <w:szCs w:val="32"/>
        </w:rPr>
        <w:t>本次带量采购周期为2年，可视情况延长1年，</w:t>
      </w:r>
    </w:p>
    <w:p>
      <w:pPr>
        <w:spacing w:line="600" w:lineRule="exact"/>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自中选结果实际执行之日起计算。</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（二）</w:t>
      </w:r>
      <w:r>
        <w:rPr>
          <w:rFonts w:ascii="仿宋_GB2312" w:hAnsi="宋体" w:eastAsia="仿宋_GB2312" w:cs="仿宋_GB2312"/>
          <w:color w:val="auto"/>
          <w:kern w:val="0"/>
          <w:sz w:val="32"/>
          <w:szCs w:val="32"/>
          <w:lang w:bidi="ar"/>
        </w:rPr>
        <w:t>在采购周期内，由医疗机构与中选企业或其指定的配送</w:t>
      </w:r>
      <w:r>
        <w:rPr>
          <w:rFonts w:hint="eastAsia" w:ascii="仿宋_GB2312" w:hAnsi="宋体" w:eastAsia="仿宋_GB2312" w:cs="仿宋_GB2312"/>
          <w:color w:val="auto"/>
          <w:kern w:val="0"/>
          <w:sz w:val="32"/>
          <w:szCs w:val="32"/>
          <w:lang w:bidi="ar"/>
        </w:rPr>
        <w:t>企业</w:t>
      </w:r>
      <w:r>
        <w:rPr>
          <w:rFonts w:ascii="仿宋_GB2312" w:hAnsi="宋体" w:eastAsia="仿宋_GB2312" w:cs="仿宋_GB2312"/>
          <w:color w:val="auto"/>
          <w:kern w:val="0"/>
          <w:sz w:val="32"/>
          <w:szCs w:val="32"/>
          <w:lang w:bidi="ar"/>
        </w:rPr>
        <w:t>每年签订采购协议。</w:t>
      </w:r>
    </w:p>
    <w:p>
      <w:pPr>
        <w:spacing w:line="600" w:lineRule="exact"/>
        <w:ind w:firstLine="640" w:firstLineChars="200"/>
        <w:rPr>
          <w:rFonts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（三）采购周期内医疗机构完成当年协议采购量，超出协议采购量的部分，中选企业仍需按中选价格进行供应，直至采购周期届满。</w:t>
      </w:r>
    </w:p>
    <w:p>
      <w:pPr>
        <w:spacing w:line="600" w:lineRule="exact"/>
        <w:ind w:firstLine="640" w:firstLineChars="200"/>
        <w:outlineLvl w:val="1"/>
        <w:rPr>
          <w:rFonts w:hint="eastAsia" w:ascii="黑体" w:hAnsi="黑体" w:eastAsia="黑体" w:cs="黑体"/>
          <w:color w:val="auto"/>
          <w:kern w:val="0"/>
          <w:sz w:val="32"/>
          <w:szCs w:val="32"/>
          <w:lang w:bidi="ar"/>
        </w:rPr>
      </w:pPr>
      <w:bookmarkStart w:id="4" w:name="_Toc89358211"/>
      <w:r>
        <w:rPr>
          <w:rFonts w:hint="eastAsia" w:ascii="黑体" w:hAnsi="黑体" w:eastAsia="黑体" w:cs="黑体"/>
          <w:color w:val="auto"/>
          <w:kern w:val="0"/>
          <w:sz w:val="32"/>
          <w:szCs w:val="32"/>
          <w:lang w:bidi="ar"/>
        </w:rPr>
        <w:t>四、采购执行说明</w:t>
      </w:r>
      <w:bookmarkEnd w:id="4"/>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（一）采购周期内，医疗机构应优先使用本次集中带量采购中选产品，并确保完成协议采购量。</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（二）采购周期内，医疗机构在优先使用本次集中带量采购中选产品的基础上，可适量采购其他价格适宜的非中选产品。</w:t>
      </w:r>
    </w:p>
    <w:p>
      <w:pPr>
        <w:spacing w:line="600" w:lineRule="exact"/>
        <w:ind w:firstLine="640" w:firstLineChars="200"/>
        <w:rPr>
          <w:rFonts w:ascii="仿宋_GB2312" w:hAnsi="微软雅黑" w:eastAsia="仿宋_GB2312"/>
          <w:color w:val="auto"/>
          <w:sz w:val="32"/>
          <w:szCs w:val="32"/>
        </w:rPr>
      </w:pPr>
      <w:r>
        <w:rPr>
          <w:rFonts w:hint="eastAsia" w:ascii="仿宋_GB2312" w:hAnsi="宋体" w:eastAsia="仿宋_GB2312" w:cs="仿宋_GB2312"/>
          <w:color w:val="auto"/>
          <w:kern w:val="0"/>
          <w:sz w:val="32"/>
          <w:szCs w:val="32"/>
          <w:lang w:bidi="ar"/>
        </w:rPr>
        <w:t>（三）采购周期内，如中选产品注册证更新，中选价格维持不变。申报信息结束后，企业中选品种新批准增加的注册证或中选注册证新增包装规格，经换算后同意按照不高于原中选价格供应的，可增补为中选产品。产品注册人发生变更且变更后的注册人与原注册人</w:t>
      </w:r>
      <w:r>
        <w:rPr>
          <w:rFonts w:ascii="仿宋_GB2312" w:hAnsi="宋体" w:eastAsia="仿宋_GB2312" w:cs="仿宋_GB2312"/>
          <w:color w:val="auto"/>
          <w:kern w:val="0"/>
          <w:sz w:val="32"/>
          <w:szCs w:val="32"/>
          <w:lang w:bidi="ar"/>
        </w:rPr>
        <w:t>为同一实际控制人或存在控股关系的，仍视为中选产品。</w:t>
      </w:r>
      <w:r>
        <w:rPr>
          <w:rFonts w:hint="eastAsia" w:ascii="仿宋_GB2312" w:hAnsi="宋体" w:eastAsia="仿宋_GB2312" w:cs="仿宋_GB2312"/>
          <w:color w:val="auto"/>
          <w:kern w:val="0"/>
          <w:sz w:val="32"/>
          <w:szCs w:val="32"/>
          <w:lang w:bidi="ar"/>
        </w:rPr>
        <w:t>在采购周期内，中选企业应持续拥有注册证，进口转国内生产的注册证，如果持有人</w:t>
      </w:r>
      <w:r>
        <w:rPr>
          <w:rFonts w:ascii="仿宋_GB2312" w:hAnsi="宋体" w:eastAsia="仿宋_GB2312" w:cs="仿宋_GB2312"/>
          <w:color w:val="auto"/>
          <w:kern w:val="0"/>
          <w:sz w:val="32"/>
          <w:szCs w:val="32"/>
          <w:lang w:bidi="ar"/>
        </w:rPr>
        <w:t>为同一实际控制人或存在控股关系的，仍视为中选产品。</w:t>
      </w:r>
    </w:p>
    <w:p>
      <w:pPr>
        <w:spacing w:line="600" w:lineRule="exact"/>
        <w:ind w:firstLine="640" w:firstLineChars="200"/>
        <w:outlineLvl w:val="1"/>
        <w:rPr>
          <w:rFonts w:ascii="黑体" w:hAnsi="黑体" w:eastAsia="黑体" w:cs="黑体"/>
          <w:color w:val="auto"/>
          <w:kern w:val="0"/>
          <w:sz w:val="32"/>
          <w:szCs w:val="32"/>
          <w:lang w:bidi="ar"/>
        </w:rPr>
      </w:pPr>
      <w:bookmarkStart w:id="5" w:name="_Toc79721624"/>
      <w:bookmarkStart w:id="6" w:name="_Toc89358212"/>
      <w:r>
        <w:rPr>
          <w:rFonts w:ascii="黑体" w:hAnsi="黑体" w:eastAsia="黑体" w:cs="黑体"/>
          <w:color w:val="auto"/>
          <w:kern w:val="0"/>
          <w:sz w:val="32"/>
          <w:szCs w:val="32"/>
          <w:lang w:bidi="ar"/>
        </w:rPr>
        <w:t>五、采购文件获取方式</w:t>
      </w:r>
      <w:bookmarkEnd w:id="5"/>
      <w:bookmarkEnd w:id="6"/>
    </w:p>
    <w:p>
      <w:pPr>
        <w:pStyle w:val="2"/>
        <w:wordWrap w:val="0"/>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通过江西省医疗保障局（http://ybj.jiangxi.gov.cn/）和江西省医药价格和采购服务中心（http://www.jxyycg.cn/）下载相关文件。</w:t>
      </w:r>
    </w:p>
    <w:p>
      <w:pPr>
        <w:spacing w:line="600" w:lineRule="exact"/>
        <w:ind w:firstLine="640" w:firstLineChars="200"/>
        <w:outlineLvl w:val="1"/>
        <w:rPr>
          <w:rFonts w:ascii="黑体" w:hAnsi="黑体" w:eastAsia="黑体" w:cs="黑体"/>
          <w:color w:val="auto"/>
          <w:kern w:val="0"/>
          <w:sz w:val="32"/>
          <w:szCs w:val="32"/>
          <w:lang w:bidi="ar"/>
        </w:rPr>
      </w:pPr>
      <w:bookmarkStart w:id="7" w:name="_Toc79721625"/>
      <w:bookmarkStart w:id="8" w:name="_Toc89358213"/>
      <w:r>
        <w:rPr>
          <w:rFonts w:ascii="黑体" w:hAnsi="黑体" w:eastAsia="黑体" w:cs="黑体"/>
          <w:color w:val="auto"/>
          <w:kern w:val="0"/>
          <w:sz w:val="32"/>
          <w:szCs w:val="32"/>
          <w:lang w:bidi="ar"/>
        </w:rPr>
        <w:t>六、申报材料递交方式和时间</w:t>
      </w:r>
      <w:bookmarkEnd w:id="7"/>
      <w:bookmarkEnd w:id="8"/>
    </w:p>
    <w:p>
      <w:pPr>
        <w:pStyle w:val="2"/>
        <w:spacing w:line="600" w:lineRule="exact"/>
        <w:ind w:firstLine="640" w:firstLineChars="200"/>
        <w:jc w:val="both"/>
        <w:rPr>
          <w:rFonts w:ascii="仿宋_GB2312" w:hAnsi="宋体" w:eastAsia="仿宋_GB2312" w:cs="仿宋_GB2312"/>
          <w:color w:val="auto"/>
          <w:sz w:val="32"/>
          <w:szCs w:val="32"/>
          <w:lang w:bidi="ar"/>
        </w:rPr>
      </w:pPr>
      <w:bookmarkStart w:id="9" w:name="_Toc89358214"/>
      <w:bookmarkStart w:id="10" w:name="_Toc79721627"/>
      <w:r>
        <w:rPr>
          <w:rFonts w:ascii="仿宋_GB2312" w:hAnsi="宋体" w:eastAsia="仿宋_GB2312" w:cs="仿宋_GB2312"/>
          <w:color w:val="auto"/>
          <w:sz w:val="32"/>
          <w:szCs w:val="32"/>
          <w:lang w:bidi="ar"/>
        </w:rPr>
        <w:t>申报材料递交方式和时间见采购文件第二部分有关章节。若发生变化，则另行发布有关通知。</w:t>
      </w:r>
    </w:p>
    <w:p>
      <w:pPr>
        <w:spacing w:line="600" w:lineRule="exact"/>
        <w:ind w:firstLine="640" w:firstLineChars="200"/>
        <w:outlineLvl w:val="1"/>
        <w:rPr>
          <w:rFonts w:ascii="黑体" w:hAnsi="黑体" w:eastAsia="黑体" w:cs="黑体"/>
          <w:color w:val="auto"/>
          <w:kern w:val="0"/>
          <w:sz w:val="32"/>
          <w:szCs w:val="32"/>
          <w:lang w:bidi="ar"/>
        </w:rPr>
      </w:pPr>
      <w:r>
        <w:rPr>
          <w:rFonts w:ascii="黑体" w:hAnsi="黑体" w:eastAsia="黑体" w:cs="黑体"/>
          <w:color w:val="auto"/>
          <w:kern w:val="0"/>
          <w:sz w:val="32"/>
          <w:szCs w:val="32"/>
          <w:lang w:bidi="ar"/>
        </w:rPr>
        <w:t>七、申报信息公开</w:t>
      </w:r>
      <w:bookmarkEnd w:id="9"/>
    </w:p>
    <w:p>
      <w:pPr>
        <w:pStyle w:val="2"/>
        <w:spacing w:line="600" w:lineRule="exact"/>
        <w:ind w:firstLine="640" w:firstLineChars="200"/>
        <w:jc w:val="both"/>
        <w:rPr>
          <w:rFonts w:ascii="仿宋_GB2312" w:hAnsi="宋体" w:eastAsia="仿宋_GB2312" w:cs="仿宋_GB2312"/>
          <w:color w:val="auto"/>
          <w:sz w:val="32"/>
          <w:szCs w:val="32"/>
          <w:lang w:bidi="ar"/>
        </w:rPr>
      </w:pPr>
      <w:bookmarkStart w:id="11" w:name="_Toc89358215"/>
      <w:r>
        <w:rPr>
          <w:rFonts w:ascii="仿宋_GB2312" w:hAnsi="宋体" w:eastAsia="仿宋_GB2312" w:cs="仿宋_GB2312"/>
          <w:color w:val="auto"/>
          <w:sz w:val="32"/>
          <w:szCs w:val="32"/>
          <w:lang w:bidi="ar"/>
        </w:rPr>
        <w:t>另行发布有关通知。</w:t>
      </w:r>
    </w:p>
    <w:p>
      <w:pPr>
        <w:spacing w:line="600" w:lineRule="exact"/>
        <w:ind w:firstLine="640" w:firstLineChars="200"/>
        <w:outlineLvl w:val="1"/>
        <w:rPr>
          <w:rFonts w:ascii="黑体" w:hAnsi="黑体" w:eastAsia="黑体" w:cs="黑体"/>
          <w:color w:val="auto"/>
          <w:kern w:val="0"/>
          <w:sz w:val="32"/>
          <w:szCs w:val="32"/>
          <w:lang w:bidi="ar"/>
        </w:rPr>
      </w:pPr>
      <w:r>
        <w:rPr>
          <w:rFonts w:ascii="黑体" w:hAnsi="黑体" w:eastAsia="黑体" w:cs="黑体"/>
          <w:color w:val="auto"/>
          <w:kern w:val="0"/>
          <w:sz w:val="32"/>
          <w:szCs w:val="32"/>
          <w:lang w:bidi="ar"/>
        </w:rPr>
        <w:t>八、联系方式</w:t>
      </w:r>
      <w:bookmarkEnd w:id="10"/>
      <w:bookmarkEnd w:id="11"/>
    </w:p>
    <w:p>
      <w:pPr>
        <w:pStyle w:val="2"/>
        <w:spacing w:line="600" w:lineRule="exact"/>
        <w:ind w:firstLine="640" w:firstLineChars="200"/>
        <w:jc w:val="both"/>
        <w:rPr>
          <w:rFonts w:ascii="仿宋_GB2312" w:hAnsi="宋体" w:eastAsia="仿宋_GB2312" w:cs="仿宋_GB2312"/>
          <w:color w:val="auto"/>
          <w:sz w:val="32"/>
          <w:szCs w:val="32"/>
          <w:lang w:bidi="ar"/>
        </w:rPr>
      </w:pPr>
      <w:bookmarkStart w:id="12" w:name="_Toc79721628"/>
      <w:r>
        <w:rPr>
          <w:rFonts w:ascii="仿宋_GB2312" w:hAnsi="宋体" w:eastAsia="仿宋_GB2312" w:cs="仿宋_GB2312"/>
          <w:color w:val="auto"/>
          <w:sz w:val="32"/>
          <w:szCs w:val="32"/>
          <w:lang w:bidi="ar"/>
        </w:rPr>
        <w:t xml:space="preserve">联系电话：0791-88102300 </w:t>
      </w:r>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服务时间：9:00-12:00，14:30-17:30，节假日除外。</w:t>
      </w:r>
    </w:p>
    <w:p>
      <w:pPr>
        <w:spacing w:line="600" w:lineRule="exact"/>
        <w:ind w:firstLine="640" w:firstLineChars="200"/>
        <w:outlineLvl w:val="1"/>
        <w:rPr>
          <w:rFonts w:ascii="黑体" w:hAnsi="黑体" w:eastAsia="黑体" w:cs="黑体"/>
          <w:color w:val="auto"/>
          <w:kern w:val="0"/>
          <w:sz w:val="32"/>
          <w:szCs w:val="32"/>
          <w:lang w:bidi="ar"/>
        </w:rPr>
      </w:pPr>
      <w:bookmarkStart w:id="13" w:name="_Toc89358216"/>
      <w:r>
        <w:rPr>
          <w:rFonts w:ascii="黑体" w:hAnsi="黑体" w:eastAsia="黑体" w:cs="黑体"/>
          <w:color w:val="auto"/>
          <w:kern w:val="0"/>
          <w:sz w:val="32"/>
          <w:szCs w:val="32"/>
          <w:lang w:bidi="ar"/>
        </w:rPr>
        <w:t>九、其他</w:t>
      </w:r>
      <w:bookmarkEnd w:id="12"/>
      <w:bookmarkEnd w:id="13"/>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（一）</w:t>
      </w:r>
      <w:r>
        <w:rPr>
          <w:rFonts w:ascii="仿宋_GB2312" w:hAnsi="仿宋_GB2312" w:eastAsia="仿宋_GB2312" w:cs="仿宋_GB2312"/>
          <w:color w:val="auto"/>
          <w:sz w:val="32"/>
          <w:szCs w:val="32"/>
          <w:lang w:bidi="ar"/>
        </w:rPr>
        <w:t>联席会议办公室</w:t>
      </w:r>
      <w:r>
        <w:rPr>
          <w:rFonts w:ascii="仿宋_GB2312" w:hAnsi="宋体" w:eastAsia="仿宋_GB2312" w:cs="仿宋_GB2312"/>
          <w:color w:val="auto"/>
          <w:sz w:val="32"/>
          <w:szCs w:val="32"/>
          <w:lang w:bidi="ar"/>
        </w:rPr>
        <w:t>已通过自我审查的方式开展公平竞争审查，本次集中带量采购相关文件不具有排除、限制竞争情形。</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（二）联盟地区按有关工作要求，制定确保中选产品质量、供应、使用以及医疗机构及时回款的配套措施。</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（三）本次集中带量采购相关工作需进行调整的，联席会议办公室发文另行通知。</w:t>
      </w:r>
    </w:p>
    <w:p>
      <w:pPr>
        <w:spacing w:before="4680" w:beforeLines="1500" w:line="600" w:lineRule="exact"/>
        <w:jc w:val="center"/>
        <w:outlineLvl w:val="0"/>
        <w:rPr>
          <w:rFonts w:ascii="方正小标宋简体" w:hAnsi="方正小标宋简体" w:eastAsia="方正小标宋简体" w:cs="方正小标宋简体"/>
          <w:bCs/>
          <w:color w:val="auto"/>
          <w:sz w:val="44"/>
          <w:szCs w:val="44"/>
        </w:rPr>
      </w:pPr>
      <w:r>
        <w:rPr>
          <w:rFonts w:ascii="仿宋_GB2312" w:hAnsi="宋体" w:eastAsia="仿宋_GB2312" w:cs="仿宋_GB2312"/>
          <w:color w:val="auto"/>
          <w:kern w:val="0"/>
          <w:sz w:val="32"/>
          <w:szCs w:val="32"/>
          <w:lang w:bidi="ar"/>
        </w:rPr>
        <w:br w:type="page"/>
      </w:r>
      <w:bookmarkStart w:id="14" w:name="_Toc89358217"/>
      <w:r>
        <w:rPr>
          <w:rFonts w:ascii="方正小标宋简体" w:hAnsi="方正小标宋简体" w:eastAsia="方正小标宋简体" w:cs="方正小标宋简体"/>
          <w:bCs/>
          <w:color w:val="auto"/>
          <w:sz w:val="44"/>
          <w:szCs w:val="44"/>
        </w:rPr>
        <w:t>第二部分  申报企业须知</w:t>
      </w:r>
      <w:bookmarkEnd w:id="14"/>
    </w:p>
    <w:p>
      <w:pPr>
        <w:spacing w:line="600" w:lineRule="exact"/>
        <w:ind w:firstLine="420" w:firstLineChars="200"/>
        <w:outlineLvl w:val="1"/>
        <w:rPr>
          <w:rFonts w:ascii="黑体" w:hAnsi="黑体" w:eastAsia="黑体" w:cs="黑体"/>
          <w:color w:val="auto"/>
          <w:kern w:val="0"/>
          <w:sz w:val="32"/>
          <w:szCs w:val="32"/>
          <w:lang w:bidi="ar"/>
        </w:rPr>
      </w:pPr>
      <w:r>
        <w:rPr>
          <w:color w:val="auto"/>
        </w:rPr>
        <w:br w:type="page"/>
      </w:r>
      <w:bookmarkStart w:id="15" w:name="_Toc89358218"/>
      <w:r>
        <w:rPr>
          <w:rFonts w:ascii="黑体" w:hAnsi="黑体" w:eastAsia="黑体" w:cs="黑体"/>
          <w:color w:val="auto"/>
          <w:kern w:val="0"/>
          <w:sz w:val="32"/>
          <w:szCs w:val="32"/>
          <w:lang w:bidi="ar"/>
        </w:rPr>
        <w:t>一、集中带量采购当事人</w:t>
      </w:r>
      <w:bookmarkEnd w:id="15"/>
    </w:p>
    <w:p>
      <w:pPr>
        <w:spacing w:line="600" w:lineRule="exact"/>
        <w:ind w:firstLine="642" w:firstLineChars="200"/>
        <w:rPr>
          <w:b/>
          <w:bCs/>
          <w:color w:val="auto"/>
          <w:sz w:val="32"/>
          <w:szCs w:val="32"/>
        </w:rPr>
      </w:pPr>
      <w:r>
        <w:rPr>
          <w:rFonts w:ascii="楷体" w:hAnsi="楷体" w:eastAsia="楷体" w:cs="楷体"/>
          <w:b/>
          <w:bCs/>
          <w:color w:val="auto"/>
          <w:kern w:val="0"/>
          <w:sz w:val="32"/>
          <w:szCs w:val="32"/>
          <w:lang w:bidi="ar"/>
        </w:rPr>
        <w:t>（一）申报企业</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申报企业应当具备以下条件：</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w:t>
      </w: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）具有履行采购协议必须具备的能力。</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w:t>
      </w: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未被列入当前《全国医药价格和招采失信企业风险警示名单》，未被国家组织高值医用耗材联合采购办公室列入“违规名单”，未被国家或联盟地区依据医药价格和招采信用评价制度评定为“严重”或“特别严重”失信等级。</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w:t>
      </w:r>
      <w:r>
        <w:rPr>
          <w:rFonts w:ascii="仿宋_GB2312" w:hAnsi="宋体" w:eastAsia="仿宋_GB2312" w:cs="仿宋_GB2312"/>
          <w:color w:val="auto"/>
          <w:kern w:val="0"/>
          <w:sz w:val="32"/>
          <w:szCs w:val="32"/>
          <w:lang w:bidi="ar"/>
        </w:rPr>
        <w:t>3</w:t>
      </w:r>
      <w:r>
        <w:rPr>
          <w:rFonts w:hint="eastAsia" w:ascii="仿宋_GB2312" w:hAnsi="宋体" w:eastAsia="仿宋_GB2312" w:cs="仿宋_GB2312"/>
          <w:color w:val="auto"/>
          <w:kern w:val="0"/>
          <w:sz w:val="32"/>
          <w:szCs w:val="32"/>
          <w:lang w:bidi="ar"/>
        </w:rPr>
        <w:t>）对申报产品的质量负责，一旦中选，作为供应保障的第一责任人，及时、足量按要求组织生产，并向配送企业发送中选产品，满足医疗机构临床使用需求。</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申报企业应按照本采购文件的要求编制申报材料，申报材料应对本采购文件提出的要求和条件作出实质性响应。</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（二）其他要求</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若申报企业不具备申报资格中规定必须满足的全部要求或涉嫌提供虚假证明材料的，一经确认，联席会议办公室将视其为无效申报；情节严重的，列入“违规名单”，作出相应处置。</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2.联席会议办公室根据工作需要可对中选产品生产及中选产品质量进行调查（调查形式根据实际情况确定），中选企业应予以积极配合。</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3</w:t>
      </w:r>
      <w:r>
        <w:rPr>
          <w:rFonts w:ascii="仿宋_GB2312" w:hAnsi="宋体" w:eastAsia="仿宋_GB2312" w:cs="仿宋_GB2312"/>
          <w:color w:val="auto"/>
          <w:kern w:val="0"/>
          <w:sz w:val="32"/>
          <w:szCs w:val="32"/>
          <w:lang w:bidi="ar"/>
        </w:rPr>
        <w:t>.</w:t>
      </w:r>
      <w:r>
        <w:rPr>
          <w:rFonts w:hint="eastAsia" w:ascii="仿宋_GB2312" w:hAnsi="宋体" w:eastAsia="仿宋_GB2312" w:cs="仿宋_GB2312"/>
          <w:color w:val="auto"/>
          <w:kern w:val="0"/>
          <w:sz w:val="32"/>
          <w:szCs w:val="32"/>
          <w:lang w:bidi="ar"/>
        </w:rPr>
        <w:t>申报企业中选后，须按要求签订采购协议。</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4.</w:t>
      </w:r>
      <w:r>
        <w:rPr>
          <w:rFonts w:hint="eastAsia" w:ascii="仿宋_GB2312" w:hAnsi="宋体" w:eastAsia="仿宋_GB2312" w:cs="仿宋_GB2312"/>
          <w:color w:val="auto"/>
          <w:kern w:val="0"/>
          <w:sz w:val="32"/>
          <w:szCs w:val="32"/>
          <w:lang w:bidi="ar"/>
        </w:rPr>
        <w:t>中选产品在履行协议中如遇国家政策调整或不可抗力，致使直接影响协议履行的，协商解决。</w:t>
      </w:r>
    </w:p>
    <w:p>
      <w:pPr>
        <w:spacing w:line="600" w:lineRule="exact"/>
        <w:ind w:firstLine="640" w:firstLineChars="200"/>
        <w:outlineLvl w:val="1"/>
        <w:rPr>
          <w:rFonts w:ascii="黑体" w:hAnsi="黑体" w:eastAsia="黑体" w:cs="黑体"/>
          <w:color w:val="auto"/>
          <w:kern w:val="0"/>
          <w:sz w:val="32"/>
          <w:szCs w:val="32"/>
          <w:lang w:bidi="ar"/>
        </w:rPr>
      </w:pPr>
      <w:bookmarkStart w:id="16" w:name="_Toc89358219"/>
      <w:r>
        <w:rPr>
          <w:rFonts w:ascii="黑体" w:hAnsi="黑体" w:eastAsia="黑体" w:cs="黑体"/>
          <w:color w:val="auto"/>
          <w:kern w:val="0"/>
          <w:sz w:val="32"/>
          <w:szCs w:val="32"/>
          <w:lang w:bidi="ar"/>
        </w:rPr>
        <w:t>二、申报材料编制</w:t>
      </w:r>
      <w:bookmarkEnd w:id="16"/>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（一）编制要求</w:t>
      </w:r>
    </w:p>
    <w:p>
      <w:pPr>
        <w:spacing w:line="600" w:lineRule="exact"/>
        <w:ind w:firstLine="640" w:firstLineChars="200"/>
        <w:rPr>
          <w:color w:val="auto"/>
          <w:sz w:val="32"/>
          <w:szCs w:val="32"/>
        </w:rPr>
      </w:pPr>
      <w:r>
        <w:rPr>
          <w:rFonts w:ascii="仿宋_GB2312" w:hAnsi="宋体" w:eastAsia="仿宋_GB2312" w:cs="仿宋_GB2312"/>
          <w:color w:val="auto"/>
          <w:kern w:val="0"/>
          <w:sz w:val="32"/>
          <w:szCs w:val="32"/>
          <w:lang w:bidi="ar"/>
        </w:rPr>
        <w:t>申报企业应仔细阅读本采购文件全部内容，按采购文件的</w:t>
      </w:r>
      <w:r>
        <w:rPr>
          <w:rFonts w:hint="eastAsia" w:ascii="仿宋_GB2312" w:hAnsi="宋体" w:eastAsia="仿宋_GB2312" w:cs="仿宋_GB2312"/>
          <w:color w:val="auto"/>
          <w:kern w:val="0"/>
          <w:sz w:val="32"/>
          <w:szCs w:val="32"/>
          <w:lang w:bidi="ar"/>
        </w:rPr>
        <w:t>要求提供申报材料，并保证所提供的全部材料真实有效。申报材料涉及有效期限的，必须在申报信息公开当日仍在有效期内。如果由于申报企业没有按照采购文件的要求提交完整材料，或者提交的申报材料没有对采购文件作出实质性响应、申报材料内容不实等原因，影响中选结果的，由申报企业自行负责。</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（二）申报语言、计量单位和医用耗材名称、医用耗材规格型号表示</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申报企业与联席会议办公室就申报递交的材料、交换的文件和来往信件，一律以中文书写。企业提供的相关资料为外文的，应附中文翻译，因翻译错误或有歧义等原因，影响中选结果的，由申报企业自行负责。</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除申报材料中对技术规格另有规定外，应使用中华人民共和国法定计量单位和有关部门规定的医用耗材名称、医用耗材规格型号表示方法。</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（三）申报材料的构成</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按采购文件附件1-4提供的申报材料格式要求，用</w:t>
      </w:r>
      <w:r>
        <w:rPr>
          <w:rFonts w:ascii="仿宋_GB2312" w:hAnsi="宋体" w:eastAsia="仿宋_GB2312" w:cs="仿宋_GB2312"/>
          <w:color w:val="auto"/>
          <w:kern w:val="0"/>
          <w:sz w:val="32"/>
          <w:szCs w:val="32"/>
          <w:lang w:bidi="ar"/>
        </w:rPr>
        <w:t>A4</w:t>
      </w:r>
      <w:r>
        <w:rPr>
          <w:rFonts w:hint="eastAsia" w:ascii="仿宋_GB2312" w:hAnsi="宋体" w:eastAsia="仿宋_GB2312" w:cs="仿宋_GB2312"/>
          <w:color w:val="auto"/>
          <w:kern w:val="0"/>
          <w:sz w:val="32"/>
          <w:szCs w:val="32"/>
          <w:lang w:bidi="ar"/>
        </w:rPr>
        <w:t>纸依顺序准备纸质申报材料并逐页盖章，构成如下：</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1.联盟地区医用耗材带量采购申报承诺函（附件</w:t>
      </w: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2.法定代表人授权书（附件</w:t>
      </w: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3.</w:t>
      </w:r>
      <w:r>
        <w:rPr>
          <w:rFonts w:hint="eastAsia" w:ascii="仿宋_GB2312" w:hAnsi="宋体" w:eastAsia="仿宋_GB2312" w:cs="仿宋_GB2312"/>
          <w:color w:val="auto"/>
          <w:kern w:val="0"/>
          <w:sz w:val="32"/>
          <w:szCs w:val="32"/>
          <w:lang w:bidi="ar"/>
        </w:rPr>
        <w:t>医药企业价格和营销行为信用承诺书（附件</w:t>
      </w:r>
      <w:r>
        <w:rPr>
          <w:rFonts w:ascii="仿宋_GB2312" w:hAnsi="宋体" w:eastAsia="仿宋_GB2312" w:cs="仿宋_GB2312"/>
          <w:color w:val="auto"/>
          <w:kern w:val="0"/>
          <w:sz w:val="32"/>
          <w:szCs w:val="32"/>
          <w:lang w:bidi="ar"/>
        </w:rPr>
        <w:t>3</w:t>
      </w:r>
      <w:r>
        <w:rPr>
          <w:rFonts w:hint="eastAsia" w:ascii="仿宋_GB2312" w:hAnsi="宋体" w:eastAsia="仿宋_GB2312" w:cs="仿宋_GB2312"/>
          <w:color w:val="auto"/>
          <w:kern w:val="0"/>
          <w:sz w:val="32"/>
          <w:szCs w:val="32"/>
          <w:lang w:bidi="ar"/>
        </w:rPr>
        <w:t>）。</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4.</w:t>
      </w:r>
      <w:r>
        <w:rPr>
          <w:rFonts w:hint="eastAsia" w:ascii="仿宋_GB2312" w:hAnsi="宋体" w:eastAsia="仿宋_GB2312" w:cs="仿宋_GB2312"/>
          <w:color w:val="auto"/>
          <w:kern w:val="0"/>
          <w:sz w:val="32"/>
          <w:szCs w:val="32"/>
          <w:lang w:bidi="ar"/>
        </w:rPr>
        <w:t>申报信息一览表（附件</w:t>
      </w:r>
      <w:r>
        <w:rPr>
          <w:rFonts w:ascii="仿宋_GB2312" w:hAnsi="宋体" w:eastAsia="仿宋_GB2312" w:cs="仿宋_GB2312"/>
          <w:color w:val="auto"/>
          <w:kern w:val="0"/>
          <w:sz w:val="32"/>
          <w:szCs w:val="32"/>
          <w:lang w:bidi="ar"/>
        </w:rPr>
        <w:t>4</w:t>
      </w:r>
      <w:r>
        <w:rPr>
          <w:rFonts w:hint="eastAsia" w:ascii="仿宋_GB2312" w:hAnsi="宋体" w:eastAsia="仿宋_GB2312" w:cs="仿宋_GB2312"/>
          <w:color w:val="auto"/>
          <w:kern w:val="0"/>
          <w:sz w:val="32"/>
          <w:szCs w:val="32"/>
          <w:lang w:bidi="ar"/>
        </w:rPr>
        <w:t>）。</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（四）申报报价</w:t>
      </w:r>
    </w:p>
    <w:p>
      <w:pPr>
        <w:spacing w:line="600" w:lineRule="exact"/>
        <w:ind w:firstLine="640" w:firstLineChars="200"/>
        <w:rPr>
          <w:rFonts w:hint="eastAsia" w:ascii="仿宋_GB2312" w:hAnsi="宋体" w:eastAsia="仿宋_GB2312" w:cs="仿宋_GB2312"/>
          <w:color w:val="auto"/>
          <w:kern w:val="0"/>
          <w:sz w:val="32"/>
          <w:szCs w:val="32"/>
          <w:shd w:val="clear" w:color="auto" w:fill="D9D9D9"/>
          <w:lang w:bidi="ar"/>
        </w:rPr>
      </w:pPr>
      <w:r>
        <w:rPr>
          <w:rFonts w:ascii="仿宋_GB2312" w:hAnsi="宋体" w:eastAsia="仿宋_GB2312" w:cs="仿宋_GB2312"/>
          <w:color w:val="auto"/>
          <w:kern w:val="0"/>
          <w:sz w:val="32"/>
          <w:szCs w:val="32"/>
          <w:lang w:bidi="ar"/>
        </w:rPr>
        <w:t>1.企业申报价格以人民币填报，单位为“元”，保留</w:t>
      </w:r>
      <w:r>
        <w:rPr>
          <w:rFonts w:hint="eastAsia" w:ascii="仿宋_GB2312" w:hAnsi="宋体" w:eastAsia="仿宋_GB2312" w:cs="仿宋_GB2312"/>
          <w:color w:val="auto"/>
          <w:kern w:val="0"/>
          <w:sz w:val="32"/>
          <w:szCs w:val="32"/>
          <w:lang w:bidi="ar"/>
        </w:rPr>
        <w:t>小数点后4</w:t>
      </w:r>
      <w:r>
        <w:rPr>
          <w:rFonts w:ascii="仿宋_GB2312" w:hAnsi="宋体" w:eastAsia="仿宋_GB2312" w:cs="仿宋_GB2312"/>
          <w:color w:val="auto"/>
          <w:kern w:val="0"/>
          <w:sz w:val="32"/>
          <w:szCs w:val="32"/>
          <w:lang w:bidi="ar"/>
        </w:rPr>
        <w:t>位</w:t>
      </w:r>
      <w:r>
        <w:rPr>
          <w:rFonts w:hint="eastAsia" w:ascii="仿宋_GB2312" w:hAnsi="宋体" w:eastAsia="仿宋_GB2312" w:cs="仿宋_GB2312"/>
          <w:color w:val="auto"/>
          <w:kern w:val="0"/>
          <w:sz w:val="32"/>
          <w:szCs w:val="32"/>
          <w:lang w:bidi="ar"/>
        </w:rPr>
        <w:t>。</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2.报价为申报产品中选后的实际供应价，包含税费、配送费以及伴随服务等所有费用。</w:t>
      </w:r>
    </w:p>
    <w:p>
      <w:pPr>
        <w:spacing w:line="600" w:lineRule="exact"/>
        <w:ind w:firstLine="640" w:firstLineChars="200"/>
        <w:rPr>
          <w:rFonts w:hint="eastAsia"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3.申报价格按采购品种+包装计量单位进行申报。</w:t>
      </w:r>
      <w:r>
        <w:rPr>
          <w:rFonts w:hint="eastAsia" w:ascii="仿宋_GB2312" w:hAnsi="宋体" w:eastAsia="仿宋_GB2312" w:cs="仿宋_GB2312"/>
          <w:color w:val="auto"/>
          <w:sz w:val="32"/>
          <w:szCs w:val="32"/>
          <w:lang w:bidi="ar"/>
        </w:rPr>
        <w:t>纳入ml组的产品以ml为单位进行报价，纳入测试组的产品以测试为单位进行报价。同一申报企业相同品种下，ml组有且仅允许有一个报价，测试组有且仅允许有一个报价。</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4</w:t>
      </w:r>
      <w:r>
        <w:rPr>
          <w:rFonts w:ascii="仿宋_GB2312" w:hAnsi="宋体" w:eastAsia="仿宋_GB2312" w:cs="仿宋_GB2312"/>
          <w:color w:val="auto"/>
          <w:kern w:val="0"/>
          <w:sz w:val="32"/>
          <w:szCs w:val="32"/>
          <w:lang w:bidi="ar"/>
        </w:rPr>
        <w:t>.</w:t>
      </w:r>
      <w:r>
        <w:rPr>
          <w:rFonts w:hint="eastAsia" w:ascii="仿宋_GB2312" w:hAnsi="宋体" w:eastAsia="仿宋_GB2312" w:cs="仿宋_GB2312"/>
          <w:color w:val="auto"/>
          <w:kern w:val="0"/>
          <w:sz w:val="32"/>
          <w:szCs w:val="32"/>
          <w:lang w:val="en" w:bidi="ar"/>
        </w:rPr>
        <w:t>申报价格不得高于最高有效申报价，高于最高有效申报价的视为无效申报</w:t>
      </w:r>
      <w:r>
        <w:rPr>
          <w:rFonts w:hint="eastAsia" w:ascii="仿宋_GB2312" w:hAnsi="宋体" w:eastAsia="仿宋_GB2312" w:cs="仿宋_GB2312"/>
          <w:color w:val="auto"/>
          <w:kern w:val="0"/>
          <w:sz w:val="32"/>
          <w:szCs w:val="32"/>
          <w:lang w:bidi="ar"/>
        </w:rPr>
        <w:t>。</w:t>
      </w:r>
      <w:r>
        <w:rPr>
          <w:rFonts w:hint="eastAsia" w:ascii="仿宋_GB2312" w:hAnsi="宋体" w:eastAsia="仿宋_GB2312" w:cs="仿宋_GB2312"/>
          <w:color w:val="auto"/>
          <w:kern w:val="0"/>
          <w:sz w:val="32"/>
          <w:szCs w:val="32"/>
          <w:lang w:val="en" w:bidi="ar"/>
        </w:rPr>
        <w:t>申报价格为空或为零的，视为无效申报。</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5.在规定时间内未申报或申报错误的，申报结束后不得补报或修改，由此引起的一切后果由申报企业自行负责。</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（五）申报材料的式样和签署</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1.申报材料须打印或用不褪色书写工具书写，并加盖申报企业公章。</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2.申报企业除对笔误等作勘误外，不得行间插字、涂改或增删。如有修改，必须在修改处由企业法定代表人或被授权人签字或加盖申报企业公章。</w:t>
      </w:r>
    </w:p>
    <w:p>
      <w:pPr>
        <w:pStyle w:val="4"/>
        <w:spacing w:line="600" w:lineRule="exact"/>
        <w:ind w:firstLine="640" w:firstLineChars="200"/>
        <w:rPr>
          <w:rFonts w:eastAsia="仿宋_GB2312"/>
          <w:color w:val="auto"/>
        </w:rPr>
      </w:pPr>
      <w:r>
        <w:rPr>
          <w:rFonts w:hint="eastAsia" w:ascii="仿宋_GB2312" w:hAnsi="宋体" w:eastAsia="仿宋_GB2312" w:cs="仿宋_GB2312"/>
          <w:color w:val="auto"/>
          <w:kern w:val="0"/>
          <w:sz w:val="32"/>
          <w:szCs w:val="32"/>
          <w:lang w:bidi="ar"/>
        </w:rPr>
        <w:t>3.申报企业不得擅自对材料附件格式进行修改，否则视为无效材料。</w:t>
      </w:r>
    </w:p>
    <w:p>
      <w:pPr>
        <w:spacing w:line="600" w:lineRule="exact"/>
        <w:ind w:firstLine="640" w:firstLineChars="200"/>
        <w:outlineLvl w:val="1"/>
        <w:rPr>
          <w:rFonts w:hint="eastAsia" w:ascii="黑体" w:hAnsi="黑体" w:eastAsia="黑体" w:cs="黑体"/>
          <w:color w:val="auto"/>
          <w:kern w:val="0"/>
          <w:sz w:val="32"/>
          <w:szCs w:val="32"/>
          <w:lang w:bidi="ar"/>
        </w:rPr>
      </w:pPr>
      <w:bookmarkStart w:id="17" w:name="_Toc89358220"/>
      <w:r>
        <w:rPr>
          <w:rFonts w:hint="eastAsia" w:ascii="黑体" w:hAnsi="黑体" w:eastAsia="黑体" w:cs="黑体"/>
          <w:color w:val="auto"/>
          <w:kern w:val="0"/>
          <w:sz w:val="32"/>
          <w:szCs w:val="32"/>
          <w:lang w:bidi="ar"/>
        </w:rPr>
        <w:t>三、申报材料递交</w:t>
      </w:r>
      <w:bookmarkEnd w:id="17"/>
    </w:p>
    <w:p>
      <w:pPr>
        <w:spacing w:line="600" w:lineRule="exact"/>
        <w:ind w:firstLine="642" w:firstLineChars="200"/>
        <w:rPr>
          <w:rFonts w:ascii="仿宋_GB2312" w:hAnsi="宋体" w:eastAsia="楷体" w:cs="仿宋_GB2312"/>
          <w:color w:val="auto"/>
          <w:kern w:val="0"/>
          <w:sz w:val="32"/>
          <w:szCs w:val="32"/>
          <w:lang w:bidi="ar"/>
        </w:rPr>
      </w:pPr>
      <w:r>
        <w:rPr>
          <w:rFonts w:hint="eastAsia" w:ascii="楷体" w:hAnsi="楷体" w:eastAsia="楷体" w:cs="楷体"/>
          <w:b/>
          <w:bCs/>
          <w:color w:val="auto"/>
          <w:kern w:val="0"/>
          <w:sz w:val="32"/>
          <w:szCs w:val="32"/>
          <w:lang w:bidi="ar"/>
        </w:rPr>
        <w:t>（一）申报材料的封装和标记</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1.申报企业应将“申报信息一览表”（附件4）单独密封，并同《联盟地区医用耗材带量采购申报承诺函》（附件</w:t>
      </w: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）、一份《法定代表人授权书》（附件</w:t>
      </w: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）和《医药企业价格和营销行为信用承诺书》（附件</w:t>
      </w:r>
      <w:r>
        <w:rPr>
          <w:rFonts w:ascii="仿宋_GB2312" w:hAnsi="宋体" w:eastAsia="仿宋_GB2312" w:cs="仿宋_GB2312"/>
          <w:color w:val="auto"/>
          <w:kern w:val="0"/>
          <w:sz w:val="32"/>
          <w:szCs w:val="32"/>
          <w:lang w:bidi="ar"/>
        </w:rPr>
        <w:t>3</w:t>
      </w:r>
      <w:r>
        <w:rPr>
          <w:rFonts w:hint="eastAsia" w:ascii="仿宋_GB2312" w:hAnsi="宋体" w:eastAsia="仿宋_GB2312" w:cs="仿宋_GB2312"/>
          <w:color w:val="auto"/>
          <w:kern w:val="0"/>
          <w:sz w:val="32"/>
          <w:szCs w:val="32"/>
          <w:lang w:bidi="ar"/>
        </w:rPr>
        <w:t>）共同装入</w:t>
      </w:r>
      <w:r>
        <w:rPr>
          <w:rFonts w:ascii="仿宋_GB2312" w:hAnsi="宋体" w:eastAsia="仿宋_GB2312" w:cs="仿宋_GB2312"/>
          <w:color w:val="auto"/>
          <w:kern w:val="0"/>
          <w:sz w:val="32"/>
          <w:szCs w:val="32"/>
          <w:lang w:bidi="ar"/>
        </w:rPr>
        <w:t>1</w:t>
      </w:r>
      <w:r>
        <w:rPr>
          <w:rFonts w:hint="eastAsia" w:ascii="仿宋_GB2312" w:hAnsi="宋体" w:eastAsia="仿宋_GB2312" w:cs="仿宋_GB2312"/>
          <w:color w:val="auto"/>
          <w:kern w:val="0"/>
          <w:sz w:val="32"/>
          <w:szCs w:val="32"/>
          <w:lang w:bidi="ar"/>
        </w:rPr>
        <w:t>个信封，封口处用封条密封，并标明“申报截止时间前不得启封”。封口处加盖申报企业公章或由被授权人签字。</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2.被授权人需携带身份证明和另一份《法定代表人授权书》（附件</w:t>
      </w: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）至申报现场，由公证人员现场查验，无需密封。</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3.</w:t>
      </w:r>
      <w:r>
        <w:rPr>
          <w:rFonts w:hint="eastAsia" w:ascii="仿宋_GB2312" w:hAnsi="宋体" w:eastAsia="仿宋_GB2312" w:cs="仿宋_GB2312"/>
          <w:color w:val="auto"/>
          <w:kern w:val="0"/>
          <w:sz w:val="32"/>
          <w:szCs w:val="32"/>
          <w:lang w:bidi="ar"/>
        </w:rPr>
        <w:t xml:space="preserve">不同医疗器械注册人如委托同一家企业申报，应分别提交申报材料。 </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4</w:t>
      </w:r>
      <w:r>
        <w:rPr>
          <w:rFonts w:ascii="仿宋_GB2312" w:hAnsi="宋体" w:eastAsia="仿宋_GB2312" w:cs="仿宋_GB2312"/>
          <w:color w:val="auto"/>
          <w:kern w:val="0"/>
          <w:sz w:val="32"/>
          <w:szCs w:val="32"/>
          <w:lang w:bidi="ar"/>
        </w:rPr>
        <w:t>.</w:t>
      </w:r>
      <w:r>
        <w:rPr>
          <w:rFonts w:hint="eastAsia" w:ascii="仿宋_GB2312" w:hAnsi="宋体" w:eastAsia="仿宋_GB2312" w:cs="仿宋_GB2312"/>
          <w:color w:val="auto"/>
          <w:kern w:val="0"/>
          <w:sz w:val="32"/>
          <w:szCs w:val="32"/>
          <w:lang w:bidi="ar"/>
        </w:rPr>
        <w:t>如因申报材料密封不严，导致提前启封，造成的后果，由申报企业自行负责。</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（二）申报材料递交要求</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1.申报企业应在规定时间内和地点递交申报材料。</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2.联席会议办公室根据公证机构的意见，拒绝接收在申报截止时间后递交的任何申报及申报材料。</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3.申报截止时间后，申报企业不得对申报材料做任何修改。</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4.如实行线上开标，申报材料须转换为电子文档，上传至指定网站，具体要求另行通知。</w:t>
      </w:r>
    </w:p>
    <w:p>
      <w:pPr>
        <w:spacing w:line="600" w:lineRule="exact"/>
        <w:ind w:firstLine="640" w:firstLineChars="200"/>
        <w:outlineLvl w:val="1"/>
        <w:rPr>
          <w:rFonts w:hint="eastAsia" w:ascii="黑体" w:hAnsi="黑体" w:eastAsia="黑体" w:cs="黑体"/>
          <w:color w:val="auto"/>
          <w:kern w:val="0"/>
          <w:sz w:val="32"/>
          <w:szCs w:val="32"/>
          <w:lang w:bidi="ar"/>
        </w:rPr>
      </w:pPr>
      <w:bookmarkStart w:id="18" w:name="_Toc89358221"/>
      <w:r>
        <w:rPr>
          <w:rFonts w:hint="eastAsia" w:ascii="黑体" w:hAnsi="黑体" w:eastAsia="黑体" w:cs="黑体"/>
          <w:color w:val="auto"/>
          <w:kern w:val="0"/>
          <w:sz w:val="32"/>
          <w:szCs w:val="32"/>
          <w:lang w:bidi="ar"/>
        </w:rPr>
        <w:t>四、申报信息公开</w:t>
      </w:r>
      <w:bookmarkEnd w:id="18"/>
    </w:p>
    <w:p>
      <w:pPr>
        <w:spacing w:line="600" w:lineRule="exact"/>
        <w:ind w:firstLine="640" w:firstLineChars="200"/>
        <w:rPr>
          <w:rFonts w:hint="eastAsia" w:ascii="仿宋_GB2312" w:hAnsi="宋体" w:eastAsia="仿宋_GB2312" w:cs="仿宋_GB2312"/>
          <w:color w:val="auto"/>
          <w:kern w:val="0"/>
          <w:sz w:val="32"/>
          <w:szCs w:val="32"/>
          <w:lang w:bidi="ar"/>
        </w:rPr>
      </w:pPr>
      <w:bookmarkStart w:id="19" w:name="_Toc89358222"/>
      <w:r>
        <w:rPr>
          <w:rFonts w:hint="eastAsia" w:ascii="仿宋_GB2312" w:hAnsi="宋体" w:eastAsia="仿宋_GB2312" w:cs="仿宋_GB2312"/>
          <w:color w:val="auto"/>
          <w:kern w:val="0"/>
          <w:sz w:val="32"/>
          <w:szCs w:val="32"/>
          <w:lang w:bidi="ar"/>
        </w:rPr>
        <w:t>申报信息公开时邀请所有申报企业、公证机构和有关部门参加，对申报信息公开的全过程进行监督。</w:t>
      </w:r>
    </w:p>
    <w:p>
      <w:pPr>
        <w:spacing w:line="600" w:lineRule="exact"/>
        <w:ind w:firstLine="640" w:firstLineChars="200"/>
        <w:outlineLvl w:val="1"/>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五、拟中选企业确定</w:t>
      </w:r>
      <w:bookmarkEnd w:id="19"/>
    </w:p>
    <w:p>
      <w:pPr>
        <w:spacing w:line="600" w:lineRule="exact"/>
        <w:ind w:firstLine="642" w:firstLineChars="200"/>
        <w:rPr>
          <w:rFonts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（一）竞价分组</w:t>
      </w:r>
    </w:p>
    <w:p>
      <w:pPr>
        <w:spacing w:line="52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1.同一品种下，不区分方法学，根据包装计量单位分为ml组和测试组。根据分组后医疗机构的采购需求，将ml组和测试组分别再分为A、B两个竞价组。满足以下条件之一的，进入A组：</w:t>
      </w:r>
    </w:p>
    <w:p>
      <w:pPr>
        <w:spacing w:line="52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（1）按采购需求量从多到少依次排序，承诺满足全联盟地区全部采购需求且在全联盟或任一联盟省（自治区、直辖市、</w:t>
      </w:r>
      <w:r>
        <w:rPr>
          <w:rFonts w:hint="eastAsia" w:ascii="仿宋_GB2312" w:hAnsi="仿宋_GB2312" w:eastAsia="仿宋_GB2312" w:cs="仿宋_GB2312"/>
          <w:color w:val="auto"/>
          <w:kern w:val="0"/>
          <w:sz w:val="32"/>
          <w:szCs w:val="32"/>
          <w:lang w:bidi="ar"/>
        </w:rPr>
        <w:t>新疆生产建设</w:t>
      </w:r>
      <w:r>
        <w:rPr>
          <w:rFonts w:hint="eastAsia" w:ascii="仿宋_GB2312" w:hAnsi="宋体" w:eastAsia="仿宋_GB2312" w:cs="仿宋_GB2312"/>
          <w:color w:val="auto"/>
          <w:kern w:val="0"/>
          <w:sz w:val="32"/>
          <w:szCs w:val="32"/>
          <w:lang w:bidi="ar"/>
        </w:rPr>
        <w:t>兵团）累计采购</w:t>
      </w:r>
      <w:r>
        <w:rPr>
          <w:rFonts w:hint="eastAsia" w:ascii="仿宋_GB2312" w:hAnsi="微软雅黑" w:eastAsia="仿宋_GB2312"/>
          <w:color w:val="auto"/>
          <w:sz w:val="32"/>
          <w:szCs w:val="32"/>
        </w:rPr>
        <w:t>需求</w:t>
      </w:r>
      <w:r>
        <w:rPr>
          <w:rFonts w:hint="eastAsia" w:ascii="仿宋_GB2312" w:hAnsi="宋体" w:eastAsia="仿宋_GB2312" w:cs="仿宋_GB2312"/>
          <w:color w:val="auto"/>
          <w:kern w:val="0"/>
          <w:sz w:val="32"/>
          <w:szCs w:val="32"/>
          <w:lang w:bidi="ar"/>
        </w:rPr>
        <w:t>量前70%的企业；</w:t>
      </w:r>
    </w:p>
    <w:p>
      <w:pPr>
        <w:spacing w:line="600" w:lineRule="exact"/>
        <w:ind w:firstLine="640" w:firstLineChars="200"/>
        <w:rPr>
          <w:rFonts w:hint="eastAsia" w:ascii="仿宋_GB2312" w:hAnsi="微软雅黑" w:eastAsia="仿宋_GB2312"/>
          <w:color w:val="auto"/>
          <w:sz w:val="32"/>
          <w:szCs w:val="32"/>
        </w:rPr>
      </w:pPr>
      <w:r>
        <w:rPr>
          <w:rFonts w:hint="eastAsia" w:ascii="仿宋_GB2312" w:hAnsi="宋体" w:eastAsia="仿宋_GB2312" w:cs="仿宋_GB2312"/>
          <w:color w:val="auto"/>
          <w:sz w:val="32"/>
          <w:szCs w:val="32"/>
          <w:lang w:bidi="ar"/>
        </w:rPr>
        <w:t>（2）按全联盟有填报采购需求量的医疗机构数量由多到少依次排名统计，在有采购需求量的企业当中，排名前</w:t>
      </w:r>
      <w:r>
        <w:rPr>
          <w:rFonts w:hint="eastAsia" w:ascii="仿宋_GB2312" w:hAnsi="宋体" w:eastAsia="仿宋_GB2312" w:cs="仿宋_GB2312"/>
          <w:color w:val="auto"/>
          <w:sz w:val="32"/>
          <w:szCs w:val="32"/>
          <w:lang w:val="en-US" w:eastAsia="zh-CN" w:bidi="ar"/>
        </w:rPr>
        <w:t>3</w:t>
      </w:r>
      <w:r>
        <w:rPr>
          <w:rFonts w:hint="eastAsia" w:ascii="仿宋_GB2312" w:hAnsi="宋体" w:eastAsia="仿宋_GB2312" w:cs="仿宋_GB2312"/>
          <w:color w:val="auto"/>
          <w:sz w:val="32"/>
          <w:szCs w:val="32"/>
          <w:lang w:bidi="ar"/>
        </w:rPr>
        <w:t>0%（向下取整）的企业。</w:t>
      </w:r>
      <w:r>
        <w:rPr>
          <w:rFonts w:hint="eastAsia" w:ascii="仿宋_GB2312" w:hAnsi="宋体" w:eastAsia="仿宋_GB2312" w:cs="仿宋_GB2312"/>
          <w:color w:val="auto"/>
          <w:kern w:val="0"/>
          <w:sz w:val="32"/>
          <w:szCs w:val="32"/>
          <w:lang w:bidi="ar"/>
        </w:rPr>
        <w:t>其他企</w:t>
      </w:r>
      <w:r>
        <w:rPr>
          <w:rFonts w:hint="eastAsia" w:ascii="仿宋_GB2312" w:hAnsi="微软雅黑" w:eastAsia="仿宋_GB2312"/>
          <w:color w:val="auto"/>
          <w:sz w:val="32"/>
          <w:szCs w:val="32"/>
        </w:rPr>
        <w:t>业进入B组。</w:t>
      </w:r>
    </w:p>
    <w:p>
      <w:pPr>
        <w:spacing w:line="600" w:lineRule="exact"/>
        <w:ind w:firstLine="640" w:firstLineChars="200"/>
        <w:rPr>
          <w:rFonts w:hint="eastAsia" w:ascii="仿宋_GB2312" w:hAnsi="微软雅黑" w:eastAsia="仿宋_GB2312"/>
          <w:color w:val="auto"/>
          <w:sz w:val="32"/>
          <w:szCs w:val="32"/>
        </w:rPr>
      </w:pPr>
      <w:r>
        <w:rPr>
          <w:rFonts w:hint="eastAsia" w:ascii="仿宋_GB2312" w:hAnsi="微软雅黑" w:eastAsia="仿宋_GB2312"/>
          <w:color w:val="auto"/>
          <w:sz w:val="32"/>
          <w:szCs w:val="32"/>
        </w:rPr>
        <w:t>2.A组企业不足10家时，从采购需求量不为零的B组企业中，按采购需求量由高到低逐一补充企业进入A组，最多补足10家。B组企业补充进入A组的过程中，如果最后一个名额有多家采购需求量相同的企业，则全部进入A组。</w:t>
      </w:r>
    </w:p>
    <w:p>
      <w:pPr>
        <w:spacing w:line="600" w:lineRule="exact"/>
        <w:ind w:firstLine="640" w:firstLineChars="200"/>
        <w:rPr>
          <w:rFonts w:hint="eastAsia" w:ascii="仿宋_GB2312" w:hAnsi="微软雅黑" w:eastAsia="仿宋_GB2312"/>
          <w:color w:val="auto"/>
          <w:sz w:val="32"/>
          <w:szCs w:val="32"/>
        </w:rPr>
      </w:pPr>
      <w:r>
        <w:rPr>
          <w:rFonts w:hint="eastAsia" w:ascii="仿宋_GB2312" w:hAnsi="微软雅黑" w:eastAsia="仿宋_GB2312"/>
          <w:color w:val="auto"/>
          <w:sz w:val="32"/>
          <w:szCs w:val="32"/>
        </w:rPr>
        <w:t>按上述规则调整之后，如果B组企业不足</w:t>
      </w:r>
      <w:r>
        <w:rPr>
          <w:rFonts w:ascii="仿宋_GB2312" w:hAnsi="微软雅黑" w:eastAsia="仿宋_GB2312"/>
          <w:color w:val="auto"/>
          <w:sz w:val="32"/>
          <w:szCs w:val="32"/>
        </w:rPr>
        <w:t>5</w:t>
      </w:r>
      <w:r>
        <w:rPr>
          <w:rFonts w:hint="eastAsia" w:ascii="仿宋_GB2312" w:hAnsi="微软雅黑" w:eastAsia="仿宋_GB2312"/>
          <w:color w:val="auto"/>
          <w:sz w:val="32"/>
          <w:szCs w:val="32"/>
        </w:rPr>
        <w:t>家，则B组企业全部纳入A组。</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（二）企业排名</w:t>
      </w:r>
    </w:p>
    <w:p>
      <w:pPr>
        <w:pStyle w:val="2"/>
        <w:spacing w:line="600" w:lineRule="exact"/>
        <w:ind w:firstLine="640" w:firstLineChars="200"/>
        <w:jc w:val="both"/>
        <w:rPr>
          <w:rFonts w:hint="default"/>
          <w:color w:val="auto"/>
        </w:rPr>
      </w:pPr>
      <w:r>
        <w:rPr>
          <w:rFonts w:ascii="仿宋_GB2312" w:hAnsi="宋体" w:eastAsia="仿宋_GB2312" w:cs="仿宋_GB2312"/>
          <w:color w:val="auto"/>
          <w:sz w:val="32"/>
          <w:szCs w:val="32"/>
          <w:lang w:bidi="ar"/>
        </w:rPr>
        <w:t>1.同一竞价组内，根据企业报价由低到高进行排名。企业报价高于最高有效申报价或报价为零的视为无效报价，不参与企业排名。</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当出现企业报价相同的情况时，按照以下规则依次确定排名：</w:t>
      </w:r>
    </w:p>
    <w:p>
      <w:pPr>
        <w:spacing w:line="600" w:lineRule="exact"/>
        <w:ind w:firstLine="640" w:firstLineChars="200"/>
        <w:rPr>
          <w:rFonts w:hint="eastAsia"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w:t>
      </w:r>
      <w:r>
        <w:rPr>
          <w:rFonts w:hint="eastAsia" w:ascii="仿宋_GB2312" w:hAnsi="宋体" w:eastAsia="仿宋_GB2312" w:cs="仿宋_GB2312"/>
          <w:color w:val="auto"/>
          <w:sz w:val="32"/>
          <w:szCs w:val="32"/>
          <w:lang w:bidi="ar"/>
        </w:rPr>
        <w:t>1</w:t>
      </w:r>
      <w:r>
        <w:rPr>
          <w:rFonts w:ascii="仿宋_GB2312" w:hAnsi="宋体" w:eastAsia="仿宋_GB2312" w:cs="仿宋_GB2312"/>
          <w:color w:val="auto"/>
          <w:sz w:val="32"/>
          <w:szCs w:val="32"/>
          <w:lang w:bidi="ar"/>
        </w:rPr>
        <w:t>）未被采购联盟</w:t>
      </w:r>
      <w:r>
        <w:rPr>
          <w:rFonts w:hint="eastAsia" w:ascii="仿宋_GB2312" w:hAnsi="宋体" w:eastAsia="仿宋_GB2312" w:cs="仿宋_GB2312"/>
          <w:color w:val="auto"/>
          <w:sz w:val="32"/>
          <w:szCs w:val="32"/>
          <w:lang w:bidi="ar"/>
        </w:rPr>
        <w:t>地区</w:t>
      </w:r>
      <w:r>
        <w:rPr>
          <w:rFonts w:ascii="仿宋_GB2312" w:hAnsi="宋体" w:eastAsia="仿宋_GB2312" w:cs="仿宋_GB2312"/>
          <w:color w:val="auto"/>
          <w:sz w:val="32"/>
          <w:szCs w:val="32"/>
          <w:lang w:bidi="ar"/>
        </w:rPr>
        <w:t>任意一</w:t>
      </w:r>
      <w:r>
        <w:rPr>
          <w:rFonts w:hint="eastAsia" w:ascii="仿宋_GB2312" w:hAnsi="宋体" w:eastAsia="仿宋_GB2312" w:cs="仿宋_GB2312"/>
          <w:color w:val="auto"/>
          <w:kern w:val="0"/>
          <w:sz w:val="32"/>
          <w:szCs w:val="32"/>
          <w:lang w:bidi="ar"/>
        </w:rPr>
        <w:t>省（自治区、直辖市、</w:t>
      </w:r>
      <w:r>
        <w:rPr>
          <w:rFonts w:hint="eastAsia" w:ascii="仿宋_GB2312" w:hAnsi="仿宋_GB2312" w:eastAsia="仿宋_GB2312" w:cs="仿宋_GB2312"/>
          <w:color w:val="auto"/>
          <w:kern w:val="0"/>
          <w:sz w:val="32"/>
          <w:szCs w:val="32"/>
          <w:lang w:bidi="ar"/>
        </w:rPr>
        <w:t>新疆生产建设</w:t>
      </w:r>
      <w:r>
        <w:rPr>
          <w:rFonts w:hint="eastAsia" w:ascii="仿宋_GB2312" w:hAnsi="宋体" w:eastAsia="仿宋_GB2312" w:cs="仿宋_GB2312"/>
          <w:color w:val="auto"/>
          <w:kern w:val="0"/>
          <w:sz w:val="32"/>
          <w:szCs w:val="32"/>
          <w:lang w:bidi="ar"/>
        </w:rPr>
        <w:t>兵团）</w:t>
      </w:r>
      <w:r>
        <w:rPr>
          <w:rFonts w:ascii="仿宋_GB2312" w:hAnsi="宋体" w:eastAsia="仿宋_GB2312" w:cs="仿宋_GB2312"/>
          <w:color w:val="auto"/>
          <w:sz w:val="32"/>
          <w:szCs w:val="32"/>
          <w:lang w:bidi="ar"/>
        </w:rPr>
        <w:t>依据医药价格和招采信用评价制度评定为“中等”</w:t>
      </w:r>
      <w:r>
        <w:rPr>
          <w:rFonts w:hint="eastAsia" w:ascii="仿宋_GB2312" w:hAnsi="宋体" w:eastAsia="仿宋_GB2312" w:cs="仿宋_GB2312"/>
          <w:color w:val="auto"/>
          <w:sz w:val="32"/>
          <w:szCs w:val="32"/>
          <w:lang w:bidi="ar"/>
        </w:rPr>
        <w:t>及以上</w:t>
      </w:r>
      <w:r>
        <w:rPr>
          <w:rFonts w:ascii="仿宋_GB2312" w:hAnsi="宋体" w:eastAsia="仿宋_GB2312" w:cs="仿宋_GB2312"/>
          <w:color w:val="auto"/>
          <w:sz w:val="32"/>
          <w:szCs w:val="32"/>
          <w:lang w:bidi="ar"/>
        </w:rPr>
        <w:t>失信等级的企业依次优先；</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w:t>
      </w:r>
      <w:r>
        <w:rPr>
          <w:rFonts w:hint="eastAsia" w:ascii="仿宋_GB2312" w:hAnsi="微软雅黑" w:eastAsia="仿宋_GB2312"/>
          <w:color w:val="auto"/>
          <w:sz w:val="32"/>
          <w:szCs w:val="32"/>
        </w:rPr>
        <w:t>申报品种采购需求的医疗机构数量多的企业优先；</w:t>
      </w:r>
    </w:p>
    <w:p>
      <w:pPr>
        <w:pStyle w:val="2"/>
        <w:spacing w:line="600" w:lineRule="exact"/>
        <w:ind w:firstLine="640" w:firstLineChars="200"/>
        <w:jc w:val="both"/>
        <w:rPr>
          <w:rFonts w:ascii="仿宋_GB2312" w:hAnsi="微软雅黑" w:eastAsia="仿宋_GB2312"/>
          <w:color w:val="auto"/>
          <w:sz w:val="32"/>
          <w:szCs w:val="32"/>
        </w:rPr>
      </w:pPr>
      <w:r>
        <w:rPr>
          <w:rFonts w:ascii="仿宋_GB2312" w:hAnsi="宋体" w:eastAsia="仿宋_GB2312" w:cs="仿宋_GB2312"/>
          <w:color w:val="auto"/>
          <w:sz w:val="32"/>
          <w:szCs w:val="32"/>
          <w:lang w:bidi="ar"/>
        </w:rPr>
        <w:t>（3）</w:t>
      </w:r>
      <w:r>
        <w:rPr>
          <w:rFonts w:ascii="仿宋_GB2312" w:hAnsi="宋体" w:eastAsia="仿宋_GB2312"/>
          <w:color w:val="auto"/>
          <w:sz w:val="32"/>
        </w:rPr>
        <w:t>2019年1月1日以来相关品种</w:t>
      </w:r>
      <w:r>
        <w:rPr>
          <w:rFonts w:ascii="仿宋_GB2312" w:hAnsi="微软雅黑" w:eastAsia="仿宋_GB2312"/>
          <w:color w:val="auto"/>
          <w:sz w:val="32"/>
          <w:szCs w:val="32"/>
        </w:rPr>
        <w:t>取得国家卫健委室间质评成绩合格的企业优先；</w:t>
      </w:r>
    </w:p>
    <w:p>
      <w:pPr>
        <w:pStyle w:val="2"/>
        <w:numPr>
          <w:ilvl w:val="0"/>
          <w:numId w:val="1"/>
        </w:numPr>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医疗机构采购</w:t>
      </w:r>
      <w:r>
        <w:rPr>
          <w:rFonts w:ascii="仿宋_GB2312" w:hAnsi="微软雅黑" w:eastAsia="仿宋_GB2312"/>
          <w:color w:val="auto"/>
          <w:sz w:val="32"/>
          <w:szCs w:val="32"/>
        </w:rPr>
        <w:t>需求</w:t>
      </w:r>
      <w:r>
        <w:rPr>
          <w:rFonts w:ascii="仿宋_GB2312" w:hAnsi="宋体" w:eastAsia="仿宋_GB2312" w:cs="仿宋_GB2312"/>
          <w:color w:val="auto"/>
          <w:sz w:val="32"/>
          <w:szCs w:val="32"/>
          <w:lang w:bidi="ar"/>
        </w:rPr>
        <w:t>量大的企业优先。</w:t>
      </w:r>
    </w:p>
    <w:p>
      <w:pPr>
        <w:spacing w:line="600" w:lineRule="exact"/>
        <w:ind w:firstLine="640" w:firstLineChars="200"/>
        <w:rPr>
          <w:rFonts w:ascii="仿宋_GB2312" w:hAnsi="微软雅黑" w:eastAsia="仿宋_GB2312"/>
          <w:color w:val="auto"/>
          <w:sz w:val="32"/>
          <w:szCs w:val="32"/>
        </w:rPr>
      </w:pPr>
      <w:r>
        <w:rPr>
          <w:rFonts w:ascii="仿宋_GB2312" w:hAnsi="微软雅黑" w:eastAsia="仿宋_GB2312"/>
          <w:color w:val="auto"/>
          <w:sz w:val="32"/>
          <w:szCs w:val="32"/>
        </w:rPr>
        <w:t>以上四点规则仍不能区分排名先后时，采取并列不连续排名。</w:t>
      </w:r>
    </w:p>
    <w:p>
      <w:pPr>
        <w:pStyle w:val="2"/>
        <w:spacing w:line="600" w:lineRule="exact"/>
        <w:ind w:firstLine="642" w:firstLineChars="200"/>
        <w:jc w:val="both"/>
        <w:rPr>
          <w:rFonts w:ascii="楷体" w:hAnsi="楷体" w:eastAsia="楷体" w:cs="楷体"/>
          <w:b/>
          <w:bCs/>
          <w:color w:val="auto"/>
          <w:sz w:val="32"/>
          <w:szCs w:val="32"/>
          <w:lang w:bidi="ar"/>
        </w:rPr>
      </w:pPr>
      <w:r>
        <w:rPr>
          <w:rFonts w:ascii="楷体" w:hAnsi="楷体" w:eastAsia="楷体" w:cs="楷体"/>
          <w:b/>
          <w:bCs/>
          <w:color w:val="auto"/>
          <w:sz w:val="32"/>
          <w:szCs w:val="32"/>
          <w:lang w:bidi="ar"/>
        </w:rPr>
        <w:t>（三）拟中选规则</w:t>
      </w:r>
    </w:p>
    <w:p>
      <w:pPr>
        <w:spacing w:line="600" w:lineRule="exact"/>
        <w:ind w:firstLine="640" w:firstLineChars="200"/>
        <w:rPr>
          <w:rFonts w:hint="default" w:ascii="仿宋_GB2312" w:hAnsi="宋体" w:eastAsia="仿宋_GB2312" w:cs="仿宋_GB2312"/>
          <w:color w:val="auto"/>
          <w:kern w:val="0"/>
          <w:sz w:val="32"/>
          <w:szCs w:val="32"/>
          <w:lang w:val="en-US" w:eastAsia="zh-CN" w:bidi="ar"/>
        </w:rPr>
      </w:pPr>
      <w:r>
        <w:rPr>
          <w:rFonts w:ascii="仿宋_GB2312" w:hAnsi="宋体" w:eastAsia="仿宋_GB2312" w:cs="仿宋_GB2312"/>
          <w:color w:val="auto"/>
          <w:sz w:val="32"/>
          <w:szCs w:val="32"/>
          <w:lang w:bidi="ar"/>
        </w:rPr>
        <w:t>1.拟中选规则一</w:t>
      </w:r>
      <w:r>
        <w:rPr>
          <w:rFonts w:hint="eastAsia" w:ascii="仿宋_GB2312" w:hAnsi="宋体" w:eastAsia="仿宋_GB2312" w:cs="仿宋_GB2312"/>
          <w:color w:val="auto"/>
          <w:sz w:val="32"/>
          <w:szCs w:val="32"/>
          <w:lang w:eastAsia="zh-CN" w:bidi="ar"/>
        </w:rPr>
        <w:t>：</w:t>
      </w:r>
      <w:r>
        <w:rPr>
          <w:rFonts w:ascii="仿宋_GB2312" w:hAnsi="宋体" w:eastAsia="仿宋_GB2312" w:cs="仿宋_GB2312"/>
          <w:color w:val="auto"/>
          <w:kern w:val="0"/>
          <w:sz w:val="32"/>
          <w:szCs w:val="32"/>
          <w:lang w:bidi="ar"/>
        </w:rPr>
        <w:t>同一竞价单元内，根据企业排名确定拟中选企业，拟中选排名与企业排名规则相同。按企业排名</w:t>
      </w:r>
      <w:r>
        <w:rPr>
          <w:rFonts w:hint="eastAsia" w:ascii="仿宋_GB2312" w:hAnsi="宋体" w:eastAsia="仿宋_GB2312" w:cs="仿宋_GB2312"/>
          <w:color w:val="auto"/>
          <w:kern w:val="0"/>
          <w:sz w:val="32"/>
          <w:szCs w:val="32"/>
          <w:lang w:bidi="ar"/>
        </w:rPr>
        <w:t>由高到低排序，取</w:t>
      </w:r>
      <w:r>
        <w:rPr>
          <w:rFonts w:ascii="仿宋_GB2312" w:hAnsi="宋体" w:eastAsia="仿宋_GB2312" w:cs="仿宋_GB2312"/>
          <w:color w:val="auto"/>
          <w:kern w:val="0"/>
          <w:sz w:val="32"/>
          <w:szCs w:val="32"/>
          <w:lang w:bidi="ar"/>
        </w:rPr>
        <w:t>有效申报企业数量的</w:t>
      </w:r>
      <w:r>
        <w:rPr>
          <w:rFonts w:hint="eastAsia" w:ascii="仿宋_GB2312" w:hAnsi="宋体" w:eastAsia="仿宋_GB2312" w:cs="仿宋_GB2312"/>
          <w:color w:val="auto"/>
          <w:kern w:val="0"/>
          <w:sz w:val="32"/>
          <w:szCs w:val="32"/>
          <w:lang w:bidi="ar"/>
        </w:rPr>
        <w:t>60%（四舍五入取整）为拟中选企业数量。若最后一个拟中选名额有多家排名相同的企业，则一并为拟中选企业，不受拟中选企业数量限制。实际有效申报企业数少于3家时</w:t>
      </w:r>
      <w:r>
        <w:rPr>
          <w:rFonts w:hint="eastAsia" w:ascii="仿宋_GB2312" w:hAnsi="宋体" w:eastAsia="仿宋_GB2312" w:cs="仿宋_GB2312"/>
          <w:color w:val="auto"/>
          <w:kern w:val="0"/>
          <w:sz w:val="32"/>
          <w:szCs w:val="32"/>
          <w:lang w:val="en-US" w:eastAsia="zh-CN" w:bidi="ar"/>
        </w:rPr>
        <w:t>也适用本规则。</w:t>
      </w:r>
    </w:p>
    <w:p>
      <w:pPr>
        <w:spacing w:line="600" w:lineRule="exact"/>
        <w:ind w:firstLine="640" w:firstLineChars="200"/>
        <w:rPr>
          <w:rFonts w:hint="eastAsia" w:eastAsia="仿宋_GB2312"/>
          <w:lang w:val="en-US" w:eastAsia="zh-CN"/>
        </w:rPr>
      </w:pPr>
      <w:r>
        <w:rPr>
          <w:rFonts w:hint="eastAsia" w:ascii="仿宋_GB2312" w:hAnsi="宋体" w:eastAsia="仿宋_GB2312" w:cs="仿宋_GB2312"/>
          <w:color w:val="auto"/>
          <w:kern w:val="0"/>
          <w:sz w:val="32"/>
          <w:szCs w:val="32"/>
          <w:lang w:bidi="ar"/>
        </w:rPr>
        <w:t>2.拟中选规则二</w:t>
      </w:r>
      <w:r>
        <w:rPr>
          <w:rFonts w:hint="eastAsia" w:ascii="仿宋_GB2312" w:hAnsi="宋体" w:eastAsia="仿宋_GB2312" w:cs="仿宋_GB2312"/>
          <w:color w:val="auto"/>
          <w:kern w:val="0"/>
          <w:sz w:val="32"/>
          <w:szCs w:val="32"/>
          <w:lang w:eastAsia="zh-CN" w:bidi="ar"/>
        </w:rPr>
        <w:t>：</w:t>
      </w:r>
      <w:r>
        <w:rPr>
          <w:rFonts w:hint="eastAsia" w:ascii="仿宋_GB2312" w:hAnsi="宋体" w:eastAsia="仿宋_GB2312" w:cs="仿宋_GB2312"/>
          <w:color w:val="auto"/>
          <w:kern w:val="0"/>
          <w:sz w:val="32"/>
          <w:szCs w:val="32"/>
          <w:lang w:bidi="ar"/>
        </w:rPr>
        <w:t>按“拟中选规则一”未能中选的A组企业，若其申报价格不高于最高有效申报价的0.6倍，增补为拟中选企业，且不受拟中选企业数量限制，其拟中选排名位列按“拟中选规则一”中选企业之后。实际有效申报企业数少于3家时</w:t>
      </w:r>
      <w:r>
        <w:rPr>
          <w:rFonts w:hint="eastAsia" w:ascii="仿宋_GB2312" w:hAnsi="宋体" w:eastAsia="仿宋_GB2312" w:cs="仿宋_GB2312"/>
          <w:color w:val="auto"/>
          <w:kern w:val="0"/>
          <w:sz w:val="32"/>
          <w:szCs w:val="32"/>
          <w:lang w:val="en-US" w:eastAsia="zh-CN" w:bidi="ar"/>
        </w:rPr>
        <w:t>也适用本规则。</w:t>
      </w:r>
    </w:p>
    <w:p>
      <w:pPr>
        <w:pStyle w:val="2"/>
        <w:spacing w:line="600" w:lineRule="exact"/>
        <w:ind w:firstLine="642" w:firstLineChars="200"/>
        <w:jc w:val="both"/>
        <w:rPr>
          <w:rFonts w:hint="default" w:ascii="楷体" w:hAnsi="楷体" w:eastAsia="楷体" w:cs="楷体"/>
          <w:b/>
          <w:bCs/>
          <w:color w:val="auto"/>
          <w:sz w:val="32"/>
          <w:szCs w:val="32"/>
          <w:lang w:bidi="ar"/>
        </w:rPr>
      </w:pPr>
      <w:r>
        <w:rPr>
          <w:rFonts w:ascii="楷体" w:hAnsi="楷体" w:eastAsia="楷体" w:cs="楷体"/>
          <w:b/>
          <w:bCs/>
          <w:color w:val="auto"/>
          <w:sz w:val="32"/>
          <w:szCs w:val="32"/>
          <w:lang w:bidi="ar"/>
        </w:rPr>
        <w:t>（四）拟中选产品价格</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用拟中选企业每ml或测试报价乘以每盒的ml数（取小数点后2位）或测试数，四舍五入精确到小数点后2位，计算各个包装规格产品的拟中选价格。计算每盒的ml数时，附带的标准品、质控品等不纳入计算。</w:t>
      </w:r>
    </w:p>
    <w:p>
      <w:pPr>
        <w:spacing w:line="600" w:lineRule="exact"/>
        <w:ind w:firstLine="640" w:firstLineChars="200"/>
        <w:outlineLvl w:val="1"/>
        <w:rPr>
          <w:rFonts w:ascii="黑体" w:hAnsi="黑体" w:eastAsia="黑体" w:cs="黑体"/>
          <w:color w:val="auto"/>
          <w:kern w:val="0"/>
          <w:sz w:val="32"/>
          <w:szCs w:val="32"/>
          <w:lang w:bidi="ar"/>
        </w:rPr>
      </w:pPr>
      <w:bookmarkStart w:id="20" w:name="_Toc89358223"/>
      <w:r>
        <w:rPr>
          <w:rFonts w:ascii="黑体" w:hAnsi="黑体" w:eastAsia="黑体" w:cs="黑体"/>
          <w:color w:val="auto"/>
          <w:kern w:val="0"/>
          <w:sz w:val="32"/>
          <w:szCs w:val="32"/>
          <w:lang w:bidi="ar"/>
        </w:rPr>
        <w:t>六、中选产品确定</w:t>
      </w:r>
      <w:bookmarkEnd w:id="20"/>
      <w:r>
        <w:rPr>
          <w:rFonts w:ascii="黑体" w:hAnsi="黑体" w:eastAsia="黑体" w:cs="黑体"/>
          <w:color w:val="auto"/>
          <w:kern w:val="0"/>
          <w:sz w:val="32"/>
          <w:szCs w:val="32"/>
          <w:lang w:bidi="ar"/>
        </w:rPr>
        <w:t xml:space="preserve"> </w:t>
      </w:r>
    </w:p>
    <w:p>
      <w:pPr>
        <w:pStyle w:val="2"/>
        <w:spacing w:line="600" w:lineRule="exact"/>
        <w:ind w:firstLine="642" w:firstLineChars="200"/>
        <w:jc w:val="both"/>
        <w:rPr>
          <w:rFonts w:ascii="楷体" w:hAnsi="楷体" w:eastAsia="楷体" w:cs="楷体"/>
          <w:b/>
          <w:bCs/>
          <w:color w:val="auto"/>
          <w:sz w:val="32"/>
          <w:szCs w:val="32"/>
          <w:lang w:bidi="ar"/>
        </w:rPr>
      </w:pPr>
      <w:r>
        <w:rPr>
          <w:rFonts w:ascii="楷体" w:hAnsi="楷体" w:eastAsia="楷体" w:cs="楷体"/>
          <w:b/>
          <w:bCs/>
          <w:color w:val="auto"/>
          <w:sz w:val="32"/>
          <w:szCs w:val="32"/>
          <w:lang w:bidi="ar"/>
        </w:rPr>
        <w:t>（一）拟中选结果公示</w:t>
      </w:r>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1.拟中选结果产生后，在江西省医疗保障局（http://ybj.jiangxi.gov.cn/）和江西省医药价格和采购服务中心（http://www.jxyycg.cn/）进行公示，由联席会议办公室接受复核申请。</w:t>
      </w:r>
    </w:p>
    <w:p>
      <w:pPr>
        <w:spacing w:line="600" w:lineRule="exact"/>
        <w:ind w:firstLine="640" w:firstLineChars="200"/>
        <w:rPr>
          <w:rFonts w:ascii="仿宋_GB2312" w:hAnsi="宋体" w:eastAsia="仿宋_GB2312" w:cs="仿宋_GB2312"/>
          <w:color w:val="auto"/>
          <w:sz w:val="32"/>
          <w:szCs w:val="32"/>
          <w:lang w:bidi="ar"/>
        </w:rPr>
      </w:pPr>
      <w:r>
        <w:rPr>
          <w:rFonts w:hint="eastAsia" w:ascii="仿宋_GB2312" w:hAnsi="微软雅黑" w:eastAsia="仿宋_GB2312"/>
          <w:color w:val="auto"/>
          <w:sz w:val="32"/>
          <w:szCs w:val="32"/>
        </w:rPr>
        <w:t>2.公示期间，拟中选价格高于全联盟医疗机构最低有效采购价格的</w:t>
      </w:r>
      <w:r>
        <w:rPr>
          <w:rFonts w:hint="eastAsia" w:ascii="仿宋_GB2312" w:hAnsi="宋体" w:eastAsia="仿宋_GB2312" w:cs="仿宋_GB2312"/>
          <w:color w:val="auto"/>
          <w:kern w:val="0"/>
          <w:sz w:val="32"/>
          <w:szCs w:val="32"/>
          <w:lang w:bidi="ar"/>
        </w:rPr>
        <w:t>，拟中选企业若同意以</w:t>
      </w:r>
      <w:r>
        <w:rPr>
          <w:rFonts w:hint="eastAsia" w:ascii="仿宋_GB2312" w:hAnsi="微软雅黑" w:eastAsia="仿宋_GB2312"/>
          <w:color w:val="auto"/>
          <w:sz w:val="32"/>
          <w:szCs w:val="32"/>
        </w:rPr>
        <w:t>全联盟</w:t>
      </w:r>
      <w:r>
        <w:rPr>
          <w:rFonts w:hint="eastAsia" w:ascii="仿宋_GB2312" w:hAnsi="宋体" w:eastAsia="仿宋_GB2312" w:cs="仿宋_GB2312"/>
          <w:color w:val="auto"/>
          <w:kern w:val="0"/>
          <w:sz w:val="32"/>
          <w:szCs w:val="32"/>
          <w:lang w:bidi="ar"/>
        </w:rPr>
        <w:t>最低有效采购价格为基准下降5%，则保留其拟中选资格，否则取消拟中选资格并列入“违规名单”。</w:t>
      </w:r>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3.复核申请应在公示期间内提出，并依法依规提供合法有效证明材料。未提供相应证明材料的，原则上不予受理。</w:t>
      </w:r>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4.经公示，如拟中选企业被调整中选价格，不影响企业排名。</w:t>
      </w:r>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5.拟中选企业被取消中选资格或主动放弃拟中选资格后，不作递补。</w:t>
      </w:r>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黑体" w:hAnsi="黑体" w:eastAsia="黑体" w:cs="黑体"/>
          <w:color w:val="auto"/>
          <w:sz w:val="32"/>
          <w:szCs w:val="32"/>
          <w:lang w:bidi="ar"/>
        </w:rPr>
        <w:t>（二）中选结果公布</w:t>
      </w:r>
    </w:p>
    <w:p>
      <w:pPr>
        <w:pStyle w:val="2"/>
        <w:spacing w:line="600" w:lineRule="exact"/>
        <w:ind w:firstLine="640" w:firstLineChars="200"/>
        <w:jc w:val="both"/>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拟中选结果公示无异议后，由联席会议办公室在江西省医疗保障局（http://ybj.jiangxi.gov.cn/）和江西省医药价格和采购服务中心（http://www.jxyycg.cn/）及联盟各地区指定网站公布中选结果。</w:t>
      </w:r>
    </w:p>
    <w:p>
      <w:pPr>
        <w:pStyle w:val="2"/>
        <w:spacing w:line="600" w:lineRule="exact"/>
        <w:ind w:firstLine="640" w:firstLineChars="200"/>
        <w:jc w:val="both"/>
        <w:rPr>
          <w:rFonts w:ascii="黑体" w:hAnsi="黑体" w:eastAsia="黑体" w:cs="黑体"/>
          <w:color w:val="auto"/>
          <w:sz w:val="32"/>
          <w:szCs w:val="32"/>
          <w:lang w:bidi="ar"/>
        </w:rPr>
      </w:pPr>
      <w:r>
        <w:rPr>
          <w:rFonts w:ascii="黑体" w:hAnsi="黑体" w:eastAsia="黑体" w:cs="黑体"/>
          <w:color w:val="auto"/>
          <w:sz w:val="32"/>
          <w:szCs w:val="32"/>
          <w:lang w:bidi="ar"/>
        </w:rPr>
        <w:t>（三）签订采购协议</w:t>
      </w:r>
    </w:p>
    <w:p>
      <w:pPr>
        <w:pStyle w:val="2"/>
        <w:spacing w:line="600" w:lineRule="exact"/>
        <w:ind w:firstLine="640" w:firstLineChars="200"/>
        <w:jc w:val="both"/>
        <w:rPr>
          <w:rFonts w:hint="default" w:ascii="仿宋_GB2312" w:hAnsi="宋体" w:eastAsia="仿宋_GB2312" w:cs="仿宋_GB2312"/>
          <w:color w:val="auto"/>
          <w:sz w:val="32"/>
          <w:szCs w:val="32"/>
          <w:lang w:bidi="ar"/>
        </w:rPr>
      </w:pPr>
      <w:r>
        <w:rPr>
          <w:rFonts w:hint="default" w:ascii="仿宋_GB2312" w:hAnsi="宋体" w:eastAsia="仿宋_GB2312" w:cs="仿宋_GB2312"/>
          <w:color w:val="auto"/>
          <w:sz w:val="32"/>
          <w:szCs w:val="32"/>
          <w:lang w:bidi="ar"/>
        </w:rPr>
        <w:t>1.</w:t>
      </w:r>
      <w:r>
        <w:rPr>
          <w:rFonts w:ascii="仿宋_GB2312" w:hAnsi="宋体" w:eastAsia="仿宋_GB2312" w:cs="仿宋_GB2312"/>
          <w:color w:val="auto"/>
          <w:sz w:val="32"/>
          <w:szCs w:val="32"/>
          <w:lang w:bidi="ar"/>
        </w:rPr>
        <w:t>在</w:t>
      </w:r>
      <w:r>
        <w:rPr>
          <w:rFonts w:hint="default" w:ascii="仿宋_GB2312" w:hAnsi="宋体" w:eastAsia="仿宋_GB2312" w:cs="仿宋_GB2312"/>
          <w:color w:val="auto"/>
          <w:sz w:val="32"/>
          <w:szCs w:val="32"/>
          <w:lang w:bidi="ar"/>
        </w:rPr>
        <w:t>签订采购协议前，医疗</w:t>
      </w:r>
      <w:r>
        <w:rPr>
          <w:rFonts w:ascii="仿宋_GB2312" w:hAnsi="宋体" w:eastAsia="仿宋_GB2312" w:cs="仿宋_GB2312"/>
          <w:color w:val="auto"/>
          <w:sz w:val="32"/>
          <w:szCs w:val="32"/>
          <w:lang w:bidi="ar"/>
        </w:rPr>
        <w:t>机构通过“江西医保信息平台招采管理子系统”网上分配协议采购量。</w:t>
      </w:r>
      <w:r>
        <w:rPr>
          <w:rFonts w:hint="default" w:ascii="仿宋_GB2312" w:hAnsi="宋体" w:eastAsia="仿宋_GB2312" w:cs="仿宋_GB2312"/>
          <w:color w:val="auto"/>
          <w:sz w:val="32"/>
          <w:szCs w:val="32"/>
          <w:lang w:bidi="ar"/>
        </w:rPr>
        <w:t>分两步确定每一家医疗机构的协议采购量。</w:t>
      </w:r>
    </w:p>
    <w:p>
      <w:pPr>
        <w:spacing w:line="600" w:lineRule="exact"/>
        <w:ind w:firstLine="640" w:firstLineChars="200"/>
        <w:rPr>
          <w:rFonts w:hint="eastAsia" w:ascii="仿宋_GB2312" w:hAnsi="微软雅黑" w:eastAsia="仿宋_GB2312"/>
          <w:color w:val="auto"/>
          <w:sz w:val="32"/>
          <w:szCs w:val="32"/>
        </w:rPr>
      </w:pPr>
      <w:r>
        <w:rPr>
          <w:rFonts w:ascii="仿宋_GB2312" w:hAnsi="宋体" w:eastAsia="仿宋_GB2312" w:cs="仿宋_GB2312"/>
          <w:color w:val="auto"/>
          <w:sz w:val="32"/>
          <w:szCs w:val="32"/>
          <w:lang w:bidi="ar"/>
        </w:rPr>
        <w:t>第一步：</w:t>
      </w:r>
      <w:r>
        <w:rPr>
          <w:rFonts w:hint="eastAsia" w:ascii="仿宋_GB2312" w:hAnsi="微软雅黑" w:eastAsia="仿宋_GB2312"/>
          <w:color w:val="auto"/>
          <w:sz w:val="32"/>
          <w:szCs w:val="32"/>
        </w:rPr>
        <w:t>按中选排名确定初次协议采购量，初次协议采购量占采购需求的比例见下表。根据医疗机构的采购需求量，四舍五入取整，计算各品种各企业的初次协议采购量。</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743"/>
        <w:gridCol w:w="2551"/>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trPr>
        <w:tc>
          <w:tcPr>
            <w:tcW w:w="37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b/>
                <w:bCs/>
                <w:color w:val="auto"/>
                <w:kern w:val="0"/>
                <w:sz w:val="24"/>
              </w:rPr>
            </w:pPr>
            <w:r>
              <w:rPr>
                <w:rFonts w:hint="eastAsia" w:ascii="宋体" w:hAnsi="宋体" w:cs="宋体"/>
                <w:b/>
                <w:bCs/>
                <w:color w:val="auto"/>
                <w:kern w:val="0"/>
                <w:sz w:val="24"/>
              </w:rPr>
              <w:t>中选排名</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b/>
                <w:bCs/>
                <w:color w:val="auto"/>
                <w:kern w:val="0"/>
                <w:sz w:val="24"/>
              </w:rPr>
            </w:pPr>
            <w:r>
              <w:rPr>
                <w:rFonts w:hint="eastAsia" w:ascii="宋体" w:hAnsi="宋体" w:cs="宋体"/>
                <w:b/>
                <w:bCs/>
                <w:color w:val="auto"/>
                <w:kern w:val="0"/>
                <w:sz w:val="24"/>
              </w:rPr>
              <w:t>初次协议采购量占采购需求量的比例</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b/>
                <w:bCs/>
                <w:color w:val="auto"/>
                <w:kern w:val="0"/>
                <w:sz w:val="24"/>
              </w:rPr>
            </w:pPr>
            <w:r>
              <w:rPr>
                <w:rFonts w:hint="eastAsia" w:ascii="宋体" w:hAnsi="宋体" w:cs="宋体"/>
                <w:b/>
                <w:bCs/>
                <w:color w:val="auto"/>
                <w:kern w:val="0"/>
                <w:sz w:val="24"/>
              </w:rPr>
              <w:t>中选产品未分配采购需求量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1</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100%</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2-3</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95%</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4</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80%</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5</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75%</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4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≥6</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70%</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43"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增补中选（申报价格≤最高有效申报价的0.5倍）</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60%</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rPr>
        <w:tc>
          <w:tcPr>
            <w:tcW w:w="3743" w:type="dxa"/>
            <w:tcBorders>
              <w:top w:val="single" w:color="auto" w:sz="4" w:space="0"/>
              <w:left w:val="single" w:color="auto" w:sz="4" w:space="0"/>
              <w:bottom w:val="single" w:color="auto" w:sz="4" w:space="0"/>
              <w:right w:val="single" w:color="auto" w:sz="4" w:space="0"/>
            </w:tcBorders>
            <w:noWrap w:val="0"/>
            <w:vAlign w:val="top"/>
          </w:tcPr>
          <w:p>
            <w:pPr>
              <w:spacing w:line="420" w:lineRule="exact"/>
              <w:jc w:val="center"/>
              <w:rPr>
                <w:rFonts w:ascii="宋体" w:hAnsi="宋体" w:cs="宋体"/>
                <w:color w:val="auto"/>
                <w:kern w:val="0"/>
                <w:sz w:val="24"/>
              </w:rPr>
            </w:pPr>
            <w:r>
              <w:rPr>
                <w:rFonts w:hint="eastAsia" w:ascii="宋体" w:hAnsi="宋体" w:cs="宋体"/>
                <w:color w:val="auto"/>
                <w:kern w:val="0"/>
                <w:sz w:val="24"/>
              </w:rPr>
              <w:t>增补中选（申报价格≤最高有效申报价的0.6倍）</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40%</w:t>
            </w:r>
          </w:p>
        </w:tc>
        <w:tc>
          <w:tcPr>
            <w:tcW w:w="202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cs="宋体"/>
                <w:color w:val="auto"/>
                <w:kern w:val="0"/>
                <w:sz w:val="24"/>
              </w:rPr>
            </w:pPr>
            <w:r>
              <w:rPr>
                <w:rFonts w:hint="eastAsia" w:ascii="宋体" w:hAnsi="宋体" w:cs="宋体"/>
                <w:color w:val="auto"/>
                <w:kern w:val="0"/>
                <w:sz w:val="24"/>
              </w:rPr>
              <w:t>50%</w:t>
            </w:r>
          </w:p>
        </w:tc>
      </w:tr>
    </w:tbl>
    <w:p>
      <w:pPr>
        <w:spacing w:line="600" w:lineRule="exact"/>
        <w:ind w:firstLine="640" w:firstLineChars="200"/>
        <w:rPr>
          <w:rFonts w:hint="eastAsia" w:ascii="仿宋_GB2312" w:hAnsi="宋体" w:eastAsia="仿宋_GB2312" w:cs="仿宋_GB2312"/>
          <w:color w:val="auto"/>
          <w:sz w:val="32"/>
          <w:szCs w:val="32"/>
          <w:lang w:bidi="ar"/>
        </w:rPr>
      </w:pPr>
      <w:r>
        <w:rPr>
          <w:rFonts w:hint="eastAsia" w:ascii="仿宋_GB2312" w:hAnsi="宋体" w:eastAsia="仿宋_GB2312" w:cs="仿宋_GB2312"/>
          <w:color w:val="auto"/>
          <w:sz w:val="32"/>
          <w:szCs w:val="32"/>
          <w:lang w:bidi="ar"/>
        </w:rPr>
        <w:t>2019年1月1日以来相关品种取得国家卫健委室间质评成绩合格的，第一步的初次协议采购量占采购需求量的比例增加5%（不超过100%），中选产品未分配采购</w:t>
      </w:r>
      <w:r>
        <w:rPr>
          <w:rFonts w:hint="eastAsia" w:ascii="仿宋_GB2312" w:hAnsi="微软雅黑" w:eastAsia="仿宋_GB2312"/>
          <w:color w:val="auto"/>
          <w:sz w:val="32"/>
          <w:szCs w:val="32"/>
        </w:rPr>
        <w:t>需求</w:t>
      </w:r>
      <w:r>
        <w:rPr>
          <w:rFonts w:hint="eastAsia" w:ascii="仿宋_GB2312" w:hAnsi="宋体" w:eastAsia="仿宋_GB2312" w:cs="仿宋_GB2312"/>
          <w:color w:val="auto"/>
          <w:sz w:val="32"/>
          <w:szCs w:val="32"/>
          <w:lang w:bidi="ar"/>
        </w:rPr>
        <w:t>量减少5%。</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第二步：</w:t>
      </w:r>
      <w:r>
        <w:rPr>
          <w:rFonts w:hint="eastAsia" w:ascii="仿宋_GB2312" w:hAnsi="宋体" w:eastAsia="仿宋_GB2312" w:cs="仿宋_GB2312"/>
          <w:color w:val="auto"/>
          <w:kern w:val="0"/>
          <w:sz w:val="32"/>
          <w:szCs w:val="32"/>
          <w:lang w:bidi="ar"/>
        </w:rPr>
        <w:t>未中选企业的采购</w:t>
      </w:r>
      <w:r>
        <w:rPr>
          <w:rFonts w:hint="eastAsia" w:ascii="仿宋_GB2312" w:hAnsi="微软雅黑" w:eastAsia="仿宋_GB2312"/>
          <w:color w:val="auto"/>
          <w:sz w:val="32"/>
          <w:szCs w:val="32"/>
        </w:rPr>
        <w:t>需求</w:t>
      </w:r>
      <w:r>
        <w:rPr>
          <w:rFonts w:hint="eastAsia" w:ascii="仿宋_GB2312" w:hAnsi="宋体" w:eastAsia="仿宋_GB2312" w:cs="仿宋_GB2312"/>
          <w:color w:val="auto"/>
          <w:kern w:val="0"/>
          <w:sz w:val="32"/>
          <w:szCs w:val="32"/>
          <w:lang w:bidi="ar"/>
        </w:rPr>
        <w:t>量的90%和中选产品未分配采购</w:t>
      </w:r>
      <w:r>
        <w:rPr>
          <w:rFonts w:hint="eastAsia" w:ascii="仿宋_GB2312" w:hAnsi="微软雅黑" w:eastAsia="仿宋_GB2312"/>
          <w:color w:val="auto"/>
          <w:sz w:val="32"/>
          <w:szCs w:val="32"/>
        </w:rPr>
        <w:t>需求</w:t>
      </w:r>
      <w:r>
        <w:rPr>
          <w:rFonts w:hint="eastAsia" w:ascii="仿宋_GB2312" w:hAnsi="宋体" w:eastAsia="仿宋_GB2312" w:cs="仿宋_GB2312"/>
          <w:color w:val="auto"/>
          <w:kern w:val="0"/>
          <w:sz w:val="32"/>
          <w:szCs w:val="32"/>
          <w:lang w:bidi="ar"/>
        </w:rPr>
        <w:t>量，作为医疗机构的二次协议采购量。在分配二次协议采购量时，医疗机构可自主分配给同品种同注册单位A组或B组</w:t>
      </w:r>
      <w:r>
        <w:rPr>
          <w:rFonts w:ascii="仿宋_GB2312" w:hAnsi="宋体" w:eastAsia="仿宋_GB2312" w:cs="仿宋_GB2312"/>
          <w:color w:val="auto"/>
          <w:kern w:val="0"/>
          <w:sz w:val="32"/>
          <w:szCs w:val="32"/>
          <w:lang w:val="en" w:bidi="ar"/>
        </w:rPr>
        <w:t>排名前</w:t>
      </w:r>
      <w:r>
        <w:rPr>
          <w:rFonts w:hint="eastAsia" w:ascii="仿宋_GB2312" w:hAnsi="宋体" w:eastAsia="仿宋_GB2312" w:cs="仿宋_GB2312"/>
          <w:color w:val="auto"/>
          <w:kern w:val="0"/>
          <w:sz w:val="32"/>
          <w:szCs w:val="32"/>
          <w:lang w:val="en-US" w:eastAsia="zh-CN" w:bidi="ar"/>
        </w:rPr>
        <w:t>8</w:t>
      </w:r>
      <w:r>
        <w:rPr>
          <w:rFonts w:ascii="仿宋_GB2312" w:hAnsi="宋体" w:eastAsia="仿宋_GB2312" w:cs="仿宋_GB2312"/>
          <w:color w:val="auto"/>
          <w:kern w:val="0"/>
          <w:sz w:val="32"/>
          <w:szCs w:val="32"/>
          <w:lang w:val="en" w:bidi="ar"/>
        </w:rPr>
        <w:t>0%（向下取整）的中选企业</w:t>
      </w:r>
      <w:r>
        <w:rPr>
          <w:rFonts w:hint="eastAsia" w:ascii="仿宋_GB2312" w:hAnsi="宋体" w:eastAsia="仿宋_GB2312" w:cs="仿宋_GB2312"/>
          <w:color w:val="auto"/>
          <w:kern w:val="0"/>
          <w:sz w:val="32"/>
          <w:szCs w:val="32"/>
          <w:lang w:val="en" w:bidi="ar"/>
        </w:rPr>
        <w:t>（除外复活企业）</w:t>
      </w:r>
      <w:r>
        <w:rPr>
          <w:rFonts w:ascii="仿宋_GB2312" w:hAnsi="宋体" w:eastAsia="仿宋_GB2312" w:cs="仿宋_GB2312"/>
          <w:color w:val="auto"/>
          <w:kern w:val="0"/>
          <w:sz w:val="32"/>
          <w:szCs w:val="32"/>
          <w:lang w:val="en" w:bidi="ar"/>
        </w:rPr>
        <w:t>的产品，</w:t>
      </w:r>
      <w:r>
        <w:rPr>
          <w:rFonts w:hint="eastAsia" w:ascii="仿宋_GB2312" w:hAnsi="宋体" w:eastAsia="仿宋_GB2312" w:cs="仿宋_GB2312"/>
          <w:color w:val="auto"/>
          <w:kern w:val="0"/>
          <w:sz w:val="32"/>
          <w:szCs w:val="32"/>
          <w:lang w:bidi="ar"/>
        </w:rPr>
        <w:t>或本医疗机构已填报采购需求量</w:t>
      </w:r>
      <w:r>
        <w:rPr>
          <w:rFonts w:ascii="仿宋_GB2312" w:hAnsi="宋体" w:eastAsia="仿宋_GB2312" w:cs="仿宋_GB2312"/>
          <w:color w:val="auto"/>
          <w:kern w:val="0"/>
          <w:sz w:val="32"/>
          <w:szCs w:val="32"/>
          <w:lang w:val="en" w:bidi="ar"/>
        </w:rPr>
        <w:t>的中选</w:t>
      </w:r>
      <w:r>
        <w:rPr>
          <w:rFonts w:hint="eastAsia" w:ascii="仿宋_GB2312" w:hAnsi="宋体" w:eastAsia="仿宋_GB2312" w:cs="仿宋_GB2312"/>
          <w:color w:val="auto"/>
          <w:kern w:val="0"/>
          <w:sz w:val="32"/>
          <w:szCs w:val="32"/>
          <w:lang w:bidi="ar"/>
        </w:rPr>
        <w:t>价格最低的企业的产品。医疗机构应按要求及时进行协议量分配；若医疗机构未分配，则自动分配给同品种同包装计量单位的最低价中选企业。</w:t>
      </w:r>
    </w:p>
    <w:p>
      <w:pPr>
        <w:pStyle w:val="2"/>
        <w:spacing w:line="600" w:lineRule="exact"/>
        <w:ind w:firstLine="640" w:firstLineChars="200"/>
        <w:jc w:val="both"/>
        <w:rPr>
          <w:rFonts w:hint="default" w:ascii="仿宋_GB2312" w:hAnsi="宋体" w:eastAsia="仿宋_GB2312" w:cs="仿宋_GB2312"/>
          <w:color w:val="auto"/>
          <w:sz w:val="32"/>
          <w:szCs w:val="32"/>
          <w:lang w:bidi="ar"/>
        </w:rPr>
      </w:pPr>
      <w:r>
        <w:rPr>
          <w:rFonts w:hint="default" w:ascii="仿宋_GB2312" w:hAnsi="宋体" w:eastAsia="仿宋_GB2312" w:cs="仿宋_GB2312"/>
          <w:color w:val="auto"/>
          <w:sz w:val="32"/>
          <w:szCs w:val="32"/>
          <w:lang w:bidi="ar"/>
        </w:rPr>
        <w:t>2.签订采购协议并执行</w:t>
      </w:r>
      <w:r>
        <w:rPr>
          <w:rFonts w:ascii="仿宋_GB2312" w:hAnsi="宋体" w:eastAsia="仿宋_GB2312" w:cs="仿宋_GB2312"/>
          <w:color w:val="auto"/>
          <w:sz w:val="32"/>
          <w:szCs w:val="32"/>
          <w:lang w:bidi="ar"/>
        </w:rPr>
        <w:t>时</w:t>
      </w:r>
      <w:r>
        <w:rPr>
          <w:rFonts w:hint="default" w:ascii="仿宋_GB2312" w:hAnsi="宋体" w:eastAsia="仿宋_GB2312" w:cs="仿宋_GB2312"/>
          <w:color w:val="auto"/>
          <w:sz w:val="32"/>
          <w:szCs w:val="32"/>
          <w:lang w:bidi="ar"/>
        </w:rPr>
        <w:t>，必须如实反映实际供应价格和采购量</w:t>
      </w:r>
      <w:r>
        <w:rPr>
          <w:rFonts w:ascii="仿宋_GB2312" w:hAnsi="宋体" w:eastAsia="仿宋_GB2312" w:cs="仿宋_GB2312"/>
          <w:color w:val="auto"/>
          <w:sz w:val="32"/>
          <w:szCs w:val="32"/>
          <w:lang w:bidi="ar"/>
        </w:rPr>
        <w:t>。</w:t>
      </w:r>
      <w:r>
        <w:rPr>
          <w:rFonts w:hint="default" w:ascii="仿宋_GB2312" w:hAnsi="宋体" w:eastAsia="仿宋_GB2312" w:cs="仿宋_GB2312"/>
          <w:color w:val="auto"/>
          <w:sz w:val="32"/>
          <w:szCs w:val="32"/>
          <w:lang w:bidi="ar"/>
        </w:rPr>
        <w:t>医疗机构应当根据采购协议的约定</w:t>
      </w:r>
      <w:r>
        <w:rPr>
          <w:rFonts w:ascii="仿宋_GB2312" w:hAnsi="宋体" w:eastAsia="仿宋_GB2312" w:cs="仿宋_GB2312"/>
          <w:color w:val="auto"/>
          <w:sz w:val="32"/>
          <w:szCs w:val="32"/>
          <w:lang w:bidi="ar"/>
        </w:rPr>
        <w:t>和有关政策要求</w:t>
      </w:r>
      <w:r>
        <w:rPr>
          <w:rFonts w:hint="default" w:ascii="仿宋_GB2312" w:hAnsi="宋体" w:eastAsia="仿宋_GB2312" w:cs="仿宋_GB2312"/>
          <w:color w:val="auto"/>
          <w:sz w:val="32"/>
          <w:szCs w:val="32"/>
          <w:lang w:bidi="ar"/>
        </w:rPr>
        <w:t>及时回款，不得拖欠。</w:t>
      </w:r>
    </w:p>
    <w:p>
      <w:pPr>
        <w:pStyle w:val="2"/>
        <w:spacing w:line="600" w:lineRule="exact"/>
        <w:ind w:firstLine="640" w:firstLineChars="200"/>
        <w:jc w:val="both"/>
        <w:rPr>
          <w:rFonts w:hint="default"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3.</w:t>
      </w:r>
      <w:r>
        <w:rPr>
          <w:rFonts w:hint="default" w:ascii="仿宋_GB2312" w:hAnsi="宋体" w:eastAsia="仿宋_GB2312" w:cs="仿宋_GB2312"/>
          <w:color w:val="auto"/>
          <w:sz w:val="32"/>
          <w:szCs w:val="32"/>
          <w:lang w:bidi="ar"/>
        </w:rPr>
        <w:t>采购协议签订后，双方不得再订立背离协议实质性内容的其他协议或提出除协议之外的任何利益性要求。</w:t>
      </w:r>
    </w:p>
    <w:p>
      <w:pPr>
        <w:spacing w:line="600" w:lineRule="exact"/>
        <w:ind w:firstLine="640" w:firstLineChars="200"/>
        <w:rPr>
          <w:rFonts w:ascii="仿宋_GB2312" w:hAnsi="宋体" w:eastAsia="仿宋_GB2312" w:cs="仿宋_GB2312"/>
          <w:color w:val="auto"/>
          <w:sz w:val="32"/>
          <w:szCs w:val="32"/>
          <w:lang w:bidi="ar"/>
        </w:rPr>
      </w:pPr>
      <w:r>
        <w:rPr>
          <w:rFonts w:ascii="仿宋_GB2312" w:hAnsi="宋体" w:eastAsia="仿宋_GB2312" w:cs="仿宋_GB2312"/>
          <w:color w:val="auto"/>
          <w:sz w:val="32"/>
          <w:szCs w:val="32"/>
          <w:lang w:bidi="ar"/>
        </w:rPr>
        <w:t>4.参与本次集中带量采购的医疗机构须严格执行中选价格，不得对中选产品进行二次议价。</w:t>
      </w:r>
    </w:p>
    <w:p>
      <w:pPr>
        <w:spacing w:line="600" w:lineRule="exact"/>
        <w:ind w:firstLine="640" w:firstLineChars="200"/>
        <w:outlineLvl w:val="1"/>
        <w:rPr>
          <w:rFonts w:hint="eastAsia"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七</w:t>
      </w:r>
      <w:r>
        <w:rPr>
          <w:rFonts w:ascii="黑体" w:hAnsi="黑体" w:eastAsia="黑体" w:cs="黑体"/>
          <w:color w:val="auto"/>
          <w:kern w:val="0"/>
          <w:sz w:val="32"/>
          <w:szCs w:val="32"/>
          <w:lang w:bidi="ar"/>
        </w:rPr>
        <w:t>、</w:t>
      </w:r>
      <w:r>
        <w:rPr>
          <w:rFonts w:hint="eastAsia" w:ascii="黑体" w:hAnsi="黑体" w:eastAsia="黑体" w:cs="黑体"/>
          <w:color w:val="auto"/>
          <w:kern w:val="0"/>
          <w:sz w:val="32"/>
          <w:szCs w:val="32"/>
          <w:lang w:bidi="ar"/>
        </w:rPr>
        <w:t>非中选产品管理</w:t>
      </w:r>
    </w:p>
    <w:p>
      <w:pPr>
        <w:spacing w:line="600" w:lineRule="exact"/>
        <w:ind w:firstLine="640" w:firstLineChars="200"/>
        <w:rPr>
          <w:rFonts w:hint="eastAsia" w:ascii="仿宋_GB2312" w:hAnsi="微软雅黑" w:eastAsia="仿宋_GB2312"/>
          <w:color w:val="auto"/>
          <w:sz w:val="32"/>
          <w:szCs w:val="32"/>
        </w:rPr>
      </w:pPr>
      <w:r>
        <w:rPr>
          <w:rFonts w:hint="eastAsia" w:ascii="仿宋_GB2312" w:hAnsi="微软雅黑" w:eastAsia="仿宋_GB2312"/>
          <w:color w:val="auto"/>
          <w:sz w:val="32"/>
          <w:szCs w:val="32"/>
        </w:rPr>
        <w:t>申报信息公开之前，在采购范围内但未申报参加本次带量采购的产品、申报但未中选的产品和流标的产品，均视为非中选产品，采购周期内，每年度非中选产品的采购数量不得高于同品种同竞价组别采购总数量的30%。</w:t>
      </w:r>
    </w:p>
    <w:p>
      <w:pPr>
        <w:spacing w:line="600" w:lineRule="exact"/>
        <w:ind w:firstLine="640" w:firstLineChars="200"/>
        <w:outlineLvl w:val="1"/>
        <w:rPr>
          <w:rFonts w:ascii="黑体" w:hAnsi="黑体" w:eastAsia="黑体" w:cs="黑体"/>
          <w:color w:val="auto"/>
          <w:kern w:val="0"/>
          <w:sz w:val="32"/>
          <w:szCs w:val="32"/>
          <w:lang w:bidi="ar"/>
        </w:rPr>
      </w:pPr>
      <w:bookmarkStart w:id="21" w:name="_Toc89358224"/>
      <w:r>
        <w:rPr>
          <w:rFonts w:hint="eastAsia" w:ascii="黑体" w:hAnsi="黑体" w:eastAsia="黑体" w:cs="黑体"/>
          <w:color w:val="auto"/>
          <w:kern w:val="0"/>
          <w:sz w:val="32"/>
          <w:szCs w:val="32"/>
          <w:lang w:bidi="ar"/>
        </w:rPr>
        <w:t>八</w:t>
      </w:r>
      <w:r>
        <w:rPr>
          <w:rFonts w:ascii="黑体" w:hAnsi="黑体" w:eastAsia="黑体" w:cs="黑体"/>
          <w:color w:val="auto"/>
          <w:kern w:val="0"/>
          <w:sz w:val="32"/>
          <w:szCs w:val="32"/>
          <w:lang w:bidi="ar"/>
        </w:rPr>
        <w:t>、采购协议履行及有关问题处理</w:t>
      </w:r>
      <w:bookmarkEnd w:id="21"/>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（一）申报企业、中选企业、配送企业如有以下行为，经有关部门认定情节严重的将被视为有失信行为，纳入企业信用记录，列入“违规名单”</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1.申报产品不符合“申报产品资格要求”，涉嫌不如实提供材料。</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2.以低于成本的价格恶意申报，扰乱市场秩序。</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3.相互串通申报、协商报价，排斥其他申报企业的公平竞争，损害医疗机构或者其他申报企业的合法利益。</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4.以向医疗机构、联席会议办公室行贿等手段牟取中选。</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5.提供虚假证明文件及文献资料，或者以其他方式弄虚作假，骗取中选。</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6.在规定期限内不签订采购协议。</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7.中选企业、配送企业未按医疗机构及法律法规等要求实行配送。</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8.中选结果公布后放弃中选资格。</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9.不履行供货承诺，影响到临床使用。</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10.中选产品发生严重质量问题。</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11.中选企业严重违背在申报材料中作出的承诺。</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12.通过恶意投诉等不正当手段竞争。</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13.蓄意干扰集中带量采购相关工作秩序。</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14.其他违反法律法规的行为。</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（二）列入“违规名单”的相关企业，按以下方式处理</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1.申报企业列入“违规名单”的，取消该企业的申报资格；中选企业列入“违规名单”的，取消该企业的中选资格。同时视情节轻重取消上述企业在列入“违规名单”之日起2年内参与联盟各地区医用耗材集中采购活动的资格。</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2.配送企业列入“违规名单”的，取消该企业自列入“违规名单”之日起2年内参与联盟各地区医用耗材集中采购配送的资格。</w:t>
      </w:r>
    </w:p>
    <w:p>
      <w:pPr>
        <w:spacing w:line="600" w:lineRule="exact"/>
        <w:ind w:firstLine="642" w:firstLineChars="200"/>
        <w:rPr>
          <w:rFonts w:ascii="楷体" w:hAnsi="楷体" w:eastAsia="楷体" w:cs="楷体"/>
          <w:b/>
          <w:bCs/>
          <w:color w:val="auto"/>
          <w:kern w:val="0"/>
          <w:sz w:val="32"/>
          <w:szCs w:val="32"/>
          <w:lang w:bidi="ar"/>
        </w:rPr>
      </w:pPr>
      <w:r>
        <w:rPr>
          <w:rFonts w:ascii="楷体" w:hAnsi="楷体" w:eastAsia="楷体" w:cs="楷体"/>
          <w:b/>
          <w:bCs/>
          <w:color w:val="auto"/>
          <w:kern w:val="0"/>
          <w:sz w:val="32"/>
          <w:szCs w:val="32"/>
          <w:lang w:bidi="ar"/>
        </w:rPr>
        <w:t>（</w:t>
      </w:r>
      <w:r>
        <w:rPr>
          <w:rFonts w:hint="eastAsia" w:ascii="楷体" w:hAnsi="楷体" w:eastAsia="楷体" w:cs="楷体"/>
          <w:b/>
          <w:bCs/>
          <w:color w:val="auto"/>
          <w:kern w:val="0"/>
          <w:sz w:val="32"/>
          <w:szCs w:val="32"/>
          <w:lang w:bidi="ar"/>
        </w:rPr>
        <w:t>三</w:t>
      </w:r>
      <w:r>
        <w:rPr>
          <w:rFonts w:ascii="楷体" w:hAnsi="楷体" w:eastAsia="楷体" w:cs="楷体"/>
          <w:b/>
          <w:bCs/>
          <w:color w:val="auto"/>
          <w:kern w:val="0"/>
          <w:sz w:val="32"/>
          <w:szCs w:val="32"/>
          <w:lang w:bidi="ar"/>
        </w:rPr>
        <w:t xml:space="preserve">）其他事项 </w:t>
      </w:r>
    </w:p>
    <w:p>
      <w:pPr>
        <w:spacing w:line="600" w:lineRule="exact"/>
        <w:ind w:firstLine="640" w:firstLineChars="200"/>
        <w:rPr>
          <w:rFonts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1.中选产品出现被药品监督管理部门暂停生产、销售、使用、</w:t>
      </w:r>
      <w:r>
        <w:rPr>
          <w:rFonts w:hint="eastAsia" w:ascii="仿宋_GB2312" w:hAnsi="宋体" w:eastAsia="仿宋_GB2312" w:cs="仿宋_GB2312"/>
          <w:color w:val="auto"/>
          <w:kern w:val="0"/>
          <w:sz w:val="32"/>
          <w:szCs w:val="32"/>
          <w:lang w:bidi="ar"/>
        </w:rPr>
        <w:t>进口等情况，取消中选资格。</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2.</w:t>
      </w:r>
      <w:r>
        <w:rPr>
          <w:rFonts w:hint="eastAsia" w:ascii="仿宋_GB2312" w:hAnsi="宋体" w:eastAsia="仿宋_GB2312" w:cs="仿宋_GB2312"/>
          <w:color w:val="auto"/>
          <w:kern w:val="0"/>
          <w:sz w:val="32"/>
          <w:szCs w:val="32"/>
          <w:lang w:bidi="ar"/>
        </w:rPr>
        <w:t>采购周期内，中选企业出现无法保证供应等情况，致使采购协议无法继续履行时，由医疗机构自主选择价格适宜的中选产品。因保障供应产生的额外支出由无法履行采购协议的原中选企业承担。</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3</w:t>
      </w:r>
      <w:r>
        <w:rPr>
          <w:rFonts w:ascii="仿宋_GB2312" w:hAnsi="宋体" w:eastAsia="仿宋_GB2312" w:cs="仿宋_GB2312"/>
          <w:color w:val="auto"/>
          <w:kern w:val="0"/>
          <w:sz w:val="32"/>
          <w:szCs w:val="32"/>
          <w:lang w:bidi="ar"/>
        </w:rPr>
        <w:t>.</w:t>
      </w:r>
      <w:r>
        <w:rPr>
          <w:rFonts w:hint="eastAsia" w:ascii="仿宋_GB2312" w:hAnsi="宋体" w:eastAsia="仿宋_GB2312" w:cs="仿宋_GB2312"/>
          <w:color w:val="auto"/>
          <w:kern w:val="0"/>
          <w:sz w:val="32"/>
          <w:szCs w:val="32"/>
          <w:lang w:bidi="ar"/>
        </w:rPr>
        <w:t>因中选产品存在生产质量问题，给患者造成损失的，按照相关规定，由中选企业承担全部赔偿责任。</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ascii="仿宋_GB2312" w:hAnsi="宋体" w:eastAsia="仿宋_GB2312" w:cs="仿宋_GB2312"/>
          <w:color w:val="auto"/>
          <w:kern w:val="0"/>
          <w:sz w:val="32"/>
          <w:szCs w:val="32"/>
          <w:lang w:bidi="ar"/>
        </w:rPr>
        <w:t>4.采购周期内，若中选产品的配送企业被列入“违规名单”，联盟各地区应及时处理，组织中选企业选择其他配送企业，确保中选产品及时配送。</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5.</w:t>
      </w:r>
      <w:r>
        <w:rPr>
          <w:rFonts w:ascii="仿宋_GB2312" w:hAnsi="宋体" w:eastAsia="仿宋_GB2312" w:cs="仿宋_GB2312"/>
          <w:color w:val="auto"/>
          <w:kern w:val="0"/>
          <w:sz w:val="32"/>
          <w:szCs w:val="32"/>
          <w:lang w:bidi="ar"/>
        </w:rPr>
        <w:t>采购周期内</w:t>
      </w:r>
      <w:r>
        <w:rPr>
          <w:rFonts w:hint="eastAsia" w:ascii="仿宋_GB2312" w:hAnsi="宋体" w:eastAsia="仿宋_GB2312" w:cs="仿宋_GB2312"/>
          <w:color w:val="auto"/>
          <w:kern w:val="0"/>
          <w:sz w:val="32"/>
          <w:szCs w:val="32"/>
          <w:lang w:bidi="ar"/>
        </w:rPr>
        <w:t>，当全国其他省（自治区、直辖市）出现更低的带量采购中选价时，企业应在1个月内主动申报，全联盟联动调价。</w:t>
      </w:r>
    </w:p>
    <w:p>
      <w:pPr>
        <w:spacing w:line="600" w:lineRule="exact"/>
        <w:ind w:firstLine="640" w:firstLineChars="200"/>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6.中选企业选择配送能力强的经营企业做好配送工作。按照招采信用评价制度对于配送率低企业采取通报、整改直至取消中选资格的处理。</w:t>
      </w:r>
    </w:p>
    <w:p>
      <w:pPr>
        <w:spacing w:line="600" w:lineRule="exact"/>
        <w:ind w:firstLine="642" w:firstLineChars="200"/>
        <w:rPr>
          <w:rFonts w:hint="eastAsia" w:ascii="楷体" w:hAnsi="楷体" w:eastAsia="楷体" w:cs="楷体"/>
          <w:b/>
          <w:bCs/>
          <w:color w:val="auto"/>
          <w:kern w:val="0"/>
          <w:sz w:val="32"/>
          <w:szCs w:val="32"/>
          <w:lang w:bidi="ar"/>
        </w:rPr>
      </w:pPr>
      <w:r>
        <w:rPr>
          <w:rFonts w:hint="eastAsia" w:ascii="楷体" w:hAnsi="楷体" w:eastAsia="楷体" w:cs="楷体"/>
          <w:b/>
          <w:bCs/>
          <w:color w:val="auto"/>
          <w:kern w:val="0"/>
          <w:sz w:val="32"/>
          <w:szCs w:val="32"/>
          <w:lang w:bidi="ar"/>
        </w:rPr>
        <w:t>（四）本采购文件仅适用于本次集中带量采购所述项目的医用耗材及相关服务，最终解释权归联席会议办公室。</w:t>
      </w:r>
    </w:p>
    <w:p>
      <w:pPr>
        <w:pStyle w:val="4"/>
        <w:spacing w:line="600" w:lineRule="exact"/>
        <w:rPr>
          <w:rFonts w:ascii="方正小标宋简体" w:hAnsi="方正小标宋简体" w:eastAsia="方正小标宋简体" w:cs="方正小标宋简体"/>
          <w:bCs/>
          <w:color w:val="auto"/>
          <w:sz w:val="56"/>
          <w:szCs w:val="56"/>
        </w:rPr>
      </w:pPr>
      <w:r>
        <w:rPr>
          <w:rFonts w:ascii="楷体" w:hAnsi="楷体" w:eastAsia="楷体" w:cs="楷体"/>
          <w:b/>
          <w:bCs/>
          <w:color w:val="auto"/>
          <w:kern w:val="0"/>
          <w:sz w:val="32"/>
          <w:szCs w:val="32"/>
          <w:lang w:bidi="ar"/>
        </w:rPr>
        <w:br w:type="page"/>
      </w:r>
      <w:bookmarkStart w:id="22" w:name="_Toc89358225"/>
    </w:p>
    <w:bookmarkEnd w:id="22"/>
    <w:p>
      <w:pPr>
        <w:spacing w:before="4680" w:beforeLines="1500" w:line="600" w:lineRule="exact"/>
        <w:jc w:val="center"/>
        <w:outlineLvl w:val="0"/>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第三部分 附件</w:t>
      </w:r>
    </w:p>
    <w:p>
      <w:pPr>
        <w:pStyle w:val="2"/>
        <w:spacing w:line="600" w:lineRule="exact"/>
        <w:jc w:val="center"/>
        <w:rPr>
          <w:rFonts w:ascii="方正小标宋简体" w:hAnsi="方正小标宋简体" w:eastAsia="方正小标宋简体" w:cs="方正小标宋简体"/>
          <w:color w:val="auto"/>
          <w:sz w:val="56"/>
          <w:szCs w:val="56"/>
          <w:lang w:bidi="ar"/>
        </w:rPr>
      </w:pPr>
    </w:p>
    <w:p>
      <w:pPr>
        <w:pStyle w:val="2"/>
        <w:spacing w:line="600" w:lineRule="exact"/>
        <w:jc w:val="center"/>
        <w:rPr>
          <w:rFonts w:ascii="方正小标宋简体" w:hAnsi="方正小标宋简体" w:eastAsia="方正小标宋简体" w:cs="方正小标宋简体"/>
          <w:color w:val="auto"/>
          <w:sz w:val="56"/>
          <w:szCs w:val="56"/>
          <w:lang w:bidi="ar"/>
        </w:rPr>
      </w:pPr>
    </w:p>
    <w:p>
      <w:pPr>
        <w:pStyle w:val="2"/>
        <w:spacing w:line="600" w:lineRule="exact"/>
        <w:jc w:val="center"/>
        <w:rPr>
          <w:rFonts w:ascii="方正小标宋简体" w:hAnsi="方正小标宋简体" w:eastAsia="方正小标宋简体" w:cs="方正小标宋简体"/>
          <w:color w:val="auto"/>
          <w:sz w:val="56"/>
          <w:szCs w:val="56"/>
          <w:lang w:bidi="ar"/>
        </w:rPr>
        <w:sectPr>
          <w:pgSz w:w="11906" w:h="16838"/>
          <w:pgMar w:top="1440" w:right="1906" w:bottom="1440" w:left="1800" w:header="851" w:footer="992" w:gutter="0"/>
          <w:cols w:space="720" w:num="1"/>
          <w:docGrid w:type="lines" w:linePitch="312" w:charSpace="0"/>
        </w:sectPr>
      </w:pPr>
    </w:p>
    <w:p>
      <w:pPr>
        <w:spacing w:line="600" w:lineRule="exact"/>
        <w:outlineLvl w:val="1"/>
        <w:rPr>
          <w:rFonts w:hint="eastAsia" w:ascii="黑体" w:hAnsi="黑体" w:eastAsia="黑体" w:cs="黑体"/>
          <w:color w:val="auto"/>
          <w:kern w:val="0"/>
          <w:sz w:val="32"/>
          <w:szCs w:val="32"/>
          <w:lang w:bidi="ar"/>
        </w:rPr>
      </w:pPr>
      <w:bookmarkStart w:id="23" w:name="_Toc89358226"/>
      <w:r>
        <w:rPr>
          <w:rFonts w:hint="eastAsia" w:ascii="黑体" w:hAnsi="黑体" w:eastAsia="黑体" w:cs="黑体"/>
          <w:color w:val="auto"/>
          <w:kern w:val="0"/>
          <w:sz w:val="32"/>
          <w:szCs w:val="32"/>
          <w:lang w:bidi="ar"/>
        </w:rPr>
        <w:t>附件1</w:t>
      </w:r>
      <w:bookmarkEnd w:id="23"/>
    </w:p>
    <w:p>
      <w:pPr>
        <w:spacing w:line="600" w:lineRule="exact"/>
        <w:jc w:val="center"/>
        <w:rPr>
          <w:rFonts w:hint="eastAsia" w:ascii="方正小标宋简体" w:hAnsi="方正小标宋简体" w:eastAsia="方正小标宋简体" w:cs="方正小标宋简体"/>
          <w:b/>
          <w:bCs/>
          <w:color w:val="auto"/>
          <w:kern w:val="0"/>
          <w:sz w:val="44"/>
          <w:szCs w:val="44"/>
          <w:lang w:bidi="ar"/>
        </w:rPr>
      </w:pPr>
    </w:p>
    <w:p>
      <w:pPr>
        <w:spacing w:line="600" w:lineRule="exact"/>
        <w:jc w:val="center"/>
        <w:rPr>
          <w:rFonts w:hint="eastAsia" w:ascii="方正小标宋简体" w:hAnsi="方正小标宋简体" w:eastAsia="方正小标宋简体" w:cs="方正小标宋简体"/>
          <w:color w:val="auto"/>
          <w:kern w:val="0"/>
          <w:sz w:val="44"/>
          <w:szCs w:val="44"/>
          <w:lang w:bidi="ar"/>
        </w:rPr>
      </w:pPr>
      <w:r>
        <w:rPr>
          <w:rFonts w:hint="eastAsia" w:ascii="方正小标宋简体" w:hAnsi="方正小标宋简体" w:eastAsia="方正小标宋简体" w:cs="方正小标宋简体"/>
          <w:color w:val="auto"/>
          <w:kern w:val="0"/>
          <w:sz w:val="44"/>
          <w:szCs w:val="44"/>
          <w:lang w:bidi="ar"/>
        </w:rPr>
        <w:t>联盟地区医用耗材带量采购申报承诺函</w:t>
      </w:r>
    </w:p>
    <w:p>
      <w:pPr>
        <w:spacing w:before="156" w:beforeLines="50" w:line="600" w:lineRule="exact"/>
        <w:jc w:val="left"/>
        <w:rPr>
          <w:rFonts w:hint="eastAsia" w:ascii="仿宋_GB2312" w:hAnsi="仿宋_GB2312" w:eastAsia="仿宋_GB2312" w:cs="仿宋_GB2312"/>
          <w:color w:val="auto"/>
          <w:kern w:val="0"/>
          <w:sz w:val="28"/>
          <w:szCs w:val="28"/>
          <w:lang w:bidi="ar"/>
        </w:rPr>
      </w:pPr>
    </w:p>
    <w:p>
      <w:pPr>
        <w:spacing w:before="156" w:beforeLines="50" w:line="600" w:lineRule="exact"/>
        <w:rPr>
          <w:color w:val="auto"/>
          <w:sz w:val="32"/>
          <w:szCs w:val="28"/>
        </w:rPr>
      </w:pPr>
      <w:r>
        <w:rPr>
          <w:rFonts w:hint="eastAsia" w:ascii="仿宋_GB2312" w:hAnsi="仿宋_GB2312" w:eastAsia="仿宋_GB2312" w:cs="仿宋_GB2312"/>
          <w:color w:val="auto"/>
          <w:kern w:val="0"/>
          <w:sz w:val="32"/>
          <w:szCs w:val="28"/>
          <w:lang w:bidi="ar"/>
        </w:rPr>
        <w:t>江西省药品医用耗材集中采购联席会议办公室</w:t>
      </w:r>
      <w:r>
        <w:rPr>
          <w:rFonts w:ascii="仿宋_GB2312" w:hAnsi="宋体" w:eastAsia="仿宋_GB2312" w:cs="仿宋_GB2312"/>
          <w:color w:val="auto"/>
          <w:kern w:val="0"/>
          <w:sz w:val="32"/>
          <w:szCs w:val="28"/>
          <w:lang w:bidi="ar"/>
        </w:rPr>
        <w:t>：</w:t>
      </w:r>
    </w:p>
    <w:p>
      <w:pPr>
        <w:spacing w:line="600" w:lineRule="exact"/>
        <w:ind w:firstLine="640" w:firstLineChars="200"/>
        <w:rPr>
          <w:color w:val="auto"/>
          <w:sz w:val="32"/>
          <w:szCs w:val="28"/>
        </w:rPr>
      </w:pPr>
      <w:r>
        <w:rPr>
          <w:rFonts w:hint="eastAsia" w:ascii="仿宋_GB2312" w:hAnsi="宋体" w:eastAsia="仿宋_GB2312" w:cs="仿宋_GB2312"/>
          <w:color w:val="auto"/>
          <w:kern w:val="0"/>
          <w:sz w:val="32"/>
          <w:szCs w:val="28"/>
          <w:lang w:bidi="ar"/>
        </w:rPr>
        <w:t>在充分理解《肾功和心肌酶生化类检测试剂省际联盟集中带量采购文件》后，我方决定按照采购文件的规定申报参与，并保证申报的价格及其他证明材料的真实性、合法性、有效性。</w:t>
      </w:r>
    </w:p>
    <w:p>
      <w:pPr>
        <w:spacing w:line="600" w:lineRule="exact"/>
        <w:ind w:firstLine="640" w:firstLineChars="200"/>
        <w:rPr>
          <w:color w:val="auto"/>
          <w:sz w:val="32"/>
          <w:szCs w:val="28"/>
        </w:rPr>
      </w:pPr>
      <w:r>
        <w:rPr>
          <w:rFonts w:hint="eastAsia" w:ascii="仿宋_GB2312" w:hAnsi="宋体" w:eastAsia="仿宋_GB2312" w:cs="仿宋_GB2312"/>
          <w:color w:val="auto"/>
          <w:kern w:val="0"/>
          <w:sz w:val="32"/>
          <w:szCs w:val="28"/>
          <w:lang w:bidi="ar"/>
        </w:rPr>
        <w:t>我方已充分考虑原材料价格、配送、税费、服务等因素，并以此申报。我方承诺申报价格不低于本企业该产品成本价与伴随服务成本价之和。我方完全理解及遵守采购文件中的中选产品确认准则，理解贵方不一定要接受最低申报价格的申报。</w:t>
      </w:r>
    </w:p>
    <w:p>
      <w:pPr>
        <w:spacing w:line="600" w:lineRule="exact"/>
        <w:ind w:firstLine="640" w:firstLineChars="200"/>
        <w:rPr>
          <w:color w:val="auto"/>
          <w:sz w:val="32"/>
          <w:szCs w:val="28"/>
        </w:rPr>
      </w:pPr>
      <w:r>
        <w:rPr>
          <w:rFonts w:hint="eastAsia" w:ascii="仿宋_GB2312" w:hAnsi="宋体" w:eastAsia="仿宋_GB2312" w:cs="仿宋_GB2312"/>
          <w:color w:val="auto"/>
          <w:kern w:val="0"/>
          <w:sz w:val="32"/>
          <w:szCs w:val="28"/>
          <w:lang w:bidi="ar"/>
        </w:rPr>
        <w:t>我方承诺确保在采购周期内满足全联盟各地区医疗机构的中选产品采购需求，具有履行采购协议必须具备的中选产品供应能力，对产品的质量和供应负责。如我方产品中选，将按要求及时足量组织生产，及时向配送企业发送中选产品，按协议要求向医疗机构提供伴随服务，满足医疗机构临床使用需要，确保中选产品的价格、质量及数量等一切要素按照采购协议履行。如有违约行为，按照采购文件有关规定接受处置。</w:t>
      </w:r>
    </w:p>
    <w:p>
      <w:pPr>
        <w:spacing w:line="600" w:lineRule="exact"/>
        <w:ind w:firstLine="640" w:firstLineChars="200"/>
        <w:rPr>
          <w:color w:val="auto"/>
          <w:sz w:val="32"/>
          <w:szCs w:val="28"/>
        </w:rPr>
      </w:pPr>
      <w:r>
        <w:rPr>
          <w:rFonts w:hint="eastAsia" w:ascii="仿宋_GB2312" w:hAnsi="宋体" w:eastAsia="仿宋_GB2312" w:cs="仿宋_GB2312"/>
          <w:color w:val="auto"/>
          <w:kern w:val="0"/>
          <w:sz w:val="32"/>
          <w:szCs w:val="28"/>
          <w:lang w:bidi="ar"/>
        </w:rPr>
        <w:t>我方承诺申报产品不存在违反《中华人民共和国专利法》《中华人民共和国反不正当竞争法》等相关法律法规的情形，该承诺在采购周期内持续有效，若产生相关纠纷，给医疗机构造成的损失由我方承担。</w:t>
      </w:r>
    </w:p>
    <w:p>
      <w:pPr>
        <w:spacing w:line="600" w:lineRule="exact"/>
        <w:ind w:firstLine="640" w:firstLineChars="200"/>
        <w:jc w:val="left"/>
        <w:rPr>
          <w:rFonts w:hint="eastAsia" w:ascii="仿宋_GB2312" w:hAnsi="宋体" w:eastAsia="仿宋_GB2312" w:cs="仿宋_GB2312"/>
          <w:color w:val="auto"/>
          <w:kern w:val="0"/>
          <w:sz w:val="32"/>
          <w:szCs w:val="28"/>
          <w:lang w:bidi="ar"/>
        </w:rPr>
      </w:pPr>
      <w:r>
        <w:rPr>
          <w:rFonts w:hint="eastAsia" w:ascii="仿宋_GB2312" w:hAnsi="宋体" w:eastAsia="仿宋_GB2312" w:cs="仿宋_GB2312"/>
          <w:color w:val="auto"/>
          <w:kern w:val="0"/>
          <w:sz w:val="32"/>
          <w:szCs w:val="28"/>
          <w:lang w:bidi="ar"/>
        </w:rPr>
        <w:t>我方承诺同</w:t>
      </w:r>
      <w:r>
        <w:rPr>
          <w:rFonts w:hint="eastAsia" w:ascii="仿宋_GB2312" w:hAnsi="仿宋_GB2312" w:eastAsia="仿宋_GB2312" w:cs="仿宋_GB2312"/>
          <w:color w:val="auto"/>
          <w:kern w:val="0"/>
          <w:sz w:val="32"/>
          <w:szCs w:val="28"/>
          <w:lang w:bidi="ar"/>
        </w:rPr>
        <w:t>联席会议办公室</w:t>
      </w:r>
      <w:r>
        <w:rPr>
          <w:rFonts w:hint="eastAsia" w:ascii="仿宋_GB2312" w:hAnsi="宋体" w:eastAsia="仿宋_GB2312" w:cs="仿宋_GB2312"/>
          <w:color w:val="auto"/>
          <w:kern w:val="0"/>
          <w:sz w:val="32"/>
          <w:szCs w:val="28"/>
          <w:lang w:bidi="ar"/>
        </w:rPr>
        <w:t>无利益关系，不会为达成此项目与医疗机构进行任何不正当联系，不会在申报过程中有任何违法违规行为。在正式采购协议签订前，本申报函和中选结果通知将构成约束双方的协议。</w:t>
      </w:r>
    </w:p>
    <w:p>
      <w:pPr>
        <w:pStyle w:val="2"/>
        <w:spacing w:line="600" w:lineRule="exact"/>
        <w:rPr>
          <w:color w:val="auto"/>
          <w:sz w:val="28"/>
          <w:lang w:bidi="ar"/>
        </w:rPr>
      </w:pPr>
    </w:p>
    <w:p>
      <w:pPr>
        <w:spacing w:line="600" w:lineRule="exact"/>
        <w:ind w:left="139" w:leftChars="66" w:firstLine="4112" w:firstLineChars="1285"/>
        <w:jc w:val="left"/>
        <w:rPr>
          <w:color w:val="auto"/>
          <w:sz w:val="32"/>
          <w:szCs w:val="28"/>
        </w:rPr>
      </w:pPr>
      <w:r>
        <w:rPr>
          <w:rFonts w:hint="eastAsia" w:ascii="仿宋_GB2312" w:hAnsi="宋体" w:eastAsia="仿宋_GB2312" w:cs="仿宋_GB2312"/>
          <w:color w:val="auto"/>
          <w:kern w:val="0"/>
          <w:sz w:val="32"/>
          <w:szCs w:val="28"/>
          <w:lang w:bidi="ar"/>
        </w:rPr>
        <w:t>申报企业（盖章）：</w:t>
      </w:r>
    </w:p>
    <w:p>
      <w:pPr>
        <w:spacing w:line="600" w:lineRule="exact"/>
        <w:ind w:firstLine="4252" w:firstLineChars="1329"/>
        <w:jc w:val="left"/>
        <w:rPr>
          <w:color w:val="auto"/>
          <w:sz w:val="32"/>
          <w:szCs w:val="28"/>
        </w:rPr>
      </w:pPr>
      <w:r>
        <w:rPr>
          <w:rFonts w:hint="eastAsia" w:ascii="仿宋_GB2312" w:hAnsi="宋体" w:eastAsia="仿宋_GB2312" w:cs="仿宋_GB2312"/>
          <w:color w:val="auto"/>
          <w:kern w:val="0"/>
          <w:sz w:val="32"/>
          <w:szCs w:val="28"/>
          <w:lang w:bidi="ar"/>
        </w:rPr>
        <w:t>日期：</w:t>
      </w:r>
      <w:r>
        <w:rPr>
          <w:rFonts w:hint="eastAsia" w:ascii="仿宋_GB2312" w:hAnsi="宋体" w:eastAsia="仿宋_GB2312" w:cs="仿宋_GB2312"/>
          <w:color w:val="auto"/>
          <w:kern w:val="0"/>
          <w:sz w:val="32"/>
          <w:szCs w:val="28"/>
          <w:u w:val="single"/>
          <w:lang w:bidi="ar"/>
        </w:rPr>
        <w:t xml:space="preserve">    </w:t>
      </w:r>
      <w:r>
        <w:rPr>
          <w:rFonts w:hint="eastAsia" w:ascii="仿宋_GB2312" w:hAnsi="宋体" w:eastAsia="仿宋_GB2312" w:cs="仿宋_GB2312"/>
          <w:color w:val="auto"/>
          <w:kern w:val="0"/>
          <w:sz w:val="32"/>
          <w:szCs w:val="28"/>
          <w:lang w:bidi="ar"/>
        </w:rPr>
        <w:t>年</w:t>
      </w:r>
      <w:r>
        <w:rPr>
          <w:rFonts w:hint="eastAsia" w:ascii="仿宋_GB2312" w:hAnsi="宋体" w:eastAsia="仿宋_GB2312" w:cs="仿宋_GB2312"/>
          <w:color w:val="auto"/>
          <w:kern w:val="0"/>
          <w:sz w:val="32"/>
          <w:szCs w:val="28"/>
          <w:u w:val="single"/>
          <w:lang w:bidi="ar"/>
        </w:rPr>
        <w:t xml:space="preserve">    </w:t>
      </w:r>
      <w:r>
        <w:rPr>
          <w:rFonts w:hint="eastAsia" w:ascii="仿宋_GB2312" w:hAnsi="宋体" w:eastAsia="仿宋_GB2312" w:cs="仿宋_GB2312"/>
          <w:color w:val="auto"/>
          <w:kern w:val="0"/>
          <w:sz w:val="32"/>
          <w:szCs w:val="28"/>
          <w:lang w:bidi="ar"/>
        </w:rPr>
        <w:t>月</w:t>
      </w:r>
      <w:r>
        <w:rPr>
          <w:rFonts w:hint="eastAsia" w:ascii="仿宋_GB2312" w:hAnsi="宋体" w:eastAsia="仿宋_GB2312" w:cs="仿宋_GB2312"/>
          <w:color w:val="auto"/>
          <w:kern w:val="0"/>
          <w:sz w:val="32"/>
          <w:szCs w:val="28"/>
          <w:u w:val="single"/>
          <w:lang w:bidi="ar"/>
        </w:rPr>
        <w:t xml:space="preserve">    </w:t>
      </w:r>
      <w:r>
        <w:rPr>
          <w:rFonts w:hint="eastAsia" w:ascii="仿宋_GB2312" w:hAnsi="宋体" w:eastAsia="仿宋_GB2312" w:cs="仿宋_GB2312"/>
          <w:color w:val="auto"/>
          <w:kern w:val="0"/>
          <w:sz w:val="32"/>
          <w:szCs w:val="28"/>
          <w:lang w:bidi="ar"/>
        </w:rPr>
        <w:t>日</w:t>
      </w:r>
    </w:p>
    <w:p>
      <w:pPr>
        <w:pStyle w:val="2"/>
        <w:spacing w:line="600" w:lineRule="exact"/>
        <w:rPr>
          <w:rFonts w:ascii="仿宋_GB2312" w:hAnsi="宋体" w:eastAsia="仿宋_GB2312" w:cs="仿宋_GB2312"/>
          <w:color w:val="auto"/>
          <w:sz w:val="32"/>
          <w:szCs w:val="32"/>
          <w:lang w:bidi="ar"/>
        </w:rPr>
      </w:pPr>
    </w:p>
    <w:p>
      <w:pPr>
        <w:pStyle w:val="2"/>
        <w:spacing w:line="600" w:lineRule="exact"/>
        <w:rPr>
          <w:rFonts w:hint="default" w:ascii="仿宋_GB2312" w:hAnsi="宋体" w:eastAsia="仿宋_GB2312" w:cs="仿宋_GB2312"/>
          <w:color w:val="auto"/>
          <w:sz w:val="32"/>
          <w:szCs w:val="32"/>
          <w:lang w:bidi="ar"/>
        </w:rPr>
        <w:sectPr>
          <w:pgSz w:w="11906" w:h="16838"/>
          <w:pgMar w:top="1440" w:right="1906" w:bottom="1440" w:left="1800" w:header="851" w:footer="992" w:gutter="0"/>
          <w:cols w:space="720" w:num="1"/>
          <w:docGrid w:type="lines" w:linePitch="312" w:charSpace="0"/>
        </w:sectPr>
      </w:pPr>
    </w:p>
    <w:p>
      <w:pPr>
        <w:spacing w:line="600" w:lineRule="exact"/>
        <w:outlineLvl w:val="1"/>
        <w:rPr>
          <w:rFonts w:hint="eastAsia" w:ascii="黑体" w:hAnsi="黑体" w:eastAsia="黑体" w:cs="黑体"/>
          <w:color w:val="auto"/>
          <w:kern w:val="0"/>
          <w:sz w:val="32"/>
          <w:szCs w:val="32"/>
          <w:lang w:bidi="ar"/>
        </w:rPr>
      </w:pPr>
      <w:bookmarkStart w:id="24" w:name="_Toc89358227"/>
      <w:r>
        <w:rPr>
          <w:rFonts w:hint="eastAsia" w:ascii="黑体" w:hAnsi="黑体" w:eastAsia="黑体" w:cs="黑体"/>
          <w:color w:val="auto"/>
          <w:kern w:val="0"/>
          <w:sz w:val="32"/>
          <w:szCs w:val="32"/>
          <w:lang w:bidi="ar"/>
        </w:rPr>
        <w:t>附件2</w:t>
      </w:r>
      <w:bookmarkEnd w:id="24"/>
    </w:p>
    <w:p>
      <w:pPr>
        <w:spacing w:line="600" w:lineRule="exact"/>
        <w:jc w:val="center"/>
        <w:rPr>
          <w:rFonts w:hint="eastAsia" w:ascii="仿宋" w:hAnsi="仿宋" w:eastAsia="仿宋"/>
          <w:color w:val="auto"/>
          <w:sz w:val="44"/>
          <w:szCs w:val="44"/>
        </w:rPr>
      </w:pPr>
      <w:r>
        <w:rPr>
          <w:rFonts w:hint="eastAsia" w:ascii="方正小标宋简体" w:hAnsi="方正小标宋简体" w:eastAsia="方正小标宋简体" w:cs="方正小标宋简体"/>
          <w:color w:val="auto"/>
          <w:kern w:val="0"/>
          <w:sz w:val="44"/>
          <w:szCs w:val="44"/>
          <w:lang w:bidi="ar"/>
        </w:rPr>
        <w:t>法定代表人授权书</w:t>
      </w:r>
    </w:p>
    <w:p>
      <w:pPr>
        <w:spacing w:before="156" w:beforeLines="50" w:line="600" w:lineRule="exact"/>
        <w:ind w:firstLine="640" w:firstLineChars="200"/>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kern w:val="0"/>
          <w:sz w:val="32"/>
          <w:szCs w:val="28"/>
          <w:lang w:bidi="ar"/>
        </w:rPr>
        <w:t>本授权书声明：注册于</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（地址） 的</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 xml:space="preserve">（公司）的 </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 xml:space="preserve">（法定代表人姓名）授权 </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 xml:space="preserve"> （被授权人的姓名、身份证号）为公司的合法代理人，就</w:t>
      </w:r>
      <w:r>
        <w:rPr>
          <w:rFonts w:hint="eastAsia" w:ascii="仿宋_GB2312" w:hAnsi="宋体" w:eastAsia="仿宋_GB2312" w:cs="仿宋_GB2312"/>
          <w:color w:val="auto"/>
          <w:kern w:val="0"/>
          <w:sz w:val="32"/>
          <w:szCs w:val="28"/>
          <w:lang w:bidi="ar"/>
        </w:rPr>
        <w:t>肾功和心肌酶生化类检测试剂省际联盟</w:t>
      </w:r>
      <w:r>
        <w:rPr>
          <w:rFonts w:hint="eastAsia" w:ascii="仿宋_GB2312" w:hAnsi="仿宋_GB2312" w:eastAsia="仿宋_GB2312" w:cs="仿宋_GB2312"/>
          <w:color w:val="auto"/>
          <w:kern w:val="0"/>
          <w:sz w:val="32"/>
          <w:szCs w:val="28"/>
          <w:lang w:bidi="ar"/>
        </w:rPr>
        <w:t>集中带量采购项目，以本公司名义处理递交申报材料等一切与之相关的事务，本公司认可被授权人在</w:t>
      </w:r>
      <w:r>
        <w:rPr>
          <w:rFonts w:hint="eastAsia" w:ascii="仿宋_GB2312" w:hAnsi="宋体" w:eastAsia="仿宋_GB2312" w:cs="仿宋_GB2312"/>
          <w:color w:val="auto"/>
          <w:kern w:val="0"/>
          <w:sz w:val="32"/>
          <w:szCs w:val="28"/>
          <w:lang w:bidi="ar"/>
        </w:rPr>
        <w:t>《肾功和心肌酶生化类检测试剂省际联盟集中带量采购文件》</w:t>
      </w:r>
      <w:r>
        <w:rPr>
          <w:rFonts w:hint="eastAsia" w:ascii="仿宋_GB2312" w:hAnsi="仿宋_GB2312" w:eastAsia="仿宋_GB2312" w:cs="仿宋_GB2312"/>
          <w:color w:val="auto"/>
          <w:kern w:val="0"/>
          <w:sz w:val="32"/>
          <w:szCs w:val="28"/>
          <w:lang w:bidi="ar"/>
        </w:rPr>
        <w:t xml:space="preserve">项目中签署的相关说明、采购协议等法律文书的效力以及其作出的相关行为。本公司与被授权人共同承诺本次申报的真实性、合法性、有效性。 </w:t>
      </w:r>
    </w:p>
    <w:p>
      <w:pPr>
        <w:spacing w:line="60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kern w:val="0"/>
          <w:sz w:val="32"/>
          <w:szCs w:val="28"/>
          <w:lang w:bidi="ar"/>
        </w:rPr>
        <w:t>本授权书于</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 xml:space="preserve">年 </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 xml:space="preserve">月 </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日签字生效，有效期至本次集中带量采购工作截止日止。特此声明。</w:t>
      </w:r>
    </w:p>
    <w:p>
      <w:pPr>
        <w:spacing w:line="60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kern w:val="0"/>
          <w:sz w:val="32"/>
          <w:szCs w:val="28"/>
          <w:lang w:bidi="ar"/>
        </w:rPr>
        <w:t>授权企业法定代表人签字或盖章：</w:t>
      </w:r>
      <w:r>
        <w:rPr>
          <w:rFonts w:hint="eastAsia" w:ascii="仿宋_GB2312" w:hAnsi="仿宋_GB2312" w:eastAsia="仿宋_GB2312" w:cs="仿宋_GB2312"/>
          <w:color w:val="auto"/>
          <w:kern w:val="0"/>
          <w:sz w:val="32"/>
          <w:szCs w:val="28"/>
          <w:u w:val="single"/>
          <w:lang w:bidi="ar"/>
        </w:rPr>
        <w:t xml:space="preserve">                   </w:t>
      </w:r>
    </w:p>
    <w:p>
      <w:pPr>
        <w:spacing w:line="60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kern w:val="0"/>
          <w:sz w:val="32"/>
          <w:szCs w:val="28"/>
          <w:lang w:bidi="ar"/>
        </w:rPr>
        <w:t>被授权人签字或盖章：</w:t>
      </w:r>
      <w:r>
        <w:rPr>
          <w:rFonts w:hint="eastAsia" w:ascii="仿宋_GB2312" w:hAnsi="仿宋_GB2312" w:eastAsia="仿宋_GB2312" w:cs="仿宋_GB2312"/>
          <w:color w:val="auto"/>
          <w:kern w:val="0"/>
          <w:sz w:val="32"/>
          <w:szCs w:val="28"/>
          <w:u w:val="single"/>
          <w:lang w:bidi="ar"/>
        </w:rPr>
        <w:t xml:space="preserve">           </w:t>
      </w:r>
      <w:r>
        <w:rPr>
          <w:rFonts w:hint="eastAsia" w:ascii="仿宋_GB2312" w:hAnsi="仿宋_GB2312" w:eastAsia="仿宋_GB2312" w:cs="仿宋_GB2312"/>
          <w:color w:val="auto"/>
          <w:kern w:val="0"/>
          <w:sz w:val="32"/>
          <w:szCs w:val="28"/>
          <w:lang w:bidi="ar"/>
        </w:rPr>
        <w:t>手机：</w:t>
      </w:r>
      <w:r>
        <w:rPr>
          <w:rFonts w:hint="eastAsia" w:ascii="仿宋_GB2312" w:hAnsi="仿宋_GB2312" w:eastAsia="仿宋_GB2312" w:cs="仿宋_GB2312"/>
          <w:color w:val="auto"/>
          <w:kern w:val="0"/>
          <w:sz w:val="32"/>
          <w:szCs w:val="28"/>
          <w:u w:val="single"/>
          <w:lang w:bidi="ar"/>
        </w:rPr>
        <w:t xml:space="preserve">            </w:t>
      </w:r>
    </w:p>
    <w:p>
      <w:pPr>
        <w:snapToGrid w:val="0"/>
        <w:spacing w:line="600" w:lineRule="exact"/>
        <w:rPr>
          <w:rFonts w:hint="eastAsia" w:ascii="宋体" w:hAnsi="宋体"/>
          <w:color w:val="auto"/>
          <w:sz w:val="24"/>
        </w:rPr>
      </w:pPr>
      <w:r>
        <w:rPr>
          <w:rFonts w:ascii="宋体" w:hAnsi="宋体"/>
          <w:color w:val="auto"/>
          <w:sz w:val="24"/>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144780</wp:posOffset>
                </wp:positionV>
                <wp:extent cx="2828290" cy="1732280"/>
                <wp:effectExtent l="4445" t="4445" r="12065" b="15875"/>
                <wp:wrapNone/>
                <wp:docPr id="2" name="矩形 2"/>
                <wp:cNvGraphicFramePr/>
                <a:graphic xmlns:a="http://schemas.openxmlformats.org/drawingml/2006/main">
                  <a:graphicData uri="http://schemas.microsoft.com/office/word/2010/wordprocessingShape">
                    <wps:wsp>
                      <wps:cNvSpPr/>
                      <wps:spPr>
                        <a:xfrm>
                          <a:off x="0" y="0"/>
                          <a:ext cx="282829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华文中宋"/>
                                <w:b/>
                                <w:sz w:val="28"/>
                              </w:rPr>
                            </w:pPr>
                          </w:p>
                          <w:p>
                            <w:pPr>
                              <w:jc w:val="center"/>
                              <w:rPr>
                                <w:rFonts w:hint="eastAsia" w:ascii="宋体" w:hAnsi="宋体"/>
                                <w:b/>
                                <w:sz w:val="28"/>
                              </w:rPr>
                            </w:pPr>
                            <w:r>
                              <w:rPr>
                                <w:rFonts w:hint="eastAsia" w:ascii="宋体" w:hAnsi="宋体"/>
                                <w:b/>
                                <w:sz w:val="28"/>
                              </w:rPr>
                              <w:t>代理人（被授权人）</w:t>
                            </w:r>
                          </w:p>
                          <w:p>
                            <w:pPr>
                              <w:jc w:val="center"/>
                              <w:rPr>
                                <w:rFonts w:hint="eastAsia" w:ascii="宋体" w:hAnsi="宋体"/>
                                <w:b/>
                                <w:sz w:val="28"/>
                              </w:rPr>
                            </w:pPr>
                            <w:r>
                              <w:rPr>
                                <w:rFonts w:hint="eastAsia" w:ascii="宋体" w:hAnsi="宋体"/>
                                <w:b/>
                                <w:sz w:val="28"/>
                              </w:rPr>
                              <w:t>居民身份证正面复印件粘贴处</w:t>
                            </w:r>
                          </w:p>
                          <w:p>
                            <w:pPr>
                              <w:jc w:val="center"/>
                              <w:rPr>
                                <w:rFonts w:ascii="宋体" w:hAnsi="宋体"/>
                                <w:sz w:val="28"/>
                              </w:rPr>
                            </w:pPr>
                            <w:r>
                              <w:rPr>
                                <w:rFonts w:hint="eastAsia" w:ascii="仿宋_GB2312" w:hAnsi="仿宋_GB2312" w:eastAsia="仿宋_GB2312" w:cs="仿宋_GB2312"/>
                                <w:kern w:val="0"/>
                                <w:sz w:val="28"/>
                                <w:szCs w:val="28"/>
                                <w:lang w:bidi="ar"/>
                              </w:rPr>
                              <w:t>加盖单位鲜章</w:t>
                            </w:r>
                          </w:p>
                        </w:txbxContent>
                      </wps:txbx>
                      <wps:bodyPr upright="1"/>
                    </wps:wsp>
                  </a:graphicData>
                </a:graphic>
              </wp:anchor>
            </w:drawing>
          </mc:Choice>
          <mc:Fallback>
            <w:pict>
              <v:rect id="_x0000_s1026" o:spid="_x0000_s1026" o:spt="1" style="position:absolute;left:0pt;margin-left:-12pt;margin-top:11.4pt;height:136.4pt;width:222.7pt;z-index:251659264;mso-width-relative:page;mso-height-relative:page;" fillcolor="#FFFFFF" filled="t" stroked="t" coordsize="21600,21600" o:gfxdata="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BuFWY9gAAAAKAQAA&#10;DwAAAAAAAAABACAAAAA4AAAAZHJzL2Rvd25yZXYueG1sUEsBAhQAFAAAAAgAh07iQIT1dHMDAgAA&#10;KgQAAA4AAAAAAAAAAQAgAAAAPQEAAGRycy9lMm9Eb2MueG1sUEsFBgAAAAAGAAYAWQEAALIFAAAA&#10;AA==&#10;">
                <v:fill on="t" focussize="0,0"/>
                <v:stroke color="#000000" joinstyle="miter"/>
                <v:imagedata o:title=""/>
                <o:lock v:ext="edit" aspectratio="f"/>
                <v:textbox>
                  <w:txbxContent>
                    <w:p>
                      <w:pPr>
                        <w:jc w:val="center"/>
                        <w:rPr>
                          <w:rFonts w:hint="eastAsia" w:eastAsia="华文中宋"/>
                          <w:b/>
                          <w:sz w:val="28"/>
                        </w:rPr>
                      </w:pPr>
                    </w:p>
                    <w:p>
                      <w:pPr>
                        <w:jc w:val="center"/>
                        <w:rPr>
                          <w:rFonts w:hint="eastAsia" w:ascii="宋体" w:hAnsi="宋体"/>
                          <w:b/>
                          <w:sz w:val="28"/>
                        </w:rPr>
                      </w:pPr>
                      <w:r>
                        <w:rPr>
                          <w:rFonts w:hint="eastAsia" w:ascii="宋体" w:hAnsi="宋体"/>
                          <w:b/>
                          <w:sz w:val="28"/>
                        </w:rPr>
                        <w:t>代理人（被授权人）</w:t>
                      </w:r>
                    </w:p>
                    <w:p>
                      <w:pPr>
                        <w:jc w:val="center"/>
                        <w:rPr>
                          <w:rFonts w:hint="eastAsia" w:ascii="宋体" w:hAnsi="宋体"/>
                          <w:b/>
                          <w:sz w:val="28"/>
                        </w:rPr>
                      </w:pPr>
                      <w:r>
                        <w:rPr>
                          <w:rFonts w:hint="eastAsia" w:ascii="宋体" w:hAnsi="宋体"/>
                          <w:b/>
                          <w:sz w:val="28"/>
                        </w:rPr>
                        <w:t>居民身份证正面复印件粘贴处</w:t>
                      </w:r>
                    </w:p>
                    <w:p>
                      <w:pPr>
                        <w:jc w:val="center"/>
                        <w:rPr>
                          <w:rFonts w:ascii="宋体" w:hAnsi="宋体"/>
                          <w:sz w:val="28"/>
                        </w:rPr>
                      </w:pPr>
                      <w:r>
                        <w:rPr>
                          <w:rFonts w:hint="eastAsia" w:ascii="仿宋_GB2312" w:hAnsi="仿宋_GB2312" w:eastAsia="仿宋_GB2312" w:cs="仿宋_GB2312"/>
                          <w:kern w:val="0"/>
                          <w:sz w:val="28"/>
                          <w:szCs w:val="28"/>
                          <w:lang w:bidi="ar"/>
                        </w:rPr>
                        <w:t>加盖单位鲜章</w:t>
                      </w:r>
                    </w:p>
                  </w:txbxContent>
                </v:textbox>
              </v:rect>
            </w:pict>
          </mc:Fallback>
        </mc:AlternateContent>
      </w: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2771775</wp:posOffset>
                </wp:positionH>
                <wp:positionV relativeFrom="paragraph">
                  <wp:posOffset>147320</wp:posOffset>
                </wp:positionV>
                <wp:extent cx="2828290" cy="1732280"/>
                <wp:effectExtent l="4445" t="4445" r="12065" b="15875"/>
                <wp:wrapNone/>
                <wp:docPr id="3" name="矩形 3"/>
                <wp:cNvGraphicFramePr/>
                <a:graphic xmlns:a="http://schemas.openxmlformats.org/drawingml/2006/main">
                  <a:graphicData uri="http://schemas.microsoft.com/office/word/2010/wordprocessingShape">
                    <wps:wsp>
                      <wps:cNvSpPr/>
                      <wps:spPr>
                        <a:xfrm>
                          <a:off x="0" y="0"/>
                          <a:ext cx="2828290" cy="1732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华文中宋"/>
                                <w:b/>
                                <w:sz w:val="28"/>
                              </w:rPr>
                            </w:pPr>
                          </w:p>
                          <w:p>
                            <w:pPr>
                              <w:jc w:val="center"/>
                              <w:rPr>
                                <w:rFonts w:hint="eastAsia" w:ascii="宋体" w:hAnsi="宋体"/>
                                <w:b/>
                                <w:sz w:val="28"/>
                              </w:rPr>
                            </w:pPr>
                            <w:r>
                              <w:rPr>
                                <w:rFonts w:hint="eastAsia" w:ascii="宋体" w:hAnsi="宋体"/>
                                <w:b/>
                                <w:sz w:val="28"/>
                              </w:rPr>
                              <w:t>代理人（被授权人）</w:t>
                            </w:r>
                          </w:p>
                          <w:p>
                            <w:pPr>
                              <w:jc w:val="center"/>
                              <w:rPr>
                                <w:rFonts w:hint="eastAsia" w:ascii="宋体" w:hAnsi="宋体"/>
                                <w:b/>
                                <w:sz w:val="28"/>
                              </w:rPr>
                            </w:pPr>
                            <w:r>
                              <w:rPr>
                                <w:rFonts w:hint="eastAsia" w:ascii="宋体" w:hAnsi="宋体"/>
                                <w:b/>
                                <w:sz w:val="28"/>
                              </w:rPr>
                              <w:t>居民身份证反面复印件粘贴处</w:t>
                            </w:r>
                          </w:p>
                          <w:p>
                            <w:pPr>
                              <w:jc w:val="center"/>
                              <w:rPr>
                                <w:rFonts w:ascii="宋体" w:hAnsi="宋体"/>
                                <w:sz w:val="28"/>
                              </w:rPr>
                            </w:pPr>
                            <w:r>
                              <w:rPr>
                                <w:rFonts w:hint="eastAsia" w:ascii="仿宋_GB2312" w:hAnsi="仿宋_GB2312" w:eastAsia="仿宋_GB2312" w:cs="仿宋_GB2312"/>
                                <w:kern w:val="0"/>
                                <w:sz w:val="28"/>
                                <w:szCs w:val="28"/>
                                <w:lang w:bidi="ar"/>
                              </w:rPr>
                              <w:t>加盖单位鲜章</w:t>
                            </w:r>
                          </w:p>
                        </w:txbxContent>
                      </wps:txbx>
                      <wps:bodyPr upright="1"/>
                    </wps:wsp>
                  </a:graphicData>
                </a:graphic>
              </wp:anchor>
            </w:drawing>
          </mc:Choice>
          <mc:Fallback>
            <w:pict>
              <v:rect id="_x0000_s1026" o:spid="_x0000_s1026" o:spt="1" style="position:absolute;left:0pt;margin-left:218.25pt;margin-top:11.6pt;height:136.4pt;width:222.7pt;z-index:251660288;mso-width-relative:page;mso-height-relative:page;" fillcolor="#FFFFFF" filled="t" stroked="t" coordsize="21600,21600" o:gfxdata="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KPxQmzYAAAACgEA&#10;AA8AAAAAAAAAAQAgAAAAOAAAAGRycy9kb3ducmV2LnhtbFBLAQIUABQAAAAIAIdO4kC9C3WIBAIA&#10;ACoEAAAOAAAAAAAAAAEAIAAAAD0BAABkcnMvZTJvRG9jLnhtbFBLBQYAAAAABgAGAFkBAACzBQAA&#10;AAA=&#10;">
                <v:fill on="t" focussize="0,0"/>
                <v:stroke color="#000000" joinstyle="miter"/>
                <v:imagedata o:title=""/>
                <o:lock v:ext="edit" aspectratio="f"/>
                <v:textbox>
                  <w:txbxContent>
                    <w:p>
                      <w:pPr>
                        <w:jc w:val="center"/>
                        <w:rPr>
                          <w:rFonts w:hint="eastAsia" w:eastAsia="华文中宋"/>
                          <w:b/>
                          <w:sz w:val="28"/>
                        </w:rPr>
                      </w:pPr>
                    </w:p>
                    <w:p>
                      <w:pPr>
                        <w:jc w:val="center"/>
                        <w:rPr>
                          <w:rFonts w:hint="eastAsia" w:ascii="宋体" w:hAnsi="宋体"/>
                          <w:b/>
                          <w:sz w:val="28"/>
                        </w:rPr>
                      </w:pPr>
                      <w:r>
                        <w:rPr>
                          <w:rFonts w:hint="eastAsia" w:ascii="宋体" w:hAnsi="宋体"/>
                          <w:b/>
                          <w:sz w:val="28"/>
                        </w:rPr>
                        <w:t>代理人（被授权人）</w:t>
                      </w:r>
                    </w:p>
                    <w:p>
                      <w:pPr>
                        <w:jc w:val="center"/>
                        <w:rPr>
                          <w:rFonts w:hint="eastAsia" w:ascii="宋体" w:hAnsi="宋体"/>
                          <w:b/>
                          <w:sz w:val="28"/>
                        </w:rPr>
                      </w:pPr>
                      <w:r>
                        <w:rPr>
                          <w:rFonts w:hint="eastAsia" w:ascii="宋体" w:hAnsi="宋体"/>
                          <w:b/>
                          <w:sz w:val="28"/>
                        </w:rPr>
                        <w:t>居民身份证反面复印件粘贴处</w:t>
                      </w:r>
                    </w:p>
                    <w:p>
                      <w:pPr>
                        <w:jc w:val="center"/>
                        <w:rPr>
                          <w:rFonts w:ascii="宋体" w:hAnsi="宋体"/>
                          <w:sz w:val="28"/>
                        </w:rPr>
                      </w:pPr>
                      <w:r>
                        <w:rPr>
                          <w:rFonts w:hint="eastAsia" w:ascii="仿宋_GB2312" w:hAnsi="仿宋_GB2312" w:eastAsia="仿宋_GB2312" w:cs="仿宋_GB2312"/>
                          <w:kern w:val="0"/>
                          <w:sz w:val="28"/>
                          <w:szCs w:val="28"/>
                          <w:lang w:bidi="ar"/>
                        </w:rPr>
                        <w:t>加盖单位鲜章</w:t>
                      </w:r>
                    </w:p>
                  </w:txbxContent>
                </v:textbox>
              </v:rect>
            </w:pict>
          </mc:Fallback>
        </mc:AlternateContent>
      </w:r>
    </w:p>
    <w:p>
      <w:pPr>
        <w:snapToGrid w:val="0"/>
        <w:spacing w:line="600" w:lineRule="exact"/>
        <w:rPr>
          <w:rFonts w:hint="eastAsia" w:ascii="宋体" w:hAnsi="宋体"/>
          <w:color w:val="auto"/>
          <w:sz w:val="24"/>
        </w:rPr>
      </w:pPr>
    </w:p>
    <w:p>
      <w:pPr>
        <w:pStyle w:val="2"/>
        <w:spacing w:line="600" w:lineRule="exact"/>
        <w:jc w:val="both"/>
        <w:rPr>
          <w:rFonts w:hint="default" w:ascii="仿宋_GB2312" w:hAnsi="宋体" w:eastAsia="仿宋_GB2312" w:cs="仿宋_GB2312"/>
          <w:color w:val="auto"/>
          <w:sz w:val="32"/>
          <w:szCs w:val="32"/>
          <w:lang w:bidi="ar"/>
        </w:rPr>
      </w:pPr>
    </w:p>
    <w:p>
      <w:pPr>
        <w:spacing w:line="600" w:lineRule="exact"/>
        <w:rPr>
          <w:color w:val="auto"/>
        </w:rPr>
      </w:pPr>
    </w:p>
    <w:p>
      <w:pPr>
        <w:spacing w:line="600" w:lineRule="exact"/>
        <w:rPr>
          <w:color w:val="auto"/>
        </w:rPr>
      </w:pPr>
    </w:p>
    <w:p>
      <w:pPr>
        <w:spacing w:line="600" w:lineRule="exact"/>
        <w:jc w:val="left"/>
        <w:rPr>
          <w:rFonts w:hint="eastAsia"/>
          <w:color w:val="auto"/>
          <w:sz w:val="22"/>
        </w:rPr>
        <w:sectPr>
          <w:pgSz w:w="11906" w:h="16838"/>
          <w:pgMar w:top="1440" w:right="1906" w:bottom="1440" w:left="1800" w:header="851" w:footer="992" w:gutter="0"/>
          <w:cols w:space="720" w:num="1"/>
          <w:docGrid w:type="lines" w:linePitch="312" w:charSpace="0"/>
        </w:sectPr>
      </w:pPr>
      <w:r>
        <w:rPr>
          <w:rFonts w:hint="eastAsia" w:ascii="仿宋_GB2312" w:hAnsi="仿宋_GB2312" w:eastAsia="仿宋_GB2312" w:cs="仿宋_GB2312"/>
          <w:color w:val="auto"/>
          <w:kern w:val="0"/>
          <w:sz w:val="32"/>
          <w:szCs w:val="28"/>
          <w:lang w:bidi="ar"/>
        </w:rPr>
        <w:t>注：身份证复印件要加盖单位鲜章</w:t>
      </w:r>
      <w:r>
        <w:rPr>
          <w:rFonts w:hint="eastAsia"/>
          <w:color w:val="auto"/>
          <w:sz w:val="22"/>
        </w:rPr>
        <w:tab/>
      </w:r>
    </w:p>
    <w:p>
      <w:pPr>
        <w:spacing w:line="600" w:lineRule="exact"/>
        <w:outlineLvl w:val="1"/>
        <w:rPr>
          <w:rFonts w:hint="eastAsia" w:ascii="黑体" w:hAnsi="黑体" w:eastAsia="黑体" w:cs="黑体"/>
          <w:color w:val="auto"/>
          <w:kern w:val="0"/>
          <w:sz w:val="32"/>
          <w:szCs w:val="32"/>
          <w:lang w:bidi="ar"/>
        </w:rPr>
      </w:pPr>
      <w:bookmarkStart w:id="25" w:name="_Toc89358228"/>
      <w:r>
        <w:rPr>
          <w:rFonts w:ascii="黑体" w:hAnsi="黑体" w:eastAsia="黑体" w:cs="黑体"/>
          <w:color w:val="auto"/>
          <w:kern w:val="0"/>
          <w:sz w:val="32"/>
          <w:szCs w:val="32"/>
          <w:lang w:bidi="ar"/>
        </w:rPr>
        <w:t>附件3</w:t>
      </w:r>
      <w:bookmarkEnd w:id="25"/>
    </w:p>
    <w:p>
      <w:pPr>
        <w:pStyle w:val="2"/>
        <w:spacing w:line="600" w:lineRule="exact"/>
        <w:jc w:val="center"/>
        <w:rPr>
          <w:rFonts w:ascii="方正小标宋简体" w:hAnsi="方正小标宋简体" w:eastAsia="方正小标宋简体" w:cs="方正小标宋简体"/>
          <w:b/>
          <w:bCs/>
          <w:color w:val="auto"/>
          <w:sz w:val="44"/>
          <w:szCs w:val="44"/>
          <w:lang w:bidi="ar"/>
        </w:rPr>
      </w:pPr>
    </w:p>
    <w:p>
      <w:pPr>
        <w:pStyle w:val="2"/>
        <w:spacing w:line="600" w:lineRule="exact"/>
        <w:jc w:val="center"/>
        <w:rPr>
          <w:rFonts w:ascii="方正小标宋简体" w:hAnsi="方正小标宋简体" w:eastAsia="方正小标宋简体" w:cs="方正小标宋简体"/>
          <w:color w:val="auto"/>
          <w:sz w:val="44"/>
          <w:szCs w:val="44"/>
          <w:lang w:bidi="ar"/>
        </w:rPr>
      </w:pPr>
      <w:r>
        <w:rPr>
          <w:rFonts w:ascii="方正小标宋简体" w:hAnsi="方正小标宋简体" w:eastAsia="方正小标宋简体" w:cs="方正小标宋简体"/>
          <w:color w:val="auto"/>
          <w:sz w:val="44"/>
          <w:szCs w:val="44"/>
          <w:lang w:bidi="ar"/>
        </w:rPr>
        <w:t>医药企业价格和营销行为信用承诺书</w:t>
      </w:r>
    </w:p>
    <w:p>
      <w:pPr>
        <w:pStyle w:val="9"/>
        <w:spacing w:before="156" w:beforeLines="50" w:line="600" w:lineRule="exact"/>
        <w:jc w:val="both"/>
        <w:rPr>
          <w:rFonts w:ascii="仿宋_GB2312" w:eastAsia="仿宋_GB2312"/>
          <w:color w:val="auto"/>
          <w:sz w:val="32"/>
        </w:rPr>
      </w:pPr>
    </w:p>
    <w:p>
      <w:pPr>
        <w:pStyle w:val="9"/>
        <w:spacing w:before="156" w:beforeLines="50" w:line="600" w:lineRule="exact"/>
        <w:jc w:val="both"/>
        <w:rPr>
          <w:rFonts w:ascii="仿宋_GB2312" w:eastAsia="仿宋_GB2312"/>
          <w:color w:val="auto"/>
          <w:sz w:val="32"/>
        </w:rPr>
      </w:pPr>
      <w:r>
        <w:rPr>
          <w:rFonts w:ascii="仿宋_GB2312" w:eastAsia="仿宋_GB2312"/>
          <w:color w:val="auto"/>
          <w:sz w:val="32"/>
        </w:rPr>
        <w:t>江西省药品医用耗材集中采购联席会议办公室:</w:t>
      </w:r>
    </w:p>
    <w:p>
      <w:pPr>
        <w:pStyle w:val="2"/>
        <w:spacing w:line="600" w:lineRule="exact"/>
        <w:ind w:firstLine="640" w:firstLineChars="200"/>
        <w:jc w:val="both"/>
        <w:rPr>
          <w:rFonts w:ascii="仿宋_GB2312" w:eastAsia="仿宋_GB2312"/>
          <w:color w:val="auto"/>
          <w:sz w:val="32"/>
        </w:rPr>
      </w:pPr>
      <w:r>
        <w:rPr>
          <w:rFonts w:ascii="仿宋_GB2312" w:eastAsia="仿宋_GB2312"/>
          <w:color w:val="auto"/>
          <w:sz w:val="32"/>
        </w:rPr>
        <w:t>我方</w:t>
      </w:r>
      <w:r>
        <w:rPr>
          <w:rFonts w:ascii="仿宋_GB2312" w:eastAsia="仿宋_GB2312"/>
          <w:color w:val="auto"/>
          <w:sz w:val="32"/>
          <w:u w:val="single"/>
        </w:rPr>
        <w:t xml:space="preserve">                        （公司）</w:t>
      </w:r>
      <w:r>
        <w:rPr>
          <w:rFonts w:ascii="仿宋_GB2312" w:eastAsia="仿宋_GB2312"/>
          <w:color w:val="auto"/>
          <w:sz w:val="32"/>
        </w:rPr>
        <w:t>就参加</w:t>
      </w:r>
      <w:r>
        <w:rPr>
          <w:rFonts w:ascii="仿宋_GB2312" w:hAnsi="宋体" w:eastAsia="仿宋_GB2312" w:cs="仿宋_GB2312"/>
          <w:color w:val="auto"/>
          <w:sz w:val="32"/>
          <w:szCs w:val="28"/>
          <w:lang w:bidi="ar"/>
        </w:rPr>
        <w:t>肾功和心肌酶生化类检测试剂省际联盟</w:t>
      </w:r>
      <w:r>
        <w:rPr>
          <w:rFonts w:ascii="仿宋_GB2312" w:hAnsi="仿宋_GB2312" w:eastAsia="仿宋_GB2312" w:cs="仿宋_GB2312"/>
          <w:color w:val="auto"/>
          <w:sz w:val="32"/>
          <w:szCs w:val="28"/>
          <w:lang w:bidi="ar"/>
        </w:rPr>
        <w:t>集中带量采购</w:t>
      </w:r>
      <w:r>
        <w:rPr>
          <w:rFonts w:ascii="仿宋_GB2312" w:eastAsia="仿宋_GB2312"/>
          <w:color w:val="auto"/>
          <w:sz w:val="32"/>
        </w:rPr>
        <w:t>，郑重做出以下承诺:</w:t>
      </w:r>
    </w:p>
    <w:p>
      <w:pPr>
        <w:pStyle w:val="2"/>
        <w:spacing w:line="600" w:lineRule="exact"/>
        <w:ind w:firstLine="640" w:firstLineChars="200"/>
        <w:jc w:val="both"/>
        <w:rPr>
          <w:rFonts w:hint="default" w:ascii="黑体" w:hAnsi="黑体" w:eastAsia="黑体"/>
          <w:color w:val="auto"/>
          <w:sz w:val="32"/>
        </w:rPr>
      </w:pPr>
      <w:r>
        <w:rPr>
          <w:rFonts w:ascii="黑体" w:hAnsi="黑体" w:eastAsia="黑体"/>
          <w:color w:val="auto"/>
          <w:sz w:val="32"/>
        </w:rPr>
        <w:t>一、严守法纪、恪守诚信</w:t>
      </w:r>
    </w:p>
    <w:p>
      <w:pPr>
        <w:pStyle w:val="10"/>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（一）我方承诺，自觉遵守《民法典》《价格法》《反不正当竞争法》《反垄断法》等法律法规，医药价格和招标采购的政策，以及你省相关的集中带量采购文件之规定，诚信经营，共同营造公平的交易环境。</w:t>
      </w:r>
    </w:p>
    <w:p>
      <w:pPr>
        <w:pStyle w:val="10"/>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（二）我方承诺，不向采购我方医用耗材的医疗机构管理人员、采购人员、医师、药师等有关人员给予回扣或其他不正当利益。</w:t>
      </w:r>
    </w:p>
    <w:p>
      <w:pPr>
        <w:pStyle w:val="10"/>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（三）我方承诺，不实施虚开虚受增值税发票及其他形式虚构服务套现洗钱行为。</w:t>
      </w:r>
    </w:p>
    <w:p>
      <w:pPr>
        <w:pStyle w:val="10"/>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（四）我方承诺，不利用医用耗材垄断地位或市场支配地位，操纵医用耗材价格和供应牟取暴利。不针对不同群体、不同渠道制定实施明显不合理的差异化定价。</w:t>
      </w:r>
    </w:p>
    <w:p>
      <w:pPr>
        <w:pStyle w:val="2"/>
        <w:spacing w:line="600" w:lineRule="exact"/>
        <w:ind w:firstLine="640" w:firstLineChars="200"/>
        <w:jc w:val="both"/>
        <w:rPr>
          <w:rFonts w:hint="default" w:ascii="黑体" w:hAnsi="黑体" w:eastAsia="黑体"/>
          <w:color w:val="auto"/>
          <w:sz w:val="32"/>
        </w:rPr>
      </w:pPr>
      <w:r>
        <w:rPr>
          <w:rFonts w:ascii="黑体" w:hAnsi="黑体" w:eastAsia="黑体"/>
          <w:color w:val="auto"/>
          <w:sz w:val="32"/>
        </w:rPr>
        <w:t>二、履行合同、配合监管</w:t>
      </w:r>
    </w:p>
    <w:p>
      <w:pPr>
        <w:pStyle w:val="11"/>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（一）我方承诺，具有履行协议必须具备的医用耗材供应能力，除我方不可抗的因素造成供应困难外，保证在采购周期按照中选价格及时足量供应医用耗材，满足临床需求。</w:t>
      </w:r>
    </w:p>
    <w:p>
      <w:pPr>
        <w:pStyle w:val="11"/>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pStyle w:val="2"/>
        <w:spacing w:line="600" w:lineRule="exact"/>
        <w:ind w:firstLine="640" w:firstLineChars="200"/>
        <w:jc w:val="both"/>
        <w:rPr>
          <w:rFonts w:hint="default" w:ascii="仿宋_GB2312" w:hAnsi="Times New Roman" w:eastAsia="仿宋_GB2312"/>
          <w:color w:val="auto"/>
          <w:sz w:val="32"/>
        </w:rPr>
      </w:pPr>
      <w:r>
        <w:rPr>
          <w:rFonts w:ascii="仿宋_GB2312" w:hAnsi="Times New Roman" w:eastAsia="仿宋_GB2312"/>
          <w:color w:val="auto"/>
          <w:sz w:val="32"/>
        </w:rPr>
        <w:t>（三）我方承诺，及时、全面、完整、规范申报失信信息，不漏报，不瞒报，不推诿。</w:t>
      </w:r>
    </w:p>
    <w:p>
      <w:pPr>
        <w:pStyle w:val="2"/>
        <w:spacing w:line="600" w:lineRule="exact"/>
        <w:ind w:firstLine="640" w:firstLineChars="200"/>
        <w:jc w:val="both"/>
        <w:rPr>
          <w:rFonts w:hint="default" w:ascii="黑体" w:hAnsi="黑体" w:eastAsia="黑体"/>
          <w:color w:val="auto"/>
          <w:sz w:val="32"/>
        </w:rPr>
      </w:pPr>
      <w:r>
        <w:rPr>
          <w:rFonts w:ascii="黑体" w:hAnsi="黑体" w:eastAsia="黑体"/>
          <w:color w:val="auto"/>
          <w:sz w:val="32"/>
        </w:rPr>
        <w:t>三、违约担责，接受处置</w:t>
      </w:r>
    </w:p>
    <w:p>
      <w:pPr>
        <w:pStyle w:val="2"/>
        <w:spacing w:line="600" w:lineRule="exact"/>
        <w:ind w:firstLine="640" w:firstLineChars="200"/>
        <w:jc w:val="both"/>
        <w:rPr>
          <w:rFonts w:hint="default" w:ascii="仿宋_GB2312" w:hAnsi="Times New Roman" w:eastAsia="仿宋_GB2312"/>
          <w:color w:val="auto"/>
          <w:sz w:val="32"/>
        </w:rPr>
      </w:pPr>
      <w:r>
        <w:rPr>
          <w:rFonts w:ascii="仿宋_GB2312" w:hAnsi="Times New Roman" w:eastAsia="仿宋_GB2312"/>
          <w:color w:val="auto"/>
          <w:sz w:val="32"/>
        </w:rPr>
        <w:t>（一）我方承诺，如我方医用耗材购销中存在违背已承诺事项的，我方愿意接受</w:t>
      </w:r>
      <w:r>
        <w:rPr>
          <w:rFonts w:ascii="仿宋_GB2312" w:eastAsia="仿宋_GB2312"/>
          <w:color w:val="auto"/>
          <w:sz w:val="32"/>
        </w:rPr>
        <w:t>集中采购机构</w:t>
      </w:r>
      <w:r>
        <w:rPr>
          <w:rFonts w:ascii="仿宋_GB2312" w:hAnsi="Times New Roman" w:eastAsia="仿宋_GB2312"/>
          <w:color w:val="auto"/>
          <w:sz w:val="32"/>
        </w:rPr>
        <w:t>作出的信用评级结果以及结合信用等级实施的处置措施。</w:t>
      </w:r>
    </w:p>
    <w:p>
      <w:pPr>
        <w:pStyle w:val="11"/>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pStyle w:val="10"/>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pStyle w:val="12"/>
        <w:spacing w:line="600" w:lineRule="exact"/>
        <w:ind w:firstLine="640" w:firstLineChars="200"/>
        <w:jc w:val="both"/>
        <w:rPr>
          <w:rFonts w:hint="default" w:ascii="仿宋_GB2312" w:eastAsia="仿宋_GB2312"/>
          <w:color w:val="auto"/>
          <w:sz w:val="32"/>
        </w:rPr>
      </w:pPr>
      <w:r>
        <w:rPr>
          <w:rFonts w:ascii="仿宋_GB2312" w:eastAsia="仿宋_GB2312"/>
          <w:color w:val="auto"/>
          <w:sz w:val="32"/>
        </w:rPr>
        <w:t>（四）我方承诺，主动维护良好信用，必要时采取切实措施修复信用。</w:t>
      </w:r>
    </w:p>
    <w:p>
      <w:pPr>
        <w:pStyle w:val="12"/>
        <w:spacing w:line="600" w:lineRule="exact"/>
        <w:ind w:firstLine="3968" w:firstLineChars="1240"/>
        <w:jc w:val="both"/>
        <w:rPr>
          <w:rFonts w:hint="default" w:ascii="仿宋_GB2312" w:eastAsia="仿宋_GB2312"/>
          <w:color w:val="auto"/>
          <w:sz w:val="32"/>
        </w:rPr>
      </w:pPr>
    </w:p>
    <w:p>
      <w:pPr>
        <w:pStyle w:val="12"/>
        <w:spacing w:line="600" w:lineRule="exact"/>
        <w:ind w:firstLine="3968" w:firstLineChars="1240"/>
        <w:jc w:val="both"/>
        <w:rPr>
          <w:rFonts w:hint="default" w:ascii="仿宋_GB2312" w:eastAsia="仿宋_GB2312"/>
          <w:color w:val="auto"/>
          <w:sz w:val="32"/>
        </w:rPr>
      </w:pPr>
    </w:p>
    <w:p>
      <w:pPr>
        <w:pStyle w:val="12"/>
        <w:spacing w:line="600" w:lineRule="exact"/>
        <w:ind w:firstLine="2560" w:firstLineChars="800"/>
        <w:jc w:val="both"/>
        <w:rPr>
          <w:rFonts w:hint="default" w:ascii="仿宋_GB2312" w:eastAsia="仿宋_GB2312"/>
          <w:color w:val="auto"/>
          <w:sz w:val="32"/>
        </w:rPr>
      </w:pPr>
      <w:r>
        <w:rPr>
          <w:rFonts w:ascii="仿宋_GB2312" w:eastAsia="仿宋_GB2312"/>
          <w:color w:val="auto"/>
          <w:sz w:val="32"/>
        </w:rPr>
        <w:t>承诺企业（盖章）:</w:t>
      </w:r>
    </w:p>
    <w:p>
      <w:pPr>
        <w:pStyle w:val="2"/>
        <w:spacing w:line="600" w:lineRule="exact"/>
        <w:rPr>
          <w:rFonts w:hint="default"/>
          <w:color w:val="auto"/>
        </w:rPr>
      </w:pPr>
    </w:p>
    <w:p>
      <w:pPr>
        <w:pStyle w:val="13"/>
        <w:spacing w:line="600" w:lineRule="exact"/>
        <w:ind w:firstLine="2560" w:firstLineChars="800"/>
        <w:jc w:val="both"/>
        <w:rPr>
          <w:rFonts w:hint="default" w:ascii="仿宋_GB2312" w:hAnsi="Arial" w:eastAsia="仿宋_GB2312"/>
          <w:color w:val="auto"/>
          <w:sz w:val="32"/>
        </w:rPr>
      </w:pPr>
      <w:r>
        <w:rPr>
          <w:rFonts w:ascii="仿宋_GB2312" w:eastAsia="仿宋_GB2312"/>
          <w:color w:val="auto"/>
          <w:sz w:val="32"/>
        </w:rPr>
        <w:t>法定代表人（签字或盖章）</w:t>
      </w:r>
      <w:r>
        <w:rPr>
          <w:rFonts w:ascii="仿宋_GB2312" w:hAnsi="Arial" w:eastAsia="仿宋_GB2312"/>
          <w:color w:val="auto"/>
          <w:sz w:val="32"/>
        </w:rPr>
        <w:t>:</w:t>
      </w:r>
    </w:p>
    <w:p>
      <w:pPr>
        <w:pStyle w:val="2"/>
        <w:spacing w:line="600" w:lineRule="exact"/>
        <w:rPr>
          <w:rFonts w:hint="default"/>
          <w:color w:val="auto"/>
        </w:rPr>
      </w:pPr>
    </w:p>
    <w:p>
      <w:pPr>
        <w:pStyle w:val="2"/>
        <w:spacing w:line="600" w:lineRule="exact"/>
        <w:ind w:right="401" w:rightChars="191" w:firstLine="640" w:firstLineChars="200"/>
        <w:jc w:val="right"/>
        <w:rPr>
          <w:rFonts w:hint="default" w:ascii="仿宋_GB2312" w:hAnsi="Arial" w:eastAsia="仿宋_GB2312"/>
          <w:color w:val="auto"/>
          <w:sz w:val="32"/>
        </w:rPr>
      </w:pPr>
      <w:r>
        <w:rPr>
          <w:rFonts w:ascii="仿宋_GB2312" w:hAnsi="Arial" w:eastAsia="仿宋_GB2312"/>
          <w:color w:val="auto"/>
          <w:sz w:val="32"/>
        </w:rPr>
        <w:t xml:space="preserve"> 年  月  日  </w:t>
      </w:r>
    </w:p>
    <w:p>
      <w:pPr>
        <w:pStyle w:val="2"/>
        <w:spacing w:line="600" w:lineRule="exact"/>
        <w:jc w:val="both"/>
        <w:rPr>
          <w:rFonts w:hint="default" w:ascii="方正小标宋简体" w:hAnsi="方正小标宋简体" w:eastAsia="方正小标宋简体" w:cs="方正小标宋简体"/>
          <w:b/>
          <w:bCs/>
          <w:color w:val="auto"/>
          <w:sz w:val="44"/>
          <w:szCs w:val="44"/>
          <w:lang w:bidi="ar"/>
        </w:rPr>
        <w:sectPr>
          <w:pgSz w:w="11906" w:h="16838"/>
          <w:pgMar w:top="1440" w:right="1906" w:bottom="1440" w:left="1800" w:header="851" w:footer="992" w:gutter="0"/>
          <w:cols w:space="720" w:num="1"/>
          <w:docGrid w:type="lines" w:linePitch="312" w:charSpace="0"/>
        </w:sectPr>
      </w:pPr>
    </w:p>
    <w:p>
      <w:pPr>
        <w:spacing w:line="600" w:lineRule="exact"/>
        <w:outlineLvl w:val="1"/>
        <w:rPr>
          <w:rFonts w:ascii="黑体" w:hAnsi="黑体" w:eastAsia="黑体" w:cs="黑体"/>
          <w:color w:val="auto"/>
          <w:kern w:val="0"/>
          <w:sz w:val="32"/>
          <w:szCs w:val="32"/>
          <w:lang w:bidi="ar"/>
        </w:rPr>
      </w:pPr>
      <w:bookmarkStart w:id="26" w:name="_Toc89358229"/>
      <w:r>
        <w:rPr>
          <w:rFonts w:ascii="黑体" w:hAnsi="黑体" w:eastAsia="黑体" w:cs="黑体"/>
          <w:color w:val="auto"/>
          <w:kern w:val="0"/>
          <w:sz w:val="32"/>
          <w:szCs w:val="32"/>
          <w:lang w:bidi="ar"/>
        </w:rPr>
        <w:t>附件4</w:t>
      </w:r>
      <w:bookmarkEnd w:id="26"/>
    </w:p>
    <w:p>
      <w:pPr>
        <w:pStyle w:val="2"/>
        <w:spacing w:line="600" w:lineRule="exact"/>
        <w:jc w:val="center"/>
        <w:rPr>
          <w:rFonts w:ascii="方正小标宋简体" w:hAnsi="方正小标宋简体" w:eastAsia="方正小标宋简体" w:cs="方正小标宋简体"/>
          <w:b/>
          <w:bCs/>
          <w:color w:val="auto"/>
          <w:sz w:val="44"/>
          <w:szCs w:val="44"/>
          <w:lang w:bidi="ar"/>
        </w:rPr>
      </w:pPr>
    </w:p>
    <w:p>
      <w:pPr>
        <w:pStyle w:val="2"/>
        <w:spacing w:line="600" w:lineRule="exact"/>
        <w:jc w:val="center"/>
        <w:rPr>
          <w:rFonts w:hint="default" w:ascii="方正小标宋简体" w:hAnsi="方正小标宋简体" w:eastAsia="方正小标宋简体" w:cs="方正小标宋简体"/>
          <w:b/>
          <w:bCs/>
          <w:color w:val="auto"/>
          <w:sz w:val="44"/>
          <w:szCs w:val="44"/>
          <w:lang w:bidi="ar"/>
        </w:rPr>
      </w:pPr>
      <w:r>
        <w:rPr>
          <w:rFonts w:hint="default" w:ascii="方正小标宋简体" w:hAnsi="方正小标宋简体" w:eastAsia="方正小标宋简体" w:cs="方正小标宋简体"/>
          <w:color w:val="auto"/>
          <w:sz w:val="44"/>
          <w:szCs w:val="44"/>
          <w:lang w:bidi="ar"/>
        </w:rPr>
        <w:t>申报信息一览表</w:t>
      </w:r>
    </w:p>
    <w:p>
      <w:pPr>
        <w:pStyle w:val="2"/>
        <w:spacing w:line="600" w:lineRule="exact"/>
        <w:jc w:val="center"/>
        <w:rPr>
          <w:rFonts w:ascii="仿宋_GB2312" w:hAnsi="仿宋_GB2312" w:eastAsia="仿宋_GB2312" w:cs="仿宋_GB2312"/>
          <w:b/>
          <w:bCs/>
          <w:color w:val="auto"/>
          <w:sz w:val="32"/>
          <w:szCs w:val="32"/>
          <w:lang w:bidi="ar"/>
        </w:rPr>
      </w:pPr>
    </w:p>
    <w:p>
      <w:pPr>
        <w:pStyle w:val="2"/>
        <w:spacing w:line="600" w:lineRule="exact"/>
        <w:rPr>
          <w:rFonts w:ascii="仿宋_GB2312" w:hAnsi="仿宋_GB2312" w:eastAsia="仿宋_GB2312" w:cs="仿宋_GB2312"/>
          <w:color w:val="auto"/>
          <w:sz w:val="32"/>
          <w:szCs w:val="32"/>
          <w:lang w:bidi="ar"/>
        </w:rPr>
      </w:pPr>
      <w:r>
        <w:rPr>
          <w:rFonts w:ascii="仿宋_GB2312" w:hAnsi="仿宋_GB2312" w:eastAsia="仿宋_GB2312" w:cs="仿宋_GB2312"/>
          <w:color w:val="auto"/>
          <w:sz w:val="32"/>
          <w:szCs w:val="32"/>
          <w:lang w:bidi="ar"/>
        </w:rPr>
        <w:t>申报企业：</w:t>
      </w:r>
    </w:p>
    <w:tbl>
      <w:tblPr>
        <w:tblStyle w:val="7"/>
        <w:tblW w:w="51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59"/>
        <w:gridCol w:w="969"/>
        <w:gridCol w:w="993"/>
        <w:gridCol w:w="1560"/>
        <w:gridCol w:w="170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45" w:type="pct"/>
            <w:noWrap w:val="0"/>
            <w:vAlign w:val="center"/>
          </w:tcPr>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序号</w:t>
            </w:r>
          </w:p>
        </w:tc>
        <w:tc>
          <w:tcPr>
            <w:tcW w:w="568" w:type="pct"/>
            <w:noWrap w:val="0"/>
            <w:vAlign w:val="center"/>
          </w:tcPr>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品种</w:t>
            </w:r>
          </w:p>
        </w:tc>
        <w:tc>
          <w:tcPr>
            <w:tcW w:w="582" w:type="pct"/>
            <w:noWrap w:val="0"/>
            <w:vAlign w:val="center"/>
          </w:tcPr>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包装计量单位</w:t>
            </w:r>
          </w:p>
        </w:tc>
        <w:tc>
          <w:tcPr>
            <w:tcW w:w="914" w:type="pct"/>
            <w:noWrap w:val="0"/>
            <w:vAlign w:val="center"/>
          </w:tcPr>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报价</w:t>
            </w:r>
          </w:p>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（元，小写）</w:t>
            </w:r>
          </w:p>
        </w:tc>
        <w:tc>
          <w:tcPr>
            <w:tcW w:w="997" w:type="pct"/>
            <w:noWrap w:val="0"/>
            <w:vAlign w:val="center"/>
          </w:tcPr>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报价</w:t>
            </w:r>
          </w:p>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（元，大写）</w:t>
            </w:r>
          </w:p>
        </w:tc>
        <w:tc>
          <w:tcPr>
            <w:tcW w:w="1494" w:type="pct"/>
            <w:noWrap w:val="0"/>
            <w:vAlign w:val="center"/>
          </w:tcPr>
          <w:p>
            <w:pPr>
              <w:pStyle w:val="2"/>
              <w:spacing w:line="420" w:lineRule="exact"/>
              <w:jc w:val="center"/>
              <w:rPr>
                <w:rFonts w:hint="default" w:ascii="Times New Roman" w:hAnsi="Times New Roman" w:eastAsia="宋体"/>
                <w:b/>
                <w:bCs/>
                <w:color w:val="auto"/>
                <w:szCs w:val="24"/>
                <w:lang w:bidi="ar"/>
              </w:rPr>
            </w:pPr>
            <w:r>
              <w:rPr>
                <w:rFonts w:hint="default" w:ascii="Times New Roman" w:hAnsi="Times New Roman" w:eastAsia="宋体"/>
                <w:b/>
                <w:bCs/>
                <w:color w:val="auto"/>
                <w:szCs w:val="24"/>
                <w:lang w:bidi="ar"/>
              </w:rPr>
              <w:t>注册备案号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4" w:hRule="atLeast"/>
        </w:trPr>
        <w:tc>
          <w:tcPr>
            <w:tcW w:w="445" w:type="pct"/>
            <w:vMerge w:val="restart"/>
            <w:noWrap w:val="0"/>
            <w:vAlign w:val="center"/>
          </w:tcPr>
          <w:p>
            <w:pPr>
              <w:pStyle w:val="2"/>
              <w:spacing w:line="420" w:lineRule="exact"/>
              <w:jc w:val="center"/>
              <w:rPr>
                <w:rFonts w:hint="default" w:ascii="Times New Roman" w:hAnsi="Times New Roman" w:eastAsia="宋体"/>
                <w:color w:val="auto"/>
                <w:szCs w:val="24"/>
              </w:rPr>
            </w:pPr>
            <w:r>
              <w:rPr>
                <w:rFonts w:hint="default" w:ascii="Times New Roman" w:hAnsi="Times New Roman" w:eastAsia="宋体"/>
                <w:color w:val="auto"/>
                <w:szCs w:val="24"/>
              </w:rPr>
              <w:t>举例1</w:t>
            </w:r>
          </w:p>
        </w:tc>
        <w:tc>
          <w:tcPr>
            <w:tcW w:w="568" w:type="pct"/>
            <w:vMerge w:val="restar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rPr>
              <w:t>肌酐</w:t>
            </w:r>
          </w:p>
        </w:tc>
        <w:tc>
          <w:tcPr>
            <w:tcW w:w="582"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ml</w:t>
            </w:r>
          </w:p>
        </w:tc>
        <w:tc>
          <w:tcPr>
            <w:tcW w:w="914"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0.1234</w:t>
            </w:r>
          </w:p>
        </w:tc>
        <w:tc>
          <w:tcPr>
            <w:tcW w:w="997"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零点壹贰叁肆</w:t>
            </w:r>
          </w:p>
        </w:tc>
        <w:tc>
          <w:tcPr>
            <w:tcW w:w="1494" w:type="pct"/>
            <w:vMerge w:val="restart"/>
            <w:noWrap w:val="0"/>
            <w:vAlign w:val="center"/>
          </w:tcPr>
          <w:p>
            <w:pPr>
              <w:pStyle w:val="2"/>
              <w:spacing w:line="420" w:lineRule="exact"/>
              <w:rPr>
                <w:rFonts w:hint="default" w:ascii="Times New Roman" w:hAnsi="Times New Roman" w:eastAsia="宋体"/>
                <w:color w:val="auto"/>
                <w:szCs w:val="24"/>
                <w:lang w:bidi="ar"/>
              </w:rPr>
            </w:pPr>
            <w:r>
              <w:rPr>
                <w:rFonts w:hint="default" w:ascii="Times New Roman" w:hAnsi="Times New Roman" w:eastAsia="宋体"/>
                <w:color w:val="auto"/>
                <w:szCs w:val="24"/>
                <w:lang w:bidi="ar"/>
              </w:rPr>
              <w:t>京械注</w:t>
            </w:r>
            <w:r>
              <w:rPr>
                <w:rFonts w:ascii="Times New Roman" w:hAnsi="Times New Roman" w:eastAsia="宋体"/>
                <w:color w:val="auto"/>
                <w:szCs w:val="24"/>
                <w:lang w:bidi="ar"/>
              </w:rPr>
              <w:t>准</w:t>
            </w:r>
            <w:r>
              <w:rPr>
                <w:rFonts w:hint="default" w:ascii="Times New Roman" w:hAnsi="Times New Roman" w:eastAsia="宋体"/>
                <w:color w:val="auto"/>
                <w:szCs w:val="24"/>
                <w:lang w:bidi="ar"/>
              </w:rPr>
              <w:t>20232400001，京械注准20232400002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2" w:hRule="atLeast"/>
        </w:trPr>
        <w:tc>
          <w:tcPr>
            <w:tcW w:w="445" w:type="pct"/>
            <w:vMerge w:val="continue"/>
            <w:noWrap w:val="0"/>
            <w:vAlign w:val="center"/>
          </w:tcPr>
          <w:p>
            <w:pPr>
              <w:pStyle w:val="2"/>
              <w:spacing w:line="420" w:lineRule="exact"/>
              <w:jc w:val="center"/>
              <w:rPr>
                <w:rFonts w:hint="default" w:ascii="Times New Roman" w:hAnsi="Times New Roman" w:eastAsia="宋体"/>
                <w:color w:val="auto"/>
                <w:szCs w:val="24"/>
              </w:rPr>
            </w:pPr>
          </w:p>
        </w:tc>
        <w:tc>
          <w:tcPr>
            <w:tcW w:w="568" w:type="pct"/>
            <w:vMerge w:val="continue"/>
            <w:noWrap w:val="0"/>
            <w:vAlign w:val="center"/>
          </w:tcPr>
          <w:p>
            <w:pPr>
              <w:pStyle w:val="2"/>
              <w:spacing w:line="420" w:lineRule="exact"/>
              <w:jc w:val="center"/>
              <w:rPr>
                <w:rFonts w:hint="default" w:ascii="Times New Roman" w:hAnsi="Times New Roman" w:eastAsia="宋体"/>
                <w:color w:val="auto"/>
                <w:szCs w:val="24"/>
              </w:rPr>
            </w:pPr>
          </w:p>
        </w:tc>
        <w:tc>
          <w:tcPr>
            <w:tcW w:w="582"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测试</w:t>
            </w:r>
          </w:p>
        </w:tc>
        <w:tc>
          <w:tcPr>
            <w:tcW w:w="914" w:type="pct"/>
            <w:noWrap w:val="0"/>
            <w:vAlign w:val="center"/>
          </w:tcPr>
          <w:p>
            <w:pPr>
              <w:pStyle w:val="2"/>
              <w:spacing w:line="420" w:lineRule="exact"/>
              <w:jc w:val="center"/>
              <w:rPr>
                <w:rFonts w:hint="default" w:ascii="Times New Roman" w:hAnsi="Times New Roman" w:eastAsia="宋体"/>
                <w:color w:val="auto"/>
                <w:szCs w:val="24"/>
                <w:lang w:bidi="ar"/>
              </w:rPr>
            </w:pPr>
          </w:p>
        </w:tc>
        <w:tc>
          <w:tcPr>
            <w:tcW w:w="997" w:type="pct"/>
            <w:noWrap w:val="0"/>
            <w:vAlign w:val="center"/>
          </w:tcPr>
          <w:p>
            <w:pPr>
              <w:pStyle w:val="2"/>
              <w:spacing w:line="420" w:lineRule="exact"/>
              <w:jc w:val="center"/>
              <w:rPr>
                <w:rFonts w:hint="default" w:ascii="Times New Roman" w:hAnsi="Times New Roman" w:eastAsia="宋体"/>
                <w:color w:val="auto"/>
                <w:szCs w:val="24"/>
                <w:lang w:bidi="ar"/>
              </w:rPr>
            </w:pPr>
          </w:p>
        </w:tc>
        <w:tc>
          <w:tcPr>
            <w:tcW w:w="1494" w:type="pct"/>
            <w:vMerge w:val="continue"/>
            <w:noWrap w:val="0"/>
            <w:vAlign w:val="center"/>
          </w:tcPr>
          <w:p>
            <w:pPr>
              <w:pStyle w:val="2"/>
              <w:spacing w:line="420" w:lineRule="exact"/>
              <w:rPr>
                <w:rFonts w:hint="default" w:ascii="Times New Roman" w:hAnsi="Times New Roman" w:eastAsia="宋体"/>
                <w:color w:val="auto"/>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7" w:hRule="atLeast"/>
        </w:trPr>
        <w:tc>
          <w:tcPr>
            <w:tcW w:w="445" w:type="pct"/>
            <w:vMerge w:val="restart"/>
            <w:noWrap w:val="0"/>
            <w:vAlign w:val="center"/>
          </w:tcPr>
          <w:p>
            <w:pPr>
              <w:pStyle w:val="2"/>
              <w:spacing w:line="420" w:lineRule="exact"/>
              <w:jc w:val="center"/>
              <w:rPr>
                <w:rFonts w:hint="default" w:ascii="Times New Roman" w:hAnsi="Times New Roman" w:eastAsia="宋体"/>
                <w:color w:val="auto"/>
                <w:szCs w:val="24"/>
              </w:rPr>
            </w:pPr>
            <w:r>
              <w:rPr>
                <w:rFonts w:hint="default" w:ascii="Times New Roman" w:hAnsi="Times New Roman" w:eastAsia="宋体"/>
                <w:color w:val="auto"/>
                <w:szCs w:val="24"/>
              </w:rPr>
              <w:t>举例2</w:t>
            </w:r>
          </w:p>
        </w:tc>
        <w:tc>
          <w:tcPr>
            <w:tcW w:w="568" w:type="pct"/>
            <w:vMerge w:val="restar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rPr>
              <w:t>尿素</w:t>
            </w:r>
          </w:p>
        </w:tc>
        <w:tc>
          <w:tcPr>
            <w:tcW w:w="582"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ml</w:t>
            </w:r>
          </w:p>
        </w:tc>
        <w:tc>
          <w:tcPr>
            <w:tcW w:w="914"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0.1234</w:t>
            </w:r>
          </w:p>
        </w:tc>
        <w:tc>
          <w:tcPr>
            <w:tcW w:w="997"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零点壹贰叁肆</w:t>
            </w:r>
          </w:p>
        </w:tc>
        <w:tc>
          <w:tcPr>
            <w:tcW w:w="1494" w:type="pct"/>
            <w:vMerge w:val="restart"/>
            <w:noWrap w:val="0"/>
            <w:vAlign w:val="center"/>
          </w:tcPr>
          <w:p>
            <w:pPr>
              <w:pStyle w:val="2"/>
              <w:spacing w:line="420" w:lineRule="exact"/>
              <w:rPr>
                <w:rFonts w:hint="default" w:ascii="Times New Roman" w:hAnsi="Times New Roman" w:eastAsia="宋体"/>
                <w:color w:val="auto"/>
                <w:szCs w:val="24"/>
                <w:lang w:bidi="ar"/>
              </w:rPr>
            </w:pPr>
            <w:r>
              <w:rPr>
                <w:rFonts w:hint="default" w:ascii="Times New Roman" w:hAnsi="Times New Roman" w:eastAsia="宋体"/>
                <w:color w:val="auto"/>
                <w:szCs w:val="24"/>
                <w:lang w:bidi="ar"/>
              </w:rPr>
              <w:t>国械注进20232400001</w:t>
            </w:r>
          </w:p>
          <w:p>
            <w:pPr>
              <w:pStyle w:val="2"/>
              <w:spacing w:line="420" w:lineRule="exact"/>
              <w:rPr>
                <w:rFonts w:hint="default" w:ascii="Times New Roman" w:hAnsi="Times New Roman" w:eastAsia="宋体"/>
                <w:color w:val="auto"/>
                <w:szCs w:val="24"/>
                <w:lang w:bidi="ar"/>
              </w:rPr>
            </w:pPr>
            <w:r>
              <w:rPr>
                <w:rFonts w:hint="default" w:ascii="Times New Roman" w:hAnsi="Times New Roman" w:eastAsia="宋体"/>
                <w:color w:val="auto"/>
                <w:szCs w:val="24"/>
                <w:lang w:bidi="ar"/>
              </w:rPr>
              <w:t>国械注进20232400002</w:t>
            </w:r>
          </w:p>
          <w:p>
            <w:pPr>
              <w:pStyle w:val="2"/>
              <w:spacing w:line="420" w:lineRule="exact"/>
              <w:rPr>
                <w:rFonts w:hint="default" w:ascii="Times New Roman" w:hAnsi="Times New Roman" w:eastAsia="宋体"/>
                <w:color w:val="auto"/>
                <w:szCs w:val="24"/>
                <w:lang w:bidi="ar"/>
              </w:rPr>
            </w:pPr>
            <w:r>
              <w:rPr>
                <w:rFonts w:hint="default" w:ascii="Times New Roman" w:hAnsi="Times New Roman" w:eastAsia="宋体"/>
                <w:color w:val="auto"/>
                <w:szCs w:val="24"/>
                <w:lang w:bidi="ar"/>
              </w:rPr>
              <w:t>国械注进20232400003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trPr>
        <w:tc>
          <w:tcPr>
            <w:tcW w:w="445" w:type="pct"/>
            <w:vMerge w:val="continue"/>
            <w:noWrap w:val="0"/>
            <w:vAlign w:val="center"/>
          </w:tcPr>
          <w:p>
            <w:pPr>
              <w:pStyle w:val="2"/>
              <w:spacing w:line="420" w:lineRule="exact"/>
              <w:jc w:val="center"/>
              <w:rPr>
                <w:rFonts w:hint="default" w:ascii="Times New Roman" w:hAnsi="Times New Roman" w:eastAsia="宋体"/>
                <w:color w:val="auto"/>
                <w:szCs w:val="24"/>
              </w:rPr>
            </w:pPr>
          </w:p>
        </w:tc>
        <w:tc>
          <w:tcPr>
            <w:tcW w:w="568" w:type="pct"/>
            <w:vMerge w:val="continue"/>
            <w:noWrap w:val="0"/>
            <w:vAlign w:val="center"/>
          </w:tcPr>
          <w:p>
            <w:pPr>
              <w:pStyle w:val="2"/>
              <w:spacing w:line="420" w:lineRule="exact"/>
              <w:jc w:val="center"/>
              <w:rPr>
                <w:rFonts w:hint="default" w:ascii="Times New Roman" w:hAnsi="Times New Roman" w:eastAsia="宋体"/>
                <w:color w:val="auto"/>
                <w:szCs w:val="24"/>
              </w:rPr>
            </w:pPr>
          </w:p>
        </w:tc>
        <w:tc>
          <w:tcPr>
            <w:tcW w:w="582"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测试</w:t>
            </w:r>
          </w:p>
        </w:tc>
        <w:tc>
          <w:tcPr>
            <w:tcW w:w="914"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0.0530</w:t>
            </w:r>
          </w:p>
        </w:tc>
        <w:tc>
          <w:tcPr>
            <w:tcW w:w="997"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零点零伍贰</w:t>
            </w:r>
          </w:p>
        </w:tc>
        <w:tc>
          <w:tcPr>
            <w:tcW w:w="1494" w:type="pct"/>
            <w:vMerge w:val="continue"/>
            <w:noWrap w:val="0"/>
            <w:vAlign w:val="center"/>
          </w:tcPr>
          <w:p>
            <w:pPr>
              <w:pStyle w:val="2"/>
              <w:spacing w:line="420" w:lineRule="exact"/>
              <w:rPr>
                <w:rFonts w:hint="default" w:ascii="Times New Roman" w:hAnsi="Times New Roman" w:eastAsia="宋体"/>
                <w:color w:val="auto"/>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6" w:hRule="atLeast"/>
        </w:trPr>
        <w:tc>
          <w:tcPr>
            <w:tcW w:w="445" w:type="pct"/>
            <w:vMerge w:val="restart"/>
            <w:noWrap w:val="0"/>
            <w:vAlign w:val="center"/>
          </w:tcPr>
          <w:p>
            <w:pPr>
              <w:pStyle w:val="2"/>
              <w:spacing w:line="420" w:lineRule="exact"/>
              <w:jc w:val="center"/>
              <w:rPr>
                <w:rFonts w:hint="default" w:ascii="Times New Roman" w:hAnsi="Times New Roman" w:eastAsia="宋体"/>
                <w:color w:val="auto"/>
                <w:szCs w:val="24"/>
              </w:rPr>
            </w:pPr>
          </w:p>
        </w:tc>
        <w:tc>
          <w:tcPr>
            <w:tcW w:w="568" w:type="pct"/>
            <w:vMerge w:val="restart"/>
            <w:noWrap w:val="0"/>
            <w:vAlign w:val="center"/>
          </w:tcPr>
          <w:p>
            <w:pPr>
              <w:pStyle w:val="2"/>
              <w:spacing w:line="420" w:lineRule="exact"/>
              <w:jc w:val="center"/>
              <w:rPr>
                <w:rFonts w:hint="default" w:ascii="Times New Roman" w:hAnsi="Times New Roman" w:eastAsia="宋体"/>
                <w:color w:val="auto"/>
                <w:szCs w:val="24"/>
              </w:rPr>
            </w:pPr>
          </w:p>
        </w:tc>
        <w:tc>
          <w:tcPr>
            <w:tcW w:w="582"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ml</w:t>
            </w:r>
          </w:p>
        </w:tc>
        <w:tc>
          <w:tcPr>
            <w:tcW w:w="914" w:type="pct"/>
            <w:noWrap w:val="0"/>
            <w:vAlign w:val="center"/>
          </w:tcPr>
          <w:p>
            <w:pPr>
              <w:pStyle w:val="2"/>
              <w:spacing w:line="420" w:lineRule="exact"/>
              <w:jc w:val="center"/>
              <w:rPr>
                <w:rFonts w:hint="default" w:ascii="Times New Roman" w:hAnsi="Times New Roman" w:eastAsia="宋体"/>
                <w:color w:val="auto"/>
                <w:szCs w:val="24"/>
                <w:lang w:bidi="ar"/>
              </w:rPr>
            </w:pPr>
          </w:p>
        </w:tc>
        <w:tc>
          <w:tcPr>
            <w:tcW w:w="997" w:type="pct"/>
            <w:noWrap w:val="0"/>
            <w:vAlign w:val="center"/>
          </w:tcPr>
          <w:p>
            <w:pPr>
              <w:pStyle w:val="2"/>
              <w:spacing w:line="420" w:lineRule="exact"/>
              <w:jc w:val="center"/>
              <w:rPr>
                <w:rFonts w:hint="default" w:ascii="Times New Roman" w:hAnsi="Times New Roman" w:eastAsia="宋体"/>
                <w:color w:val="auto"/>
                <w:szCs w:val="24"/>
                <w:lang w:bidi="ar"/>
              </w:rPr>
            </w:pPr>
          </w:p>
        </w:tc>
        <w:tc>
          <w:tcPr>
            <w:tcW w:w="1494" w:type="pct"/>
            <w:vMerge w:val="restart"/>
            <w:noWrap w:val="0"/>
            <w:vAlign w:val="center"/>
          </w:tcPr>
          <w:p>
            <w:pPr>
              <w:pStyle w:val="2"/>
              <w:spacing w:line="420" w:lineRule="exact"/>
              <w:rPr>
                <w:rFonts w:hint="default" w:ascii="Times New Roman" w:hAnsi="Times New Roman" w:eastAsia="宋体"/>
                <w:color w:val="auto"/>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0" w:hRule="atLeast"/>
        </w:trPr>
        <w:tc>
          <w:tcPr>
            <w:tcW w:w="445" w:type="pct"/>
            <w:vMerge w:val="continue"/>
            <w:noWrap w:val="0"/>
            <w:vAlign w:val="center"/>
          </w:tcPr>
          <w:p>
            <w:pPr>
              <w:pStyle w:val="2"/>
              <w:spacing w:line="420" w:lineRule="exact"/>
              <w:jc w:val="center"/>
              <w:rPr>
                <w:rFonts w:hint="default" w:ascii="Times New Roman" w:hAnsi="Times New Roman" w:eastAsia="宋体"/>
                <w:color w:val="auto"/>
                <w:szCs w:val="24"/>
              </w:rPr>
            </w:pPr>
          </w:p>
        </w:tc>
        <w:tc>
          <w:tcPr>
            <w:tcW w:w="568" w:type="pct"/>
            <w:vMerge w:val="continue"/>
            <w:noWrap w:val="0"/>
            <w:vAlign w:val="center"/>
          </w:tcPr>
          <w:p>
            <w:pPr>
              <w:pStyle w:val="2"/>
              <w:spacing w:line="420" w:lineRule="exact"/>
              <w:jc w:val="center"/>
              <w:rPr>
                <w:rFonts w:hint="default" w:ascii="Times New Roman" w:hAnsi="Times New Roman" w:eastAsia="宋体"/>
                <w:color w:val="auto"/>
                <w:szCs w:val="24"/>
              </w:rPr>
            </w:pPr>
          </w:p>
        </w:tc>
        <w:tc>
          <w:tcPr>
            <w:tcW w:w="582" w:type="pct"/>
            <w:noWrap w:val="0"/>
            <w:vAlign w:val="center"/>
          </w:tcPr>
          <w:p>
            <w:pPr>
              <w:pStyle w:val="2"/>
              <w:spacing w:line="420" w:lineRule="exact"/>
              <w:jc w:val="center"/>
              <w:rPr>
                <w:rFonts w:hint="default" w:ascii="Times New Roman" w:hAnsi="Times New Roman" w:eastAsia="宋体"/>
                <w:color w:val="auto"/>
                <w:szCs w:val="24"/>
                <w:lang w:bidi="ar"/>
              </w:rPr>
            </w:pPr>
            <w:r>
              <w:rPr>
                <w:rFonts w:hint="default" w:ascii="Times New Roman" w:hAnsi="Times New Roman" w:eastAsia="宋体"/>
                <w:color w:val="auto"/>
                <w:szCs w:val="24"/>
                <w:lang w:bidi="ar"/>
              </w:rPr>
              <w:t>测试</w:t>
            </w:r>
          </w:p>
        </w:tc>
        <w:tc>
          <w:tcPr>
            <w:tcW w:w="914" w:type="pct"/>
            <w:noWrap w:val="0"/>
            <w:vAlign w:val="center"/>
          </w:tcPr>
          <w:p>
            <w:pPr>
              <w:pStyle w:val="2"/>
              <w:spacing w:line="420" w:lineRule="exact"/>
              <w:jc w:val="center"/>
              <w:rPr>
                <w:rFonts w:hint="default" w:ascii="Times New Roman" w:hAnsi="Times New Roman" w:eastAsia="宋体"/>
                <w:color w:val="auto"/>
                <w:szCs w:val="24"/>
                <w:lang w:bidi="ar"/>
              </w:rPr>
            </w:pPr>
          </w:p>
        </w:tc>
        <w:tc>
          <w:tcPr>
            <w:tcW w:w="997" w:type="pct"/>
            <w:noWrap w:val="0"/>
            <w:vAlign w:val="center"/>
          </w:tcPr>
          <w:p>
            <w:pPr>
              <w:pStyle w:val="2"/>
              <w:spacing w:line="420" w:lineRule="exact"/>
              <w:jc w:val="center"/>
              <w:rPr>
                <w:rFonts w:hint="default" w:ascii="Times New Roman" w:hAnsi="Times New Roman" w:eastAsia="宋体"/>
                <w:color w:val="auto"/>
                <w:szCs w:val="24"/>
                <w:lang w:bidi="ar"/>
              </w:rPr>
            </w:pPr>
          </w:p>
        </w:tc>
        <w:tc>
          <w:tcPr>
            <w:tcW w:w="1494" w:type="pct"/>
            <w:vMerge w:val="continue"/>
            <w:noWrap w:val="0"/>
            <w:vAlign w:val="center"/>
          </w:tcPr>
          <w:p>
            <w:pPr>
              <w:pStyle w:val="2"/>
              <w:spacing w:line="420" w:lineRule="exact"/>
              <w:jc w:val="center"/>
              <w:rPr>
                <w:rFonts w:hint="default" w:ascii="Times New Roman" w:hAnsi="Times New Roman" w:eastAsia="宋体"/>
                <w:color w:val="auto"/>
                <w:szCs w:val="24"/>
                <w:lang w:bidi="ar"/>
              </w:rPr>
            </w:pPr>
          </w:p>
        </w:tc>
      </w:tr>
    </w:tbl>
    <w:p>
      <w:pPr>
        <w:autoSpaceDE w:val="0"/>
        <w:autoSpaceDN w:val="0"/>
        <w:adjustRightInd w:val="0"/>
        <w:spacing w:line="600" w:lineRule="exact"/>
        <w:ind w:firstLine="640" w:firstLineChars="200"/>
        <w:jc w:val="left"/>
        <w:rPr>
          <w:rFonts w:hint="eastAsia" w:ascii="仿宋_GB2312" w:hAnsi="宋体" w:eastAsia="仿宋_GB2312" w:cs="仿宋_GB2312"/>
          <w:color w:val="auto"/>
          <w:sz w:val="32"/>
          <w:szCs w:val="32"/>
          <w:lang w:bidi="ar"/>
        </w:rPr>
      </w:pPr>
      <w:r>
        <w:rPr>
          <w:rFonts w:hint="eastAsia" w:ascii="仿宋_GB2312" w:hAnsi="宋体" w:eastAsia="仿宋_GB2312" w:cs="仿宋_GB2312"/>
          <w:color w:val="auto"/>
          <w:sz w:val="32"/>
          <w:szCs w:val="32"/>
          <w:lang w:bidi="ar"/>
        </w:rPr>
        <w:t>填写说明</w:t>
      </w:r>
      <w:r>
        <w:rPr>
          <w:rFonts w:ascii="仿宋_GB2312" w:hAnsi="宋体" w:eastAsia="仿宋_GB2312" w:cs="仿宋_GB2312"/>
          <w:color w:val="auto"/>
          <w:sz w:val="32"/>
          <w:szCs w:val="32"/>
          <w:lang w:bidi="ar"/>
        </w:rPr>
        <w:t>：</w:t>
      </w:r>
    </w:p>
    <w:p>
      <w:pPr>
        <w:autoSpaceDE w:val="0"/>
        <w:autoSpaceDN w:val="0"/>
        <w:adjustRightInd w:val="0"/>
        <w:spacing w:line="600" w:lineRule="exact"/>
        <w:ind w:firstLine="640" w:firstLineChars="200"/>
        <w:jc w:val="left"/>
        <w:rPr>
          <w:rFonts w:hint="eastAsia" w:ascii="仿宋_GB2312" w:eastAsia="仿宋_GB2312"/>
          <w:color w:val="auto"/>
          <w:kern w:val="0"/>
          <w:sz w:val="32"/>
          <w:szCs w:val="22"/>
        </w:rPr>
      </w:pPr>
      <w:r>
        <w:rPr>
          <w:rFonts w:hint="eastAsia" w:ascii="仿宋_GB2312" w:eastAsia="仿宋_GB2312"/>
          <w:color w:val="auto"/>
          <w:kern w:val="0"/>
          <w:sz w:val="32"/>
          <w:szCs w:val="22"/>
        </w:rPr>
        <w:t>1.同品种有多个注册备案号时，将注册备案号填写在“注册备案号”一栏内，可以用逗号隔开，也可以在单元格内换行。</w:t>
      </w:r>
    </w:p>
    <w:p>
      <w:pPr>
        <w:autoSpaceDE w:val="0"/>
        <w:autoSpaceDN w:val="0"/>
        <w:adjustRightInd w:val="0"/>
        <w:spacing w:line="600" w:lineRule="exact"/>
        <w:ind w:firstLine="640" w:firstLineChars="200"/>
        <w:jc w:val="left"/>
        <w:rPr>
          <w:rFonts w:hint="eastAsia" w:ascii="仿宋_GB2312" w:eastAsia="仿宋_GB2312"/>
          <w:color w:val="auto"/>
          <w:kern w:val="0"/>
          <w:sz w:val="32"/>
          <w:szCs w:val="22"/>
        </w:rPr>
      </w:pPr>
      <w:r>
        <w:rPr>
          <w:rFonts w:hint="eastAsia" w:ascii="仿宋_GB2312" w:eastAsia="仿宋_GB2312"/>
          <w:color w:val="auto"/>
          <w:kern w:val="0"/>
          <w:sz w:val="32"/>
          <w:szCs w:val="22"/>
        </w:rPr>
        <w:t>2.按照包装计量单位申报价格，以人民币填报，单位为“元”，报价保留至小数点后4位。报价超过4位的，四舍五入取至小数点后4位。报价（小写）与报价（大写）有空项或不一致时，该报价单元视为无效报价。</w:t>
      </w:r>
    </w:p>
    <w:p>
      <w:pPr>
        <w:autoSpaceDE w:val="0"/>
        <w:autoSpaceDN w:val="0"/>
        <w:adjustRightInd w:val="0"/>
        <w:spacing w:line="600" w:lineRule="exact"/>
        <w:ind w:firstLine="640" w:firstLineChars="200"/>
        <w:jc w:val="left"/>
        <w:rPr>
          <w:rFonts w:hint="eastAsia" w:ascii="仿宋_GB2312" w:eastAsia="仿宋_GB2312"/>
          <w:color w:val="auto"/>
          <w:kern w:val="0"/>
          <w:sz w:val="32"/>
          <w:szCs w:val="22"/>
        </w:rPr>
      </w:pPr>
      <w:r>
        <w:rPr>
          <w:rFonts w:hint="eastAsia" w:ascii="仿宋_GB2312" w:eastAsia="仿宋_GB2312"/>
          <w:color w:val="auto"/>
          <w:kern w:val="0"/>
          <w:sz w:val="32"/>
          <w:szCs w:val="22"/>
        </w:rPr>
        <w:t>3.根据企业填报产品信息的包装计量单位，将一个注册证内的各个包装规格进行分组，有的进“ml”组，有的进“测试”两组。如果企业只有“ml”组的产品，只需要填报“ml”报价，“测试”的报价无效；如果企业只有“测试”组的产品，只需要填报“测试”报价，“ml”的报价无效。</w:t>
      </w:r>
    </w:p>
    <w:p>
      <w:pPr>
        <w:autoSpaceDE w:val="0"/>
        <w:autoSpaceDN w:val="0"/>
        <w:adjustRightInd w:val="0"/>
        <w:spacing w:line="600" w:lineRule="exact"/>
        <w:ind w:firstLine="640" w:firstLineChars="200"/>
        <w:jc w:val="left"/>
        <w:rPr>
          <w:rFonts w:hint="eastAsia" w:ascii="仿宋_GB2312" w:eastAsia="仿宋_GB2312"/>
          <w:color w:val="auto"/>
          <w:kern w:val="0"/>
          <w:sz w:val="32"/>
          <w:szCs w:val="22"/>
        </w:rPr>
      </w:pPr>
      <w:r>
        <w:rPr>
          <w:rFonts w:hint="eastAsia" w:ascii="仿宋_GB2312" w:eastAsia="仿宋_GB2312"/>
          <w:color w:val="auto"/>
          <w:kern w:val="0"/>
          <w:sz w:val="32"/>
          <w:szCs w:val="22"/>
        </w:rPr>
        <w:t>4.申报信息公开日之前，如企业不存在相应包装计量单位的产品，其相应包装计量单位的申报价格视为无效报价。</w:t>
      </w:r>
    </w:p>
    <w:p>
      <w:pPr>
        <w:pStyle w:val="2"/>
        <w:spacing w:line="600" w:lineRule="exact"/>
        <w:ind w:firstLine="640" w:firstLineChars="200"/>
        <w:rPr>
          <w:rFonts w:hint="default" w:ascii="仿宋_GB2312" w:hAnsi="Times New Roman" w:eastAsia="仿宋_GB2312"/>
          <w:color w:val="auto"/>
          <w:sz w:val="32"/>
        </w:rPr>
      </w:pPr>
      <w:r>
        <w:rPr>
          <w:rFonts w:ascii="仿宋_GB2312" w:hAnsi="Times New Roman" w:eastAsia="仿宋_GB2312"/>
          <w:color w:val="auto"/>
          <w:sz w:val="32"/>
        </w:rPr>
        <w:t>5.因擅自修改《申报信息一览表》格式等情况，导致申报信息不准确、不清晰，</w:t>
      </w:r>
      <w:r>
        <w:rPr>
          <w:rFonts w:hint="eastAsia" w:ascii="仿宋_GB2312" w:hAnsi="Times New Roman" w:eastAsia="仿宋_GB2312"/>
          <w:color w:val="auto"/>
          <w:sz w:val="32"/>
          <w:lang w:val="en-US" w:eastAsia="zh-CN"/>
        </w:rPr>
        <w:t>该企业申报价格视为无效报价。</w:t>
      </w:r>
    </w:p>
    <w:p>
      <w:pPr>
        <w:spacing w:line="600" w:lineRule="exact"/>
        <w:ind w:firstLine="640" w:firstLineChars="200"/>
        <w:jc w:val="left"/>
        <w:rPr>
          <w:rFonts w:hint="eastAsia" w:ascii="仿宋_GB2312" w:eastAsia="仿宋_GB2312"/>
          <w:color w:val="auto"/>
          <w:kern w:val="0"/>
          <w:sz w:val="32"/>
          <w:szCs w:val="22"/>
        </w:rPr>
      </w:pPr>
    </w:p>
    <w:p>
      <w:pPr>
        <w:pStyle w:val="2"/>
        <w:spacing w:line="600" w:lineRule="exact"/>
        <w:ind w:firstLine="2560" w:firstLineChars="800"/>
        <w:jc w:val="both"/>
        <w:rPr>
          <w:rFonts w:ascii="仿宋_GB2312" w:hAnsi="Times New Roman" w:eastAsia="仿宋_GB2312"/>
          <w:color w:val="auto"/>
          <w:sz w:val="32"/>
        </w:rPr>
      </w:pPr>
      <w:r>
        <w:rPr>
          <w:rFonts w:ascii="仿宋_GB2312" w:hAnsi="Times New Roman" w:eastAsia="仿宋_GB2312"/>
          <w:color w:val="auto"/>
          <w:sz w:val="32"/>
        </w:rPr>
        <w:t xml:space="preserve">申报企业（盖章）：                 </w:t>
      </w:r>
    </w:p>
    <w:p>
      <w:pPr>
        <w:pStyle w:val="2"/>
        <w:spacing w:line="600" w:lineRule="exact"/>
        <w:ind w:firstLine="2550" w:firstLineChars="797"/>
        <w:rPr>
          <w:rFonts w:ascii="仿宋_GB2312" w:hAnsi="Times New Roman" w:eastAsia="仿宋_GB2312"/>
          <w:color w:val="auto"/>
          <w:sz w:val="32"/>
        </w:rPr>
      </w:pPr>
      <w:r>
        <w:rPr>
          <w:rFonts w:ascii="仿宋_GB2312" w:hAnsi="Times New Roman" w:eastAsia="仿宋_GB2312"/>
          <w:color w:val="auto"/>
          <w:sz w:val="32"/>
        </w:rPr>
        <w:t>日期：    年   月   日</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12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2gcn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zP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adoHJyAEAAJkDAAAOAAAAAAAA&#10;AAEAIAAAADQBAABkcnMvZTJvRG9jLnhtbFBLBQYAAAAABgAGAFkBAABuBQ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6806469A"/>
    <w:rsid w:val="169A17A5"/>
    <w:rsid w:val="1C672639"/>
    <w:rsid w:val="21B3336E"/>
    <w:rsid w:val="25847A9B"/>
    <w:rsid w:val="2BAF0783"/>
    <w:rsid w:val="35385B92"/>
    <w:rsid w:val="59647E36"/>
    <w:rsid w:val="6806469A"/>
    <w:rsid w:val="6D359E83"/>
    <w:rsid w:val="7E1F2B1E"/>
    <w:rsid w:val="BDFF8A7C"/>
    <w:rsid w:val="EB499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Body Text"/>
    <w:basedOn w:val="1"/>
    <w:next w:val="1"/>
    <w:qFormat/>
    <w:uiPriority w:val="0"/>
    <w:pPr>
      <w:spacing w:before="102"/>
      <w:ind w:left="112"/>
    </w:pPr>
    <w:rPr>
      <w:rFonts w:ascii="Times New Roman" w:hAnsi="Times New Roman" w:eastAsia="宋体" w:cs="Times New Roman"/>
      <w:sz w:val="28"/>
      <w:szCs w:val="28"/>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9">
    <w:name w:val="CM1"/>
    <w:basedOn w:val="2"/>
    <w:next w:val="2"/>
    <w:qFormat/>
    <w:uiPriority w:val="0"/>
    <w:pPr>
      <w:spacing w:beforeLines="0" w:afterLines="0"/>
    </w:pPr>
    <w:rPr>
      <w:rFonts w:hint="eastAsia" w:ascii="Times New Roman" w:hAnsi="Times New Roman" w:eastAsia="宋体" w:cs="Times New Roman"/>
      <w:sz w:val="24"/>
    </w:rPr>
  </w:style>
  <w:style w:type="paragraph" w:customStyle="1" w:styleId="10">
    <w:name w:val="CM3"/>
    <w:basedOn w:val="2"/>
    <w:next w:val="2"/>
    <w:qFormat/>
    <w:uiPriority w:val="0"/>
    <w:pPr>
      <w:spacing w:beforeLines="0" w:afterLines="0" w:line="558" w:lineRule="atLeast"/>
    </w:pPr>
    <w:rPr>
      <w:rFonts w:hint="eastAsia" w:ascii="Times New Roman" w:hAnsi="Times New Roman" w:eastAsia="宋体" w:cs="Times New Roman"/>
      <w:sz w:val="24"/>
    </w:rPr>
  </w:style>
  <w:style w:type="paragraph" w:customStyle="1" w:styleId="11">
    <w:name w:val="CM4"/>
    <w:basedOn w:val="2"/>
    <w:next w:val="2"/>
    <w:qFormat/>
    <w:uiPriority w:val="0"/>
    <w:pPr>
      <w:spacing w:beforeLines="0" w:afterLines="0" w:line="560" w:lineRule="atLeast"/>
    </w:pPr>
    <w:rPr>
      <w:rFonts w:hint="eastAsia" w:ascii="Times New Roman" w:hAnsi="Times New Roman" w:eastAsia="宋体" w:cs="Times New Roman"/>
      <w:sz w:val="24"/>
    </w:rPr>
  </w:style>
  <w:style w:type="paragraph" w:customStyle="1" w:styleId="12">
    <w:name w:val="CM7"/>
    <w:basedOn w:val="2"/>
    <w:next w:val="2"/>
    <w:qFormat/>
    <w:uiPriority w:val="0"/>
    <w:pPr>
      <w:spacing w:beforeLines="0" w:afterLines="0"/>
    </w:pPr>
    <w:rPr>
      <w:rFonts w:hint="eastAsia" w:ascii="Times New Roman" w:hAnsi="Times New Roman" w:eastAsia="宋体" w:cs="Times New Roman"/>
      <w:sz w:val="24"/>
    </w:rPr>
  </w:style>
  <w:style w:type="paragraph" w:customStyle="1" w:styleId="13">
    <w:name w:val="CM6"/>
    <w:basedOn w:val="2"/>
    <w:next w:val="2"/>
    <w:qFormat/>
    <w:uiPriority w:val="0"/>
    <w:pPr>
      <w:spacing w:beforeLines="0" w:afterLines="0"/>
    </w:pPr>
    <w:rPr>
      <w:rFonts w:hint="eastAsia" w:ascii="Times New Roman" w:hAnsi="Times New Roman"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109</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2023-09-22T13:27:00Z</dcterms:created>
  <dc:creator>郑美娟</dc:creator>
  <cp:lastModifiedBy>thtf</cp:lastModifiedBy>
  <cp:lastPrinted>2023-09-22T11:04:00Z</cp:lastPrinted>
  <dcterms:modified xsi:type="dcterms:W3CDTF">2023-09-22T14:41:10Z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CC7E78B4DF42478EA3FC6DF5BF0019BC_13</vt:lpwstr>
  </property>
</Properties>
</file>