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left="-283" w:leftChars="-135" w:right="-388" w:rightChars="-185"/>
        <w:jc w:val="left"/>
        <w:rPr>
          <w:rFonts w:hint="default" w:ascii="方正小标宋简体" w:hAnsi="方正小标宋简体" w:eastAsia="方正小标宋简体" w:cs="方正小标宋简体"/>
          <w:color w:val="auto"/>
          <w:spacing w:val="-24"/>
          <w:sz w:val="56"/>
          <w:szCs w:val="96"/>
          <w:lang w:val="en-US"/>
        </w:rPr>
      </w:pPr>
      <w:bookmarkStart w:id="27" w:name="_GoBack"/>
      <w:bookmarkEnd w:id="27"/>
    </w:p>
    <w:p>
      <w:pPr>
        <w:spacing w:line="600" w:lineRule="exact"/>
        <w:jc w:val="center"/>
        <w:rPr>
          <w:rFonts w:hint="eastAsia" w:ascii="方正小标宋简体" w:hAnsi="方正小标宋简体" w:eastAsia="方正小标宋简体" w:cs="方正小标宋简体"/>
          <w:color w:val="auto"/>
          <w:spacing w:val="-24"/>
          <w:sz w:val="44"/>
          <w:szCs w:val="44"/>
        </w:rPr>
      </w:pPr>
    </w:p>
    <w:p>
      <w:pPr>
        <w:spacing w:line="600" w:lineRule="exact"/>
        <w:jc w:val="center"/>
        <w:rPr>
          <w:rFonts w:hint="eastAsia" w:ascii="方正小标宋简体" w:hAnsi="方正小标宋简体" w:eastAsia="方正小标宋简体" w:cs="方正小标宋简体"/>
          <w:color w:val="auto"/>
          <w:spacing w:val="-24"/>
          <w:sz w:val="44"/>
          <w:szCs w:val="44"/>
        </w:rPr>
      </w:pPr>
      <w:r>
        <w:rPr>
          <w:rFonts w:hint="eastAsia" w:ascii="方正小标宋简体" w:hAnsi="方正小标宋简体" w:eastAsia="方正小标宋简体" w:cs="方正小标宋简体"/>
          <w:color w:val="auto"/>
          <w:spacing w:val="-24"/>
          <w:sz w:val="44"/>
          <w:szCs w:val="44"/>
        </w:rPr>
        <w:t>肾功和心肌酶生化类检测试剂省际</w:t>
      </w:r>
    </w:p>
    <w:p>
      <w:pPr>
        <w:spacing w:line="600" w:lineRule="exact"/>
        <w:jc w:val="center"/>
        <w:rPr>
          <w:rFonts w:hint="eastAsia" w:ascii="方正小标宋简体" w:hAnsi="方正小标宋简体" w:eastAsia="方正小标宋简体" w:cs="方正小标宋简体"/>
          <w:color w:val="auto"/>
          <w:spacing w:val="-24"/>
          <w:sz w:val="44"/>
          <w:szCs w:val="44"/>
        </w:rPr>
      </w:pPr>
      <w:r>
        <w:rPr>
          <w:rFonts w:hint="eastAsia" w:ascii="方正小标宋简体" w:hAnsi="方正小标宋简体" w:eastAsia="方正小标宋简体" w:cs="方正小标宋简体"/>
          <w:color w:val="auto"/>
          <w:spacing w:val="-24"/>
          <w:sz w:val="44"/>
          <w:szCs w:val="44"/>
        </w:rPr>
        <w:t>联盟集中带量采购文件</w:t>
      </w:r>
    </w:p>
    <w:p>
      <w:pPr>
        <w:spacing w:line="600" w:lineRule="exact"/>
        <w:jc w:val="center"/>
        <w:rPr>
          <w:rFonts w:hint="eastAsia" w:ascii="仿宋_GB2312" w:hAnsi="仿宋_GB2312" w:eastAsia="仿宋_GB2312" w:cs="仿宋_GB2312"/>
          <w:color w:val="auto"/>
          <w:spacing w:val="-24"/>
          <w:sz w:val="32"/>
          <w:szCs w:val="32"/>
        </w:rPr>
      </w:pPr>
      <w:r>
        <w:rPr>
          <w:rFonts w:hint="eastAsia" w:ascii="仿宋_GB2312" w:hAnsi="仿宋_GB2312" w:eastAsia="仿宋_GB2312" w:cs="仿宋_GB2312"/>
          <w:color w:val="auto"/>
          <w:spacing w:val="-24"/>
          <w:sz w:val="32"/>
          <w:szCs w:val="32"/>
        </w:rPr>
        <w:t>（</w:t>
      </w:r>
      <w:r>
        <w:rPr>
          <w:rFonts w:hint="eastAsia" w:ascii="仿宋_GB2312" w:hAnsi="仿宋_GB2312" w:eastAsia="仿宋_GB2312" w:cs="仿宋_GB2312"/>
          <w:color w:val="auto"/>
          <w:spacing w:val="-24"/>
          <w:sz w:val="32"/>
          <w:szCs w:val="32"/>
          <w:lang w:val="en-US" w:eastAsia="zh-CN"/>
        </w:rPr>
        <w:t>征求意见稿</w:t>
      </w:r>
      <w:r>
        <w:rPr>
          <w:rFonts w:hint="eastAsia" w:ascii="仿宋_GB2312" w:hAnsi="仿宋_GB2312" w:eastAsia="仿宋_GB2312" w:cs="仿宋_GB2312"/>
          <w:color w:val="auto"/>
          <w:spacing w:val="-24"/>
          <w:sz w:val="32"/>
          <w:szCs w:val="32"/>
        </w:rPr>
        <w:t>）</w:t>
      </w:r>
    </w:p>
    <w:p>
      <w:pPr>
        <w:spacing w:line="600" w:lineRule="exact"/>
        <w:jc w:val="center"/>
        <w:rPr>
          <w:rFonts w:hint="eastAsia" w:ascii="仿宋_GB2312" w:hAnsi="华文楷体" w:eastAsia="仿宋_GB2312" w:cs="华文楷体"/>
          <w:bCs/>
          <w:color w:val="auto"/>
          <w:sz w:val="32"/>
          <w:szCs w:val="32"/>
        </w:rPr>
      </w:pPr>
    </w:p>
    <w:p>
      <w:pPr>
        <w:spacing w:line="600" w:lineRule="exact"/>
        <w:jc w:val="center"/>
        <w:rPr>
          <w:rFonts w:hint="eastAsia" w:ascii="黑体" w:hAnsi="黑体" w:eastAsia="黑体" w:cs="黑体"/>
          <w:bCs/>
          <w:color w:val="auto"/>
          <w:sz w:val="32"/>
          <w:szCs w:val="32"/>
        </w:rPr>
      </w:pPr>
      <w:r>
        <w:rPr>
          <w:rFonts w:hint="eastAsia" w:ascii="黑体" w:hAnsi="黑体" w:eastAsia="黑体" w:cs="黑体"/>
          <w:color w:val="auto"/>
          <w:sz w:val="32"/>
          <w:szCs w:val="32"/>
        </w:rPr>
        <w:t>采购文件编号：JX-HC2023-01</w:t>
      </w:r>
    </w:p>
    <w:p>
      <w:pPr>
        <w:spacing w:line="600" w:lineRule="exact"/>
        <w:jc w:val="center"/>
        <w:rPr>
          <w:rFonts w:hint="eastAsia" w:ascii="仿宋_GB2312" w:hAnsi="仿宋_GB2312" w:eastAsia="仿宋_GB2312" w:cs="仿宋_GB2312"/>
          <w:color w:val="auto"/>
          <w:sz w:val="44"/>
          <w:szCs w:val="44"/>
        </w:rPr>
      </w:pPr>
    </w:p>
    <w:p>
      <w:pPr>
        <w:spacing w:line="600" w:lineRule="exact"/>
        <w:jc w:val="center"/>
        <w:rPr>
          <w:rFonts w:hint="eastAsia" w:ascii="黑体" w:hAnsi="黑体" w:eastAsia="黑体" w:cs="黑体"/>
          <w:color w:val="auto"/>
          <w:sz w:val="44"/>
          <w:szCs w:val="44"/>
        </w:rPr>
      </w:pPr>
    </w:p>
    <w:p>
      <w:pPr>
        <w:spacing w:line="600" w:lineRule="exact"/>
        <w:rPr>
          <w:rFonts w:hint="eastAsia" w:ascii="黑体" w:hAnsi="黑体" w:eastAsia="黑体" w:cs="黑体"/>
          <w:color w:val="auto"/>
          <w:sz w:val="44"/>
          <w:szCs w:val="44"/>
        </w:rPr>
      </w:pPr>
    </w:p>
    <w:p>
      <w:pPr>
        <w:spacing w:line="600" w:lineRule="exact"/>
        <w:jc w:val="center"/>
        <w:rPr>
          <w:rFonts w:hint="eastAsia" w:ascii="方正小标宋简体" w:hAnsi="方正小标宋简体" w:eastAsia="方正小标宋简体" w:cs="方正小标宋简体"/>
          <w:bCs/>
          <w:color w:val="auto"/>
          <w:sz w:val="32"/>
          <w:szCs w:val="32"/>
        </w:rPr>
      </w:pPr>
    </w:p>
    <w:p>
      <w:pPr>
        <w:spacing w:line="600" w:lineRule="exact"/>
        <w:rPr>
          <w:rFonts w:hint="eastAsia" w:ascii="方正小标宋简体" w:hAnsi="方正小标宋简体" w:eastAsia="方正小标宋简体" w:cs="方正小标宋简体"/>
          <w:bCs/>
          <w:color w:val="auto"/>
          <w:sz w:val="32"/>
          <w:szCs w:val="32"/>
        </w:rPr>
      </w:pPr>
    </w:p>
    <w:p>
      <w:pPr>
        <w:spacing w:line="600" w:lineRule="exact"/>
        <w:jc w:val="center"/>
        <w:rPr>
          <w:rFonts w:hint="eastAsia" w:ascii="方正小标宋简体" w:hAnsi="方正小标宋简体" w:eastAsia="方正小标宋简体" w:cs="方正小标宋简体"/>
          <w:bCs/>
          <w:color w:val="auto"/>
          <w:sz w:val="32"/>
          <w:szCs w:val="32"/>
        </w:rPr>
      </w:pPr>
    </w:p>
    <w:p>
      <w:pPr>
        <w:spacing w:line="600" w:lineRule="exact"/>
        <w:jc w:val="center"/>
        <w:rPr>
          <w:rFonts w:hint="eastAsia" w:ascii="方正小标宋简体" w:hAnsi="方正小标宋简体" w:eastAsia="方正小标宋简体" w:cs="方正小标宋简体"/>
          <w:bCs/>
          <w:color w:val="auto"/>
          <w:sz w:val="32"/>
          <w:szCs w:val="32"/>
        </w:rPr>
      </w:pPr>
    </w:p>
    <w:p>
      <w:pPr>
        <w:spacing w:line="600" w:lineRule="exact"/>
        <w:jc w:val="center"/>
        <w:rPr>
          <w:rFonts w:hint="eastAsia" w:ascii="方正小标宋简体" w:hAnsi="方正小标宋简体" w:eastAsia="方正小标宋简体" w:cs="方正小标宋简体"/>
          <w:bCs/>
          <w:color w:val="auto"/>
          <w:sz w:val="32"/>
          <w:szCs w:val="32"/>
        </w:rPr>
      </w:pPr>
    </w:p>
    <w:p>
      <w:pPr>
        <w:spacing w:line="600" w:lineRule="exact"/>
        <w:jc w:val="center"/>
        <w:rPr>
          <w:rFonts w:hint="eastAsia" w:ascii="方正小标宋简体" w:hAnsi="方正小标宋简体" w:eastAsia="方正小标宋简体" w:cs="方正小标宋简体"/>
          <w:bCs/>
          <w:color w:val="auto"/>
          <w:sz w:val="32"/>
          <w:szCs w:val="32"/>
        </w:rPr>
      </w:pPr>
    </w:p>
    <w:p>
      <w:pPr>
        <w:spacing w:line="600" w:lineRule="exact"/>
        <w:jc w:val="center"/>
        <w:rPr>
          <w:rFonts w:hint="eastAsia" w:ascii="方正小标宋简体" w:hAnsi="方正小标宋简体" w:eastAsia="方正小标宋简体" w:cs="方正小标宋简体"/>
          <w:bCs/>
          <w:color w:val="auto"/>
          <w:sz w:val="32"/>
          <w:szCs w:val="32"/>
        </w:rPr>
      </w:pPr>
    </w:p>
    <w:p>
      <w:pPr>
        <w:spacing w:line="600" w:lineRule="exact"/>
        <w:jc w:val="center"/>
        <w:rPr>
          <w:rFonts w:hint="eastAsia" w:ascii="方正小标宋简体" w:hAnsi="方正小标宋简体" w:eastAsia="方正小标宋简体" w:cs="方正小标宋简体"/>
          <w:bCs/>
          <w:color w:val="auto"/>
          <w:sz w:val="32"/>
          <w:szCs w:val="32"/>
        </w:rPr>
      </w:pPr>
    </w:p>
    <w:p>
      <w:pPr>
        <w:spacing w:line="600" w:lineRule="exact"/>
        <w:jc w:val="center"/>
        <w:rPr>
          <w:rFonts w:hint="eastAsia" w:ascii="方正小标宋简体" w:hAnsi="方正小标宋简体" w:eastAsia="方正小标宋简体" w:cs="方正小标宋简体"/>
          <w:bCs/>
          <w:color w:val="auto"/>
          <w:sz w:val="32"/>
          <w:szCs w:val="32"/>
        </w:rPr>
      </w:pPr>
    </w:p>
    <w:p>
      <w:pPr>
        <w:spacing w:line="600" w:lineRule="exact"/>
        <w:jc w:val="center"/>
        <w:rPr>
          <w:rFonts w:hint="eastAsia" w:ascii="方正小标宋简体" w:hAnsi="方正小标宋简体" w:eastAsia="方正小标宋简体" w:cs="方正小标宋简体"/>
          <w:bCs/>
          <w:color w:val="auto"/>
          <w:sz w:val="32"/>
          <w:szCs w:val="32"/>
        </w:rPr>
      </w:pPr>
    </w:p>
    <w:p>
      <w:pPr>
        <w:spacing w:line="600" w:lineRule="exact"/>
        <w:jc w:val="center"/>
        <w:rPr>
          <w:rFonts w:hint="eastAsia" w:ascii="方正小标宋简体" w:hAnsi="方正小标宋简体" w:eastAsia="方正小标宋简体" w:cs="方正小标宋简体"/>
          <w:bCs/>
          <w:color w:val="auto"/>
          <w:sz w:val="32"/>
          <w:szCs w:val="32"/>
        </w:rPr>
      </w:pPr>
      <w:r>
        <w:rPr>
          <w:rFonts w:hint="eastAsia" w:ascii="方正小标宋简体" w:hAnsi="方正小标宋简体" w:eastAsia="方正小标宋简体" w:cs="方正小标宋简体"/>
          <w:bCs/>
          <w:color w:val="auto"/>
          <w:sz w:val="32"/>
          <w:szCs w:val="32"/>
        </w:rPr>
        <w:t>江西省药品医用耗材集中采购联席会议办公室</w:t>
      </w:r>
    </w:p>
    <w:p>
      <w:pPr>
        <w:spacing w:line="600" w:lineRule="exact"/>
        <w:jc w:val="center"/>
        <w:rPr>
          <w:rFonts w:hint="eastAsia" w:ascii="方正小标宋简体" w:hAnsi="方正小标宋简体" w:eastAsia="方正小标宋简体" w:cs="方正小标宋简体"/>
          <w:bCs/>
          <w:color w:val="auto"/>
          <w:sz w:val="32"/>
          <w:szCs w:val="32"/>
        </w:rPr>
      </w:pPr>
      <w:r>
        <w:rPr>
          <w:rFonts w:hint="eastAsia" w:ascii="方正小标宋简体" w:hAnsi="方正小标宋简体" w:eastAsia="方正小标宋简体" w:cs="方正小标宋简体"/>
          <w:bCs/>
          <w:color w:val="auto"/>
          <w:sz w:val="32"/>
          <w:szCs w:val="32"/>
        </w:rPr>
        <w:t>2023年9月</w:t>
      </w:r>
    </w:p>
    <w:p>
      <w:pPr>
        <w:pStyle w:val="2"/>
        <w:spacing w:line="600" w:lineRule="exact"/>
        <w:rPr>
          <w:color w:val="auto"/>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pPr>
        <w:spacing w:before="4680" w:beforeLines="1500" w:line="600" w:lineRule="exact"/>
        <w:jc w:val="center"/>
        <w:outlineLvl w:val="0"/>
        <w:rPr>
          <w:rFonts w:hint="eastAsia" w:ascii="方正小标宋简体" w:hAnsi="方正小标宋简体" w:eastAsia="方正小标宋简体" w:cs="方正小标宋简体"/>
          <w:bCs/>
          <w:color w:val="auto"/>
          <w:sz w:val="44"/>
          <w:szCs w:val="44"/>
        </w:rPr>
      </w:pPr>
      <w:bookmarkStart w:id="0" w:name="_Toc89358207"/>
      <w:r>
        <w:rPr>
          <w:rFonts w:hint="eastAsia" w:ascii="方正小标宋简体" w:hAnsi="方正小标宋简体" w:eastAsia="方正小标宋简体" w:cs="方正小标宋简体"/>
          <w:bCs/>
          <w:color w:val="auto"/>
          <w:sz w:val="44"/>
          <w:szCs w:val="44"/>
        </w:rPr>
        <w:t>第一部分  采购邀请</w:t>
      </w:r>
      <w:bookmarkEnd w:id="0"/>
    </w:p>
    <w:p>
      <w:pPr>
        <w:pStyle w:val="2"/>
        <w:spacing w:line="600" w:lineRule="exact"/>
        <w:rPr>
          <w:color w:val="auto"/>
        </w:rPr>
      </w:pPr>
    </w:p>
    <w:p>
      <w:pPr>
        <w:pStyle w:val="2"/>
        <w:spacing w:line="600" w:lineRule="exact"/>
        <w:rPr>
          <w:color w:val="auto"/>
        </w:rPr>
        <w:sectPr>
          <w:footerReference r:id="rId5" w:type="default"/>
          <w:pgSz w:w="11906" w:h="16838"/>
          <w:pgMar w:top="1440" w:right="1706" w:bottom="1440" w:left="1800" w:header="851" w:footer="992" w:gutter="0"/>
          <w:pgNumType w:start="1"/>
          <w:cols w:space="720" w:num="1"/>
          <w:docGrid w:type="lines" w:linePitch="312" w:charSpace="0"/>
        </w:sectPr>
      </w:pPr>
    </w:p>
    <w:p>
      <w:pPr>
        <w:spacing w:line="600" w:lineRule="exact"/>
        <w:jc w:val="center"/>
        <w:rPr>
          <w:rFonts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省际联盟医用耗材带量采购邀请函</w:t>
      </w:r>
    </w:p>
    <w:p>
      <w:pPr>
        <w:spacing w:line="600" w:lineRule="exact"/>
        <w:jc w:val="center"/>
        <w:rPr>
          <w:rFonts w:hint="eastAsia" w:ascii="仿宋_GB2312" w:hAnsi="仿宋_GB2312" w:eastAsia="仿宋_GB2312" w:cs="仿宋_GB2312"/>
          <w:bCs/>
          <w:color w:val="auto"/>
          <w:sz w:val="32"/>
          <w:szCs w:val="32"/>
        </w:rPr>
      </w:pPr>
      <w:r>
        <w:rPr>
          <w:rFonts w:hint="eastAsia" w:ascii="仿宋_GB2312" w:hAnsi="华文楷体" w:eastAsia="仿宋_GB2312" w:cs="华文楷体"/>
          <w:bCs/>
          <w:color w:val="auto"/>
          <w:sz w:val="32"/>
          <w:szCs w:val="32"/>
        </w:rPr>
        <w:t>（</w:t>
      </w:r>
      <w:r>
        <w:rPr>
          <w:rFonts w:hint="eastAsia" w:ascii="仿宋_GB2312" w:hAnsi="华文楷体" w:eastAsia="仿宋_GB2312" w:cs="华文楷体"/>
          <w:color w:val="auto"/>
          <w:sz w:val="32"/>
          <w:szCs w:val="32"/>
        </w:rPr>
        <w:t>采购文件编号：JX-HC2023-01</w:t>
      </w:r>
      <w:r>
        <w:rPr>
          <w:rFonts w:hint="eastAsia" w:ascii="仿宋_GB2312" w:hAnsi="仿宋_GB2312" w:eastAsia="仿宋_GB2312" w:cs="仿宋_GB2312"/>
          <w:bCs/>
          <w:color w:val="auto"/>
          <w:sz w:val="32"/>
          <w:szCs w:val="32"/>
        </w:rPr>
        <w:t>）</w:t>
      </w:r>
    </w:p>
    <w:p>
      <w:pPr>
        <w:spacing w:line="600" w:lineRule="exact"/>
        <w:rPr>
          <w:rFonts w:ascii="仿宋_GB2312" w:hAnsi="宋体" w:eastAsia="仿宋_GB2312" w:cs="仿宋_GB2312"/>
          <w:color w:val="auto"/>
          <w:kern w:val="0"/>
          <w:sz w:val="31"/>
          <w:szCs w:val="31"/>
          <w:lang w:bidi="ar"/>
        </w:rPr>
      </w:pPr>
    </w:p>
    <w:p>
      <w:pPr>
        <w:spacing w:line="600"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为贯彻落实</w:t>
      </w:r>
      <w:r>
        <w:rPr>
          <w:rFonts w:ascii="仿宋_GB2312" w:hAnsi="微软雅黑" w:eastAsia="仿宋_GB2312" w:cs="仿宋_GB2312"/>
          <w:color w:val="auto"/>
          <w:sz w:val="32"/>
          <w:szCs w:val="32"/>
        </w:rPr>
        <w:t>国家医保局等八部门《关于开展国家组织高值医用耗材集中带量采购和使用的指导意见》（医保发〔</w:t>
      </w:r>
      <w:r>
        <w:rPr>
          <w:rFonts w:eastAsia="微软雅黑"/>
          <w:color w:val="auto"/>
          <w:sz w:val="32"/>
          <w:szCs w:val="32"/>
        </w:rPr>
        <w:t>2021</w:t>
      </w:r>
      <w:r>
        <w:rPr>
          <w:rFonts w:hint="eastAsia" w:ascii="仿宋_GB2312" w:hAnsi="微软雅黑" w:eastAsia="仿宋_GB2312" w:cs="仿宋_GB2312"/>
          <w:color w:val="auto"/>
          <w:sz w:val="32"/>
          <w:szCs w:val="32"/>
        </w:rPr>
        <w:t>〕</w:t>
      </w:r>
      <w:r>
        <w:rPr>
          <w:rFonts w:eastAsia="微软雅黑"/>
          <w:color w:val="auto"/>
          <w:sz w:val="32"/>
          <w:szCs w:val="32"/>
        </w:rPr>
        <w:t>31</w:t>
      </w:r>
      <w:r>
        <w:rPr>
          <w:rFonts w:hint="eastAsia" w:ascii="仿宋_GB2312" w:hAnsi="微软雅黑" w:eastAsia="仿宋_GB2312" w:cs="仿宋_GB2312"/>
          <w:color w:val="auto"/>
          <w:sz w:val="32"/>
          <w:szCs w:val="32"/>
        </w:rPr>
        <w:t>号）等文件精神</w:t>
      </w:r>
      <w:r>
        <w:rPr>
          <w:rFonts w:hint="eastAsia" w:ascii="仿宋_GB2312" w:hAnsi="仿宋_GB2312" w:eastAsia="仿宋_GB2312" w:cs="仿宋_GB2312"/>
          <w:color w:val="auto"/>
          <w:kern w:val="0"/>
          <w:sz w:val="32"/>
          <w:szCs w:val="32"/>
          <w:lang w:bidi="ar"/>
        </w:rPr>
        <w:t>，江西省、河北省、山西省、内蒙古自治区、辽宁省、吉林省、黑龙江省、安徽省、福建省、河南省、湖南省、湖北省、广西壮族自治区、海南省、重庆市、四川省、贵州省、西藏自治区、陕西省、甘肃省、青海省、宁夏回族自治区、新疆维吾尔自治区、新疆生产建设兵团组成采购联盟，代表各地区公立医疗机构（含军队医疗机构）及自愿参加的医保定点社会办医疗机构等开展肾功和心肌酶生化类检测试剂集中带量采购，由江西省药品医用耗材集中采购联席会议办公室（以下简称“联席会议办公室”）承担日常工作并具体实施。</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bidi="ar"/>
        </w:rPr>
        <w:t>现就开展肾功和心肌酶生化类检测试剂集中带量采购工作，邀请符合要求的企业积极参与。</w:t>
      </w:r>
    </w:p>
    <w:p>
      <w:pPr>
        <w:spacing w:line="600" w:lineRule="exact"/>
        <w:ind w:firstLine="640" w:firstLineChars="200"/>
        <w:outlineLvl w:val="1"/>
        <w:rPr>
          <w:rFonts w:ascii="黑体" w:hAnsi="黑体" w:eastAsia="黑体" w:cs="黑体"/>
          <w:color w:val="auto"/>
          <w:kern w:val="0"/>
          <w:sz w:val="32"/>
          <w:szCs w:val="32"/>
          <w:lang w:bidi="ar"/>
        </w:rPr>
      </w:pPr>
      <w:r>
        <w:rPr>
          <w:rFonts w:ascii="仿宋_GB2312" w:hAnsi="仿宋_GB2312" w:eastAsia="仿宋_GB2312" w:cs="仿宋_GB2312"/>
          <w:bCs/>
          <w:color w:val="auto"/>
          <w:sz w:val="32"/>
          <w:szCs w:val="32"/>
        </w:rPr>
        <w:br w:type="page"/>
      </w:r>
      <w:bookmarkStart w:id="1" w:name="_Toc89358208"/>
      <w:r>
        <w:rPr>
          <w:rFonts w:ascii="黑体" w:hAnsi="黑体" w:eastAsia="黑体" w:cs="黑体"/>
          <w:color w:val="auto"/>
          <w:kern w:val="0"/>
          <w:sz w:val="32"/>
          <w:szCs w:val="32"/>
          <w:lang w:bidi="ar"/>
        </w:rPr>
        <w:t>一、采购品种</w:t>
      </w:r>
      <w:r>
        <w:rPr>
          <w:rFonts w:hint="eastAsia" w:ascii="黑体" w:hAnsi="黑体" w:eastAsia="黑体" w:cs="黑体"/>
          <w:color w:val="auto"/>
          <w:kern w:val="0"/>
          <w:sz w:val="32"/>
          <w:szCs w:val="32"/>
          <w:lang w:bidi="ar"/>
        </w:rPr>
        <w:t>、</w:t>
      </w:r>
      <w:r>
        <w:rPr>
          <w:rFonts w:ascii="黑体" w:hAnsi="黑体" w:eastAsia="黑体" w:cs="黑体"/>
          <w:color w:val="auto"/>
          <w:kern w:val="0"/>
          <w:sz w:val="32"/>
          <w:szCs w:val="32"/>
          <w:lang w:bidi="ar"/>
        </w:rPr>
        <w:t>采购需求量</w:t>
      </w:r>
      <w:r>
        <w:rPr>
          <w:rFonts w:hint="eastAsia" w:ascii="黑体" w:hAnsi="黑体" w:eastAsia="黑体" w:cs="黑体"/>
          <w:color w:val="auto"/>
          <w:kern w:val="0"/>
          <w:sz w:val="32"/>
          <w:szCs w:val="32"/>
          <w:lang w:bidi="ar"/>
        </w:rPr>
        <w:t>及最高有效申报价</w:t>
      </w:r>
      <w:bookmarkEnd w:id="1"/>
    </w:p>
    <w:p>
      <w:pPr>
        <w:spacing w:line="600" w:lineRule="exact"/>
        <w:ind w:firstLine="642" w:firstLineChars="200"/>
        <w:rPr>
          <w:rFonts w:hint="eastAsia" w:ascii="楷体" w:hAnsi="楷体" w:eastAsia="楷体" w:cs="楷体"/>
          <w:b/>
          <w:bCs/>
          <w:color w:val="auto"/>
          <w:kern w:val="0"/>
          <w:sz w:val="32"/>
          <w:szCs w:val="32"/>
          <w:lang w:bidi="ar"/>
        </w:rPr>
      </w:pPr>
      <w:r>
        <w:rPr>
          <w:rFonts w:hint="eastAsia" w:ascii="楷体" w:hAnsi="楷体" w:eastAsia="楷体" w:cs="楷体"/>
          <w:b/>
          <w:bCs/>
          <w:color w:val="auto"/>
          <w:kern w:val="0"/>
          <w:sz w:val="32"/>
          <w:szCs w:val="32"/>
          <w:lang w:bidi="ar"/>
        </w:rPr>
        <w:t>（一）采购品种</w:t>
      </w:r>
    </w:p>
    <w:p>
      <w:pPr>
        <w:spacing w:line="600" w:lineRule="exact"/>
        <w:ind w:firstLine="640" w:firstLineChars="200"/>
        <w:rPr>
          <w:rFonts w:ascii="仿宋_GB2312" w:hAnsi="微软雅黑" w:eastAsia="仿宋_GB2312"/>
          <w:color w:val="auto"/>
          <w:sz w:val="32"/>
          <w:szCs w:val="32"/>
        </w:rPr>
      </w:pPr>
      <w:r>
        <w:rPr>
          <w:rFonts w:hint="eastAsia" w:ascii="仿宋_GB2312" w:hAnsi="微软雅黑" w:eastAsia="仿宋_GB2312"/>
          <w:color w:val="auto"/>
          <w:sz w:val="32"/>
          <w:szCs w:val="32"/>
        </w:rPr>
        <w:t>1.本次带量采购的品种，是指按医疗器械管理的用于人体样本体外检测的单品种液体肾功和心肌酶生化诊断试剂，具体见下表。</w:t>
      </w:r>
    </w:p>
    <w:tbl>
      <w:tblPr>
        <w:tblStyle w:val="7"/>
        <w:tblW w:w="8113" w:type="dxa"/>
        <w:tblInd w:w="151" w:type="dxa"/>
        <w:tblLayout w:type="autofit"/>
        <w:tblCellMar>
          <w:top w:w="0" w:type="dxa"/>
          <w:left w:w="108" w:type="dxa"/>
          <w:bottom w:w="0" w:type="dxa"/>
          <w:right w:w="108" w:type="dxa"/>
        </w:tblCellMar>
      </w:tblPr>
      <w:tblGrid>
        <w:gridCol w:w="1517"/>
        <w:gridCol w:w="2643"/>
        <w:gridCol w:w="1609"/>
        <w:gridCol w:w="2344"/>
      </w:tblGrid>
      <w:tr>
        <w:tblPrEx>
          <w:tblCellMar>
            <w:top w:w="0" w:type="dxa"/>
            <w:left w:w="108" w:type="dxa"/>
            <w:bottom w:w="0" w:type="dxa"/>
            <w:right w:w="108" w:type="dxa"/>
          </w:tblCellMar>
        </w:tblPrEx>
        <w:trPr>
          <w:trHeight w:val="615" w:hRule="atLeast"/>
        </w:trPr>
        <w:tc>
          <w:tcPr>
            <w:tcW w:w="1517" w:type="dxa"/>
            <w:tcBorders>
              <w:top w:val="single" w:color="auto" w:sz="4" w:space="0"/>
              <w:left w:val="single" w:color="auto" w:sz="4" w:space="0"/>
              <w:bottom w:val="nil"/>
              <w:right w:val="single" w:color="auto" w:sz="4" w:space="0"/>
            </w:tcBorders>
            <w:noWrap w:val="0"/>
            <w:vAlign w:val="center"/>
          </w:tcPr>
          <w:p>
            <w:pPr>
              <w:spacing w:line="420" w:lineRule="exact"/>
              <w:jc w:val="center"/>
              <w:rPr>
                <w:rFonts w:hint="eastAsia" w:ascii="宋体" w:hAnsi="宋体" w:cs="宋体"/>
                <w:b/>
                <w:bCs/>
                <w:color w:val="auto"/>
                <w:kern w:val="0"/>
                <w:sz w:val="24"/>
              </w:rPr>
            </w:pPr>
            <w:r>
              <w:rPr>
                <w:rFonts w:hint="eastAsia" w:ascii="宋体" w:hAnsi="宋体" w:cs="宋体"/>
                <w:b/>
                <w:bCs/>
                <w:color w:val="auto"/>
                <w:kern w:val="0"/>
                <w:sz w:val="24"/>
              </w:rPr>
              <w:t>序号</w:t>
            </w:r>
          </w:p>
        </w:tc>
        <w:tc>
          <w:tcPr>
            <w:tcW w:w="2643" w:type="dxa"/>
            <w:tcBorders>
              <w:top w:val="single" w:color="auto" w:sz="4" w:space="0"/>
              <w:left w:val="nil"/>
              <w:bottom w:val="nil"/>
              <w:right w:val="single" w:color="auto" w:sz="4" w:space="0"/>
            </w:tcBorders>
            <w:noWrap w:val="0"/>
            <w:vAlign w:val="center"/>
          </w:tcPr>
          <w:p>
            <w:pPr>
              <w:spacing w:line="420" w:lineRule="exact"/>
              <w:jc w:val="center"/>
              <w:rPr>
                <w:rFonts w:hint="eastAsia" w:ascii="宋体" w:hAnsi="宋体" w:cs="宋体"/>
                <w:b/>
                <w:bCs/>
                <w:color w:val="auto"/>
                <w:kern w:val="0"/>
                <w:sz w:val="24"/>
              </w:rPr>
            </w:pPr>
            <w:r>
              <w:rPr>
                <w:rFonts w:hint="eastAsia" w:ascii="宋体" w:hAnsi="宋体" w:cs="宋体"/>
                <w:b/>
                <w:bCs/>
                <w:color w:val="auto"/>
                <w:kern w:val="0"/>
                <w:sz w:val="24"/>
              </w:rPr>
              <w:t>品种</w:t>
            </w:r>
          </w:p>
        </w:tc>
        <w:tc>
          <w:tcPr>
            <w:tcW w:w="1609" w:type="dxa"/>
            <w:tcBorders>
              <w:top w:val="single" w:color="auto" w:sz="4" w:space="0"/>
              <w:left w:val="nil"/>
              <w:bottom w:val="nil"/>
              <w:right w:val="single" w:color="auto" w:sz="4" w:space="0"/>
            </w:tcBorders>
            <w:noWrap w:val="0"/>
            <w:vAlign w:val="center"/>
          </w:tcPr>
          <w:p>
            <w:pPr>
              <w:spacing w:line="420" w:lineRule="exact"/>
              <w:jc w:val="center"/>
              <w:rPr>
                <w:rFonts w:hint="eastAsia" w:ascii="宋体" w:hAnsi="宋体" w:cs="宋体"/>
                <w:b/>
                <w:bCs/>
                <w:color w:val="auto"/>
                <w:kern w:val="0"/>
                <w:sz w:val="24"/>
              </w:rPr>
            </w:pPr>
            <w:r>
              <w:rPr>
                <w:rFonts w:hint="eastAsia" w:ascii="宋体" w:hAnsi="宋体" w:cs="宋体"/>
                <w:b/>
                <w:bCs/>
                <w:color w:val="auto"/>
                <w:kern w:val="0"/>
                <w:sz w:val="24"/>
              </w:rPr>
              <w:t>序号</w:t>
            </w:r>
          </w:p>
        </w:tc>
        <w:tc>
          <w:tcPr>
            <w:tcW w:w="2344" w:type="dxa"/>
            <w:tcBorders>
              <w:top w:val="single" w:color="auto" w:sz="4" w:space="0"/>
              <w:left w:val="nil"/>
              <w:bottom w:val="nil"/>
              <w:right w:val="single" w:color="auto" w:sz="4" w:space="0"/>
            </w:tcBorders>
            <w:noWrap w:val="0"/>
            <w:vAlign w:val="center"/>
          </w:tcPr>
          <w:p>
            <w:pPr>
              <w:spacing w:line="420" w:lineRule="exact"/>
              <w:jc w:val="center"/>
              <w:rPr>
                <w:rFonts w:hint="eastAsia" w:ascii="宋体" w:hAnsi="宋体" w:cs="宋体"/>
                <w:b/>
                <w:bCs/>
                <w:color w:val="auto"/>
                <w:kern w:val="0"/>
                <w:sz w:val="24"/>
              </w:rPr>
            </w:pPr>
            <w:r>
              <w:rPr>
                <w:rFonts w:hint="eastAsia" w:ascii="宋体" w:hAnsi="宋体" w:cs="宋体"/>
                <w:b/>
                <w:bCs/>
                <w:color w:val="auto"/>
                <w:kern w:val="0"/>
                <w:sz w:val="24"/>
              </w:rPr>
              <w:t>品种</w:t>
            </w:r>
          </w:p>
        </w:tc>
      </w:tr>
      <w:tr>
        <w:tblPrEx>
          <w:tblCellMar>
            <w:top w:w="0" w:type="dxa"/>
            <w:left w:w="108" w:type="dxa"/>
            <w:bottom w:w="0" w:type="dxa"/>
            <w:right w:w="108" w:type="dxa"/>
          </w:tblCellMar>
        </w:tblPrEx>
        <w:trPr>
          <w:trHeight w:val="704" w:hRule="atLeast"/>
        </w:trPr>
        <w:tc>
          <w:tcPr>
            <w:tcW w:w="1517" w:type="dxa"/>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肾功能01</w:t>
            </w:r>
          </w:p>
        </w:tc>
        <w:tc>
          <w:tcPr>
            <w:tcW w:w="2643" w:type="dxa"/>
            <w:tcBorders>
              <w:top w:val="single" w:color="auto" w:sz="4" w:space="0"/>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N-乙酰-β-D-氨基葡萄糖苷酶</w:t>
            </w:r>
          </w:p>
        </w:tc>
        <w:tc>
          <w:tcPr>
            <w:tcW w:w="1609" w:type="dxa"/>
            <w:tcBorders>
              <w:top w:val="single" w:color="auto" w:sz="4" w:space="0"/>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肾功能09</w:t>
            </w:r>
          </w:p>
        </w:tc>
        <w:tc>
          <w:tcPr>
            <w:tcW w:w="2344" w:type="dxa"/>
            <w:tcBorders>
              <w:top w:val="single" w:color="auto" w:sz="4" w:space="0"/>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尿微量白蛋白</w:t>
            </w:r>
          </w:p>
        </w:tc>
      </w:tr>
      <w:tr>
        <w:tblPrEx>
          <w:tblCellMar>
            <w:top w:w="0" w:type="dxa"/>
            <w:left w:w="108" w:type="dxa"/>
            <w:bottom w:w="0" w:type="dxa"/>
            <w:right w:w="108" w:type="dxa"/>
          </w:tblCellMar>
        </w:tblPrEx>
        <w:trPr>
          <w:trHeight w:val="615" w:hRule="atLeast"/>
        </w:trPr>
        <w:tc>
          <w:tcPr>
            <w:tcW w:w="1517" w:type="dxa"/>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肾功能02</w:t>
            </w:r>
          </w:p>
        </w:tc>
        <w:tc>
          <w:tcPr>
            <w:tcW w:w="2643" w:type="dxa"/>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α1-微球蛋白</w:t>
            </w:r>
          </w:p>
        </w:tc>
        <w:tc>
          <w:tcPr>
            <w:tcW w:w="1609" w:type="dxa"/>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肾功能10</w:t>
            </w:r>
          </w:p>
        </w:tc>
        <w:tc>
          <w:tcPr>
            <w:tcW w:w="2344" w:type="dxa"/>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尿微量总蛋白</w:t>
            </w:r>
          </w:p>
        </w:tc>
      </w:tr>
      <w:tr>
        <w:tblPrEx>
          <w:tblCellMar>
            <w:top w:w="0" w:type="dxa"/>
            <w:left w:w="108" w:type="dxa"/>
            <w:bottom w:w="0" w:type="dxa"/>
            <w:right w:w="108" w:type="dxa"/>
          </w:tblCellMar>
        </w:tblPrEx>
        <w:trPr>
          <w:trHeight w:val="615" w:hRule="atLeast"/>
        </w:trPr>
        <w:tc>
          <w:tcPr>
            <w:tcW w:w="1517" w:type="dxa"/>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肾功能03</w:t>
            </w:r>
          </w:p>
        </w:tc>
        <w:tc>
          <w:tcPr>
            <w:tcW w:w="2643" w:type="dxa"/>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α2-巨球蛋白</w:t>
            </w:r>
          </w:p>
        </w:tc>
        <w:tc>
          <w:tcPr>
            <w:tcW w:w="1609" w:type="dxa"/>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肾功能11</w:t>
            </w:r>
          </w:p>
        </w:tc>
        <w:tc>
          <w:tcPr>
            <w:tcW w:w="2344" w:type="dxa"/>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视黄醇结合蛋白</w:t>
            </w:r>
          </w:p>
        </w:tc>
      </w:tr>
      <w:tr>
        <w:tblPrEx>
          <w:tblCellMar>
            <w:top w:w="0" w:type="dxa"/>
            <w:left w:w="108" w:type="dxa"/>
            <w:bottom w:w="0" w:type="dxa"/>
            <w:right w:w="108" w:type="dxa"/>
          </w:tblCellMar>
        </w:tblPrEx>
        <w:trPr>
          <w:trHeight w:val="615" w:hRule="atLeast"/>
        </w:trPr>
        <w:tc>
          <w:tcPr>
            <w:tcW w:w="1517" w:type="dxa"/>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肾功能04</w:t>
            </w:r>
          </w:p>
        </w:tc>
        <w:tc>
          <w:tcPr>
            <w:tcW w:w="2643" w:type="dxa"/>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β2-微球蛋白</w:t>
            </w:r>
          </w:p>
        </w:tc>
        <w:tc>
          <w:tcPr>
            <w:tcW w:w="1609" w:type="dxa"/>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肾功能12</w:t>
            </w:r>
          </w:p>
        </w:tc>
        <w:tc>
          <w:tcPr>
            <w:tcW w:w="2344" w:type="dxa"/>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补体C1q</w:t>
            </w:r>
          </w:p>
        </w:tc>
      </w:tr>
      <w:tr>
        <w:tblPrEx>
          <w:tblCellMar>
            <w:top w:w="0" w:type="dxa"/>
            <w:left w:w="108" w:type="dxa"/>
            <w:bottom w:w="0" w:type="dxa"/>
            <w:right w:w="108" w:type="dxa"/>
          </w:tblCellMar>
        </w:tblPrEx>
        <w:trPr>
          <w:trHeight w:val="615" w:hRule="atLeast"/>
        </w:trPr>
        <w:tc>
          <w:tcPr>
            <w:tcW w:w="1517" w:type="dxa"/>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肾功能05</w:t>
            </w:r>
          </w:p>
        </w:tc>
        <w:tc>
          <w:tcPr>
            <w:tcW w:w="2643" w:type="dxa"/>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胱抑素</w:t>
            </w:r>
          </w:p>
        </w:tc>
        <w:tc>
          <w:tcPr>
            <w:tcW w:w="1609" w:type="dxa"/>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肾功能13</w:t>
            </w:r>
          </w:p>
        </w:tc>
        <w:tc>
          <w:tcPr>
            <w:tcW w:w="2344" w:type="dxa"/>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超氧化物歧化酶</w:t>
            </w:r>
          </w:p>
        </w:tc>
      </w:tr>
      <w:tr>
        <w:tblPrEx>
          <w:tblCellMar>
            <w:top w:w="0" w:type="dxa"/>
            <w:left w:w="108" w:type="dxa"/>
            <w:bottom w:w="0" w:type="dxa"/>
            <w:right w:w="108" w:type="dxa"/>
          </w:tblCellMar>
        </w:tblPrEx>
        <w:trPr>
          <w:trHeight w:val="615" w:hRule="atLeast"/>
        </w:trPr>
        <w:tc>
          <w:tcPr>
            <w:tcW w:w="1517" w:type="dxa"/>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肾功能06</w:t>
            </w:r>
          </w:p>
        </w:tc>
        <w:tc>
          <w:tcPr>
            <w:tcW w:w="2643" w:type="dxa"/>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肌酐</w:t>
            </w:r>
          </w:p>
        </w:tc>
        <w:tc>
          <w:tcPr>
            <w:tcW w:w="1609" w:type="dxa"/>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肾功能14</w:t>
            </w:r>
          </w:p>
        </w:tc>
        <w:tc>
          <w:tcPr>
            <w:tcW w:w="2344" w:type="dxa"/>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二氧化碳</w:t>
            </w:r>
          </w:p>
        </w:tc>
      </w:tr>
      <w:tr>
        <w:tblPrEx>
          <w:tblCellMar>
            <w:top w:w="0" w:type="dxa"/>
            <w:left w:w="108" w:type="dxa"/>
            <w:bottom w:w="0" w:type="dxa"/>
            <w:right w:w="108" w:type="dxa"/>
          </w:tblCellMar>
        </w:tblPrEx>
        <w:trPr>
          <w:trHeight w:val="615" w:hRule="atLeast"/>
        </w:trPr>
        <w:tc>
          <w:tcPr>
            <w:tcW w:w="1517" w:type="dxa"/>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肾功能07</w:t>
            </w:r>
          </w:p>
        </w:tc>
        <w:tc>
          <w:tcPr>
            <w:tcW w:w="2643" w:type="dxa"/>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尿免疫球蛋白G</w:t>
            </w:r>
          </w:p>
        </w:tc>
        <w:tc>
          <w:tcPr>
            <w:tcW w:w="1609" w:type="dxa"/>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肾功能15</w:t>
            </w:r>
          </w:p>
        </w:tc>
        <w:tc>
          <w:tcPr>
            <w:tcW w:w="2344" w:type="dxa"/>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尿酸</w:t>
            </w:r>
          </w:p>
        </w:tc>
      </w:tr>
      <w:tr>
        <w:tblPrEx>
          <w:tblCellMar>
            <w:top w:w="0" w:type="dxa"/>
            <w:left w:w="108" w:type="dxa"/>
            <w:bottom w:w="0" w:type="dxa"/>
            <w:right w:w="108" w:type="dxa"/>
          </w:tblCellMar>
        </w:tblPrEx>
        <w:trPr>
          <w:trHeight w:val="663" w:hRule="atLeast"/>
        </w:trPr>
        <w:tc>
          <w:tcPr>
            <w:tcW w:w="1517" w:type="dxa"/>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肾功能08</w:t>
            </w:r>
          </w:p>
        </w:tc>
        <w:tc>
          <w:tcPr>
            <w:tcW w:w="2643" w:type="dxa"/>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尿素</w:t>
            </w:r>
          </w:p>
        </w:tc>
        <w:tc>
          <w:tcPr>
            <w:tcW w:w="1609" w:type="dxa"/>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肾功能16</w:t>
            </w:r>
          </w:p>
        </w:tc>
        <w:tc>
          <w:tcPr>
            <w:tcW w:w="2344" w:type="dxa"/>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中性粒细胞明胶酶相关脂质运载蛋白</w:t>
            </w:r>
          </w:p>
        </w:tc>
      </w:tr>
      <w:tr>
        <w:tblPrEx>
          <w:tblCellMar>
            <w:top w:w="0" w:type="dxa"/>
            <w:left w:w="108" w:type="dxa"/>
            <w:bottom w:w="0" w:type="dxa"/>
            <w:right w:w="108" w:type="dxa"/>
          </w:tblCellMar>
        </w:tblPrEx>
        <w:trPr>
          <w:trHeight w:val="615" w:hRule="atLeast"/>
        </w:trPr>
        <w:tc>
          <w:tcPr>
            <w:tcW w:w="1517" w:type="dxa"/>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心肌酶01</w:t>
            </w:r>
          </w:p>
        </w:tc>
        <w:tc>
          <w:tcPr>
            <w:tcW w:w="2643" w:type="dxa"/>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α-羟丁酸脱氢酶</w:t>
            </w:r>
          </w:p>
        </w:tc>
        <w:tc>
          <w:tcPr>
            <w:tcW w:w="1609" w:type="dxa"/>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心肌酶08</w:t>
            </w:r>
          </w:p>
        </w:tc>
        <w:tc>
          <w:tcPr>
            <w:tcW w:w="2344" w:type="dxa"/>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乳酸脱氢酶同工酶</w:t>
            </w:r>
          </w:p>
        </w:tc>
      </w:tr>
      <w:tr>
        <w:tblPrEx>
          <w:tblCellMar>
            <w:top w:w="0" w:type="dxa"/>
            <w:left w:w="108" w:type="dxa"/>
            <w:bottom w:w="0" w:type="dxa"/>
            <w:right w:w="108" w:type="dxa"/>
          </w:tblCellMar>
        </w:tblPrEx>
        <w:trPr>
          <w:trHeight w:val="615" w:hRule="atLeast"/>
        </w:trPr>
        <w:tc>
          <w:tcPr>
            <w:tcW w:w="1517" w:type="dxa"/>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心肌酶02</w:t>
            </w:r>
          </w:p>
        </w:tc>
        <w:tc>
          <w:tcPr>
            <w:tcW w:w="2643" w:type="dxa"/>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肌钙蛋白I</w:t>
            </w:r>
          </w:p>
        </w:tc>
        <w:tc>
          <w:tcPr>
            <w:tcW w:w="1609" w:type="dxa"/>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心肌酶09</w:t>
            </w:r>
          </w:p>
        </w:tc>
        <w:tc>
          <w:tcPr>
            <w:tcW w:w="2344" w:type="dxa"/>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髓过氧化物酶</w:t>
            </w:r>
          </w:p>
        </w:tc>
      </w:tr>
      <w:tr>
        <w:tblPrEx>
          <w:tblCellMar>
            <w:top w:w="0" w:type="dxa"/>
            <w:left w:w="108" w:type="dxa"/>
            <w:bottom w:w="0" w:type="dxa"/>
            <w:right w:w="108" w:type="dxa"/>
          </w:tblCellMar>
        </w:tblPrEx>
        <w:trPr>
          <w:trHeight w:val="615" w:hRule="atLeast"/>
        </w:trPr>
        <w:tc>
          <w:tcPr>
            <w:tcW w:w="1517" w:type="dxa"/>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心肌酶03</w:t>
            </w:r>
          </w:p>
        </w:tc>
        <w:tc>
          <w:tcPr>
            <w:tcW w:w="2643" w:type="dxa"/>
            <w:tcBorders>
              <w:top w:val="single" w:color="auto" w:sz="4" w:space="0"/>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肌钙蛋白T</w:t>
            </w:r>
          </w:p>
        </w:tc>
        <w:tc>
          <w:tcPr>
            <w:tcW w:w="1609" w:type="dxa"/>
            <w:tcBorders>
              <w:top w:val="single" w:color="auto" w:sz="4" w:space="0"/>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心肌酶10</w:t>
            </w:r>
          </w:p>
        </w:tc>
        <w:tc>
          <w:tcPr>
            <w:tcW w:w="2344" w:type="dxa"/>
            <w:tcBorders>
              <w:top w:val="single" w:color="auto" w:sz="4" w:space="0"/>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同型半胱氨酸</w:t>
            </w:r>
          </w:p>
        </w:tc>
      </w:tr>
      <w:tr>
        <w:tblPrEx>
          <w:tblCellMar>
            <w:top w:w="0" w:type="dxa"/>
            <w:left w:w="108" w:type="dxa"/>
            <w:bottom w:w="0" w:type="dxa"/>
            <w:right w:w="108" w:type="dxa"/>
          </w:tblCellMar>
        </w:tblPrEx>
        <w:trPr>
          <w:trHeight w:val="615" w:hRule="atLeast"/>
        </w:trPr>
        <w:tc>
          <w:tcPr>
            <w:tcW w:w="1517" w:type="dxa"/>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心肌酶04</w:t>
            </w:r>
          </w:p>
        </w:tc>
        <w:tc>
          <w:tcPr>
            <w:tcW w:w="2643" w:type="dxa"/>
            <w:tcBorders>
              <w:top w:val="single" w:color="auto" w:sz="4" w:space="0"/>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肌红蛋白</w:t>
            </w:r>
          </w:p>
        </w:tc>
        <w:tc>
          <w:tcPr>
            <w:tcW w:w="1609" w:type="dxa"/>
            <w:tcBorders>
              <w:top w:val="single" w:color="auto" w:sz="4" w:space="0"/>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心肌酶11</w:t>
            </w:r>
          </w:p>
        </w:tc>
        <w:tc>
          <w:tcPr>
            <w:tcW w:w="2344" w:type="dxa"/>
            <w:tcBorders>
              <w:top w:val="single" w:color="auto" w:sz="4" w:space="0"/>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心脏型脂肪酸结合蛋白</w:t>
            </w:r>
          </w:p>
        </w:tc>
      </w:tr>
      <w:tr>
        <w:tblPrEx>
          <w:tblCellMar>
            <w:top w:w="0" w:type="dxa"/>
            <w:left w:w="108" w:type="dxa"/>
            <w:bottom w:w="0" w:type="dxa"/>
            <w:right w:w="108" w:type="dxa"/>
          </w:tblCellMar>
        </w:tblPrEx>
        <w:trPr>
          <w:trHeight w:val="615" w:hRule="atLeast"/>
        </w:trPr>
        <w:tc>
          <w:tcPr>
            <w:tcW w:w="1517" w:type="dxa"/>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心肌酶05</w:t>
            </w:r>
          </w:p>
        </w:tc>
        <w:tc>
          <w:tcPr>
            <w:tcW w:w="2643" w:type="dxa"/>
            <w:tcBorders>
              <w:top w:val="single" w:color="auto" w:sz="4" w:space="0"/>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肌酸激酶</w:t>
            </w:r>
          </w:p>
        </w:tc>
        <w:tc>
          <w:tcPr>
            <w:tcW w:w="1609" w:type="dxa"/>
            <w:tcBorders>
              <w:top w:val="single" w:color="auto" w:sz="4" w:space="0"/>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心肌酶12</w:t>
            </w:r>
          </w:p>
        </w:tc>
        <w:tc>
          <w:tcPr>
            <w:tcW w:w="2344" w:type="dxa"/>
            <w:tcBorders>
              <w:top w:val="single" w:color="auto" w:sz="4" w:space="0"/>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血管紧张素转化酶</w:t>
            </w:r>
          </w:p>
        </w:tc>
      </w:tr>
      <w:tr>
        <w:tblPrEx>
          <w:tblCellMar>
            <w:top w:w="0" w:type="dxa"/>
            <w:left w:w="108" w:type="dxa"/>
            <w:bottom w:w="0" w:type="dxa"/>
            <w:right w:w="108" w:type="dxa"/>
          </w:tblCellMar>
        </w:tblPrEx>
        <w:trPr>
          <w:trHeight w:val="674" w:hRule="atLeast"/>
        </w:trPr>
        <w:tc>
          <w:tcPr>
            <w:tcW w:w="1517" w:type="dxa"/>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心肌酶06</w:t>
            </w:r>
          </w:p>
        </w:tc>
        <w:tc>
          <w:tcPr>
            <w:tcW w:w="2643" w:type="dxa"/>
            <w:tcBorders>
              <w:top w:val="single" w:color="auto" w:sz="4" w:space="0"/>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肌酸激酶同工酶</w:t>
            </w:r>
          </w:p>
        </w:tc>
        <w:tc>
          <w:tcPr>
            <w:tcW w:w="1609" w:type="dxa"/>
            <w:tcBorders>
              <w:top w:val="single" w:color="auto" w:sz="4" w:space="0"/>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心肌酶13</w:t>
            </w:r>
          </w:p>
        </w:tc>
        <w:tc>
          <w:tcPr>
            <w:tcW w:w="2344" w:type="dxa"/>
            <w:tcBorders>
              <w:top w:val="single" w:color="auto" w:sz="4" w:space="0"/>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脂蛋白相关磷脂酶A2</w:t>
            </w:r>
          </w:p>
        </w:tc>
      </w:tr>
      <w:tr>
        <w:tblPrEx>
          <w:tblCellMar>
            <w:top w:w="0" w:type="dxa"/>
            <w:left w:w="108" w:type="dxa"/>
            <w:bottom w:w="0" w:type="dxa"/>
            <w:right w:w="108" w:type="dxa"/>
          </w:tblCellMar>
        </w:tblPrEx>
        <w:trPr>
          <w:trHeight w:val="615" w:hRule="atLeast"/>
        </w:trPr>
        <w:tc>
          <w:tcPr>
            <w:tcW w:w="1517" w:type="dxa"/>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心肌酶07</w:t>
            </w:r>
          </w:p>
        </w:tc>
        <w:tc>
          <w:tcPr>
            <w:tcW w:w="2643" w:type="dxa"/>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缺血修饰白蛋白</w:t>
            </w:r>
          </w:p>
        </w:tc>
        <w:tc>
          <w:tcPr>
            <w:tcW w:w="1609" w:type="dxa"/>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p>
        </w:tc>
        <w:tc>
          <w:tcPr>
            <w:tcW w:w="2344" w:type="dxa"/>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4"/>
              </w:rPr>
            </w:pPr>
          </w:p>
        </w:tc>
      </w:tr>
    </w:tbl>
    <w:p>
      <w:pPr>
        <w:spacing w:line="600" w:lineRule="exact"/>
        <w:ind w:firstLine="640" w:firstLineChars="200"/>
        <w:rPr>
          <w:rFonts w:hint="eastAsia" w:ascii="仿宋_GB2312" w:hAnsi="微软雅黑" w:eastAsia="仿宋_GB2312"/>
          <w:color w:val="auto"/>
          <w:sz w:val="32"/>
          <w:szCs w:val="32"/>
        </w:rPr>
      </w:pPr>
      <w:r>
        <w:rPr>
          <w:rFonts w:hint="eastAsia" w:ascii="仿宋_GB2312" w:hAnsi="微软雅黑" w:eastAsia="仿宋_GB2312"/>
          <w:color w:val="auto"/>
          <w:sz w:val="32"/>
          <w:szCs w:val="32"/>
        </w:rPr>
        <w:t>2.单独注册的诊断试剂、注册证中附带校准品和（或）质控品的诊断试剂均属于本次采购品种范围。</w:t>
      </w:r>
    </w:p>
    <w:p>
      <w:pPr>
        <w:spacing w:line="600" w:lineRule="exact"/>
        <w:ind w:firstLine="640" w:firstLineChars="200"/>
        <w:rPr>
          <w:rFonts w:eastAsia="仿宋_GB2312"/>
          <w:color w:val="auto"/>
        </w:rPr>
      </w:pPr>
      <w:r>
        <w:rPr>
          <w:rFonts w:hint="eastAsia" w:ascii="仿宋_GB2312" w:hAnsi="微软雅黑" w:eastAsia="仿宋_GB2312"/>
          <w:color w:val="auto"/>
          <w:sz w:val="32"/>
          <w:szCs w:val="32"/>
        </w:rPr>
        <w:t>3.品种大于或等于2种的联合诊断试剂不在本次采购品种范围之内。干性试剂、试纸条和按药品管理的诊断试剂，不在本次采购品种范围之内。</w:t>
      </w:r>
    </w:p>
    <w:p>
      <w:pPr>
        <w:spacing w:line="600" w:lineRule="exact"/>
        <w:ind w:firstLine="642" w:firstLineChars="200"/>
        <w:rPr>
          <w:rFonts w:ascii="楷体" w:hAnsi="楷体" w:eastAsia="楷体" w:cs="楷体"/>
          <w:b/>
          <w:bCs/>
          <w:color w:val="auto"/>
          <w:kern w:val="0"/>
          <w:sz w:val="32"/>
          <w:szCs w:val="32"/>
          <w:lang w:bidi="ar"/>
        </w:rPr>
      </w:pPr>
      <w:r>
        <w:rPr>
          <w:rFonts w:hint="eastAsia" w:ascii="楷体" w:hAnsi="楷体" w:eastAsia="楷体" w:cs="楷体"/>
          <w:b/>
          <w:bCs/>
          <w:color w:val="auto"/>
          <w:kern w:val="0"/>
          <w:sz w:val="32"/>
          <w:szCs w:val="32"/>
          <w:lang w:bidi="ar"/>
        </w:rPr>
        <w:t>（二）采购需求量</w:t>
      </w:r>
    </w:p>
    <w:p>
      <w:pPr>
        <w:widowControl/>
        <w:spacing w:line="600" w:lineRule="exact"/>
        <w:ind w:firstLine="640" w:firstLineChars="200"/>
        <w:rPr>
          <w:rFonts w:hint="eastAsia" w:ascii="仿宋_GB2312" w:hAnsi="微软雅黑" w:eastAsia="仿宋_GB2312"/>
          <w:color w:val="auto"/>
          <w:sz w:val="32"/>
          <w:szCs w:val="32"/>
        </w:rPr>
      </w:pPr>
      <w:r>
        <w:rPr>
          <w:rFonts w:hint="eastAsia" w:ascii="仿宋_GB2312" w:hAnsi="微软雅黑" w:eastAsia="仿宋_GB2312"/>
          <w:color w:val="auto"/>
          <w:sz w:val="32"/>
          <w:szCs w:val="32"/>
        </w:rPr>
        <w:t>1.以企业申报的产品（具体到包装规格）为对象，组织联盟地区医疗机构报送年度采购需求量。根据包装计量单位，将各品种分为ml和测试两组，分别计算各品种ml和测试两组的采购需求量。各品种各联盟首年采购需求量详见附表。</w:t>
      </w:r>
    </w:p>
    <w:p>
      <w:pPr>
        <w:widowControl/>
        <w:spacing w:line="600" w:lineRule="exact"/>
        <w:ind w:firstLine="640" w:firstLineChars="200"/>
        <w:rPr>
          <w:rFonts w:hint="eastAsia" w:ascii="仿宋_GB2312" w:hAnsi="微软雅黑" w:eastAsia="仿宋_GB2312"/>
          <w:color w:val="auto"/>
          <w:sz w:val="32"/>
          <w:szCs w:val="32"/>
        </w:rPr>
      </w:pPr>
      <w:r>
        <w:rPr>
          <w:rFonts w:hint="eastAsia" w:ascii="仿宋_GB2312" w:hAnsi="微软雅黑" w:eastAsia="仿宋_GB2312"/>
          <w:color w:val="auto"/>
          <w:sz w:val="32"/>
          <w:szCs w:val="32"/>
        </w:rPr>
        <w:t>2.以ml为包装计量单位的浓缩型产品、检测试剂与稀释液分别注册的产品，由企业提供注册证、说明书、上机参数等材料，按照试剂与稀释液的比例，换算每盒ml数。</w:t>
      </w:r>
    </w:p>
    <w:p>
      <w:pPr>
        <w:widowControl/>
        <w:spacing w:line="600" w:lineRule="exact"/>
        <w:ind w:firstLine="640" w:firstLineChars="200"/>
        <w:rPr>
          <w:color w:val="auto"/>
        </w:rPr>
        <w:sectPr>
          <w:pgSz w:w="11906" w:h="16838"/>
          <w:pgMar w:top="1440" w:right="1906" w:bottom="1440" w:left="1800" w:header="851" w:footer="992" w:gutter="0"/>
          <w:cols w:space="720" w:num="1"/>
          <w:docGrid w:type="lines" w:linePitch="312" w:charSpace="0"/>
        </w:sectPr>
      </w:pPr>
      <w:r>
        <w:rPr>
          <w:rFonts w:hint="eastAsia" w:ascii="仿宋_GB2312" w:hAnsi="微软雅黑" w:eastAsia="仿宋_GB2312"/>
          <w:color w:val="auto"/>
          <w:sz w:val="32"/>
          <w:szCs w:val="32"/>
        </w:rPr>
        <w:t>3.计算每盒ml数时，校准品和质控品等不纳入计算。注册证中附带校准品和（或）质控品应按需免费提供。</w:t>
      </w:r>
    </w:p>
    <w:p>
      <w:pPr>
        <w:pStyle w:val="4"/>
        <w:spacing w:line="600" w:lineRule="exact"/>
        <w:jc w:val="center"/>
        <w:rPr>
          <w:rFonts w:hint="eastAsia" w:ascii="宋体" w:hAnsi="宋体" w:cs="宋体"/>
          <w:b/>
          <w:color w:val="auto"/>
          <w:sz w:val="32"/>
          <w:szCs w:val="32"/>
        </w:rPr>
      </w:pPr>
      <w:r>
        <w:rPr>
          <w:rFonts w:hint="eastAsia" w:ascii="宋体" w:hAnsi="宋体" w:cs="宋体"/>
          <w:b/>
          <w:color w:val="auto"/>
          <w:kern w:val="0"/>
          <w:sz w:val="32"/>
          <w:szCs w:val="32"/>
          <w:lang w:bidi="ar"/>
        </w:rPr>
        <w:t>肾功和心肌酶生化类检测试剂</w:t>
      </w:r>
      <w:r>
        <w:rPr>
          <w:rFonts w:hint="eastAsia" w:ascii="宋体" w:hAnsi="宋体" w:cs="宋体"/>
          <w:b/>
          <w:color w:val="auto"/>
          <w:kern w:val="0"/>
          <w:sz w:val="32"/>
          <w:szCs w:val="32"/>
        </w:rPr>
        <w:t>首年采购需求量</w:t>
      </w:r>
    </w:p>
    <w:tbl>
      <w:tblPr>
        <w:tblStyle w:val="7"/>
        <w:tblW w:w="4952" w:type="pct"/>
        <w:tblInd w:w="60" w:type="dxa"/>
        <w:tblLayout w:type="autofit"/>
        <w:tblCellMar>
          <w:top w:w="0" w:type="dxa"/>
          <w:left w:w="28" w:type="dxa"/>
          <w:bottom w:w="0" w:type="dxa"/>
          <w:right w:w="28" w:type="dxa"/>
        </w:tblCellMar>
      </w:tblPr>
      <w:tblGrid>
        <w:gridCol w:w="1935"/>
        <w:gridCol w:w="5049"/>
        <w:gridCol w:w="3560"/>
        <w:gridCol w:w="3335"/>
      </w:tblGrid>
      <w:tr>
        <w:tblPrEx>
          <w:tblCellMar>
            <w:top w:w="0" w:type="dxa"/>
            <w:left w:w="28" w:type="dxa"/>
            <w:bottom w:w="0" w:type="dxa"/>
            <w:right w:w="28" w:type="dxa"/>
          </w:tblCellMar>
        </w:tblPrEx>
        <w:trPr>
          <w:cantSplit/>
          <w:trHeight w:val="288" w:hRule="atLeast"/>
          <w:tblHeader/>
        </w:trPr>
        <w:tc>
          <w:tcPr>
            <w:tcW w:w="697" w:type="pct"/>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b/>
                <w:color w:val="auto"/>
                <w:kern w:val="0"/>
                <w:sz w:val="24"/>
              </w:rPr>
            </w:pPr>
            <w:r>
              <w:rPr>
                <w:rFonts w:hint="eastAsia" w:ascii="宋体" w:hAnsi="宋体" w:cs="宋体"/>
                <w:b/>
                <w:color w:val="auto"/>
                <w:kern w:val="0"/>
                <w:sz w:val="24"/>
              </w:rPr>
              <w:t>序号</w:t>
            </w:r>
          </w:p>
        </w:tc>
        <w:tc>
          <w:tcPr>
            <w:tcW w:w="1818" w:type="pct"/>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b/>
                <w:color w:val="auto"/>
                <w:kern w:val="0"/>
                <w:sz w:val="24"/>
              </w:rPr>
            </w:pPr>
            <w:r>
              <w:rPr>
                <w:rFonts w:hint="eastAsia" w:ascii="宋体" w:hAnsi="宋体" w:cs="宋体"/>
                <w:b/>
                <w:color w:val="auto"/>
                <w:kern w:val="0"/>
                <w:sz w:val="24"/>
              </w:rPr>
              <w:t>品种</w:t>
            </w:r>
          </w:p>
        </w:tc>
        <w:tc>
          <w:tcPr>
            <w:tcW w:w="2483" w:type="pct"/>
            <w:gridSpan w:val="2"/>
            <w:tcBorders>
              <w:top w:val="single" w:color="auto" w:sz="4" w:space="0"/>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b/>
                <w:color w:val="auto"/>
                <w:kern w:val="0"/>
                <w:sz w:val="24"/>
              </w:rPr>
            </w:pPr>
            <w:r>
              <w:rPr>
                <w:rFonts w:hint="eastAsia" w:ascii="宋体" w:hAnsi="宋体" w:cs="宋体"/>
                <w:b/>
                <w:color w:val="auto"/>
                <w:kern w:val="0"/>
                <w:sz w:val="24"/>
              </w:rPr>
              <w:t>首年采购需求量</w:t>
            </w:r>
          </w:p>
        </w:tc>
      </w:tr>
      <w:tr>
        <w:tblPrEx>
          <w:tblCellMar>
            <w:top w:w="0" w:type="dxa"/>
            <w:left w:w="28" w:type="dxa"/>
            <w:bottom w:w="0" w:type="dxa"/>
            <w:right w:w="28" w:type="dxa"/>
          </w:tblCellMar>
        </w:tblPrEx>
        <w:trPr>
          <w:cantSplit/>
          <w:trHeight w:val="288" w:hRule="atLeast"/>
          <w:tblHeader/>
        </w:trPr>
        <w:tc>
          <w:tcPr>
            <w:tcW w:w="697"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b/>
                <w:color w:val="auto"/>
                <w:kern w:val="0"/>
                <w:sz w:val="24"/>
              </w:rPr>
            </w:pPr>
          </w:p>
        </w:tc>
        <w:tc>
          <w:tcPr>
            <w:tcW w:w="1818"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b/>
                <w:color w:val="auto"/>
                <w:kern w:val="0"/>
                <w:sz w:val="24"/>
              </w:rPr>
            </w:pPr>
          </w:p>
        </w:tc>
        <w:tc>
          <w:tcPr>
            <w:tcW w:w="1282"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b/>
                <w:color w:val="auto"/>
                <w:kern w:val="0"/>
                <w:sz w:val="24"/>
              </w:rPr>
            </w:pPr>
            <w:r>
              <w:rPr>
                <w:rFonts w:hint="eastAsia" w:ascii="宋体" w:hAnsi="宋体" w:cs="宋体"/>
                <w:b/>
                <w:color w:val="auto"/>
                <w:kern w:val="0"/>
                <w:sz w:val="24"/>
              </w:rPr>
              <w:t>ml</w:t>
            </w:r>
          </w:p>
        </w:tc>
        <w:tc>
          <w:tcPr>
            <w:tcW w:w="1201"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b/>
                <w:color w:val="auto"/>
                <w:kern w:val="0"/>
                <w:sz w:val="24"/>
              </w:rPr>
            </w:pPr>
            <w:r>
              <w:rPr>
                <w:rFonts w:hint="eastAsia" w:ascii="宋体" w:hAnsi="宋体" w:cs="宋体"/>
                <w:b/>
                <w:color w:val="auto"/>
                <w:kern w:val="0"/>
                <w:sz w:val="24"/>
              </w:rPr>
              <w:t>测试</w:t>
            </w:r>
          </w:p>
        </w:tc>
      </w:tr>
      <w:tr>
        <w:tblPrEx>
          <w:tblCellMar>
            <w:top w:w="0" w:type="dxa"/>
            <w:left w:w="28" w:type="dxa"/>
            <w:bottom w:w="0" w:type="dxa"/>
            <w:right w:w="28" w:type="dxa"/>
          </w:tblCellMar>
        </w:tblPrEx>
        <w:trPr>
          <w:trHeight w:val="288" w:hRule="atLeast"/>
        </w:trPr>
        <w:tc>
          <w:tcPr>
            <w:tcW w:w="697" w:type="pct"/>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1</w:t>
            </w:r>
          </w:p>
        </w:tc>
        <w:tc>
          <w:tcPr>
            <w:tcW w:w="1818"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p>
        </w:tc>
        <w:tc>
          <w:tcPr>
            <w:tcW w:w="1282"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c>
          <w:tcPr>
            <w:tcW w:w="1201"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r>
      <w:tr>
        <w:tblPrEx>
          <w:tblCellMar>
            <w:top w:w="0" w:type="dxa"/>
            <w:left w:w="28" w:type="dxa"/>
            <w:bottom w:w="0" w:type="dxa"/>
            <w:right w:w="28" w:type="dxa"/>
          </w:tblCellMar>
        </w:tblPrEx>
        <w:trPr>
          <w:trHeight w:val="288" w:hRule="atLeast"/>
        </w:trPr>
        <w:tc>
          <w:tcPr>
            <w:tcW w:w="697" w:type="pct"/>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2</w:t>
            </w:r>
          </w:p>
        </w:tc>
        <w:tc>
          <w:tcPr>
            <w:tcW w:w="1818"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p>
        </w:tc>
        <w:tc>
          <w:tcPr>
            <w:tcW w:w="1282"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c>
          <w:tcPr>
            <w:tcW w:w="1201"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r>
      <w:tr>
        <w:tblPrEx>
          <w:tblCellMar>
            <w:top w:w="0" w:type="dxa"/>
            <w:left w:w="28" w:type="dxa"/>
            <w:bottom w:w="0" w:type="dxa"/>
            <w:right w:w="28" w:type="dxa"/>
          </w:tblCellMar>
        </w:tblPrEx>
        <w:trPr>
          <w:trHeight w:val="288" w:hRule="atLeast"/>
        </w:trPr>
        <w:tc>
          <w:tcPr>
            <w:tcW w:w="697" w:type="pct"/>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3</w:t>
            </w:r>
          </w:p>
        </w:tc>
        <w:tc>
          <w:tcPr>
            <w:tcW w:w="1818"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p>
        </w:tc>
        <w:tc>
          <w:tcPr>
            <w:tcW w:w="1282"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c>
          <w:tcPr>
            <w:tcW w:w="1201"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r>
      <w:tr>
        <w:tblPrEx>
          <w:tblCellMar>
            <w:top w:w="0" w:type="dxa"/>
            <w:left w:w="28" w:type="dxa"/>
            <w:bottom w:w="0" w:type="dxa"/>
            <w:right w:w="28" w:type="dxa"/>
          </w:tblCellMar>
        </w:tblPrEx>
        <w:trPr>
          <w:trHeight w:val="288" w:hRule="atLeast"/>
        </w:trPr>
        <w:tc>
          <w:tcPr>
            <w:tcW w:w="697" w:type="pct"/>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4</w:t>
            </w:r>
          </w:p>
        </w:tc>
        <w:tc>
          <w:tcPr>
            <w:tcW w:w="1818"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p>
        </w:tc>
        <w:tc>
          <w:tcPr>
            <w:tcW w:w="1282"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c>
          <w:tcPr>
            <w:tcW w:w="1201"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r>
      <w:tr>
        <w:tblPrEx>
          <w:tblCellMar>
            <w:top w:w="0" w:type="dxa"/>
            <w:left w:w="28" w:type="dxa"/>
            <w:bottom w:w="0" w:type="dxa"/>
            <w:right w:w="28" w:type="dxa"/>
          </w:tblCellMar>
        </w:tblPrEx>
        <w:trPr>
          <w:trHeight w:val="288" w:hRule="atLeast"/>
        </w:trPr>
        <w:tc>
          <w:tcPr>
            <w:tcW w:w="697" w:type="pct"/>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5</w:t>
            </w:r>
          </w:p>
        </w:tc>
        <w:tc>
          <w:tcPr>
            <w:tcW w:w="1818"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p>
        </w:tc>
        <w:tc>
          <w:tcPr>
            <w:tcW w:w="1282"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c>
          <w:tcPr>
            <w:tcW w:w="1201"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r>
      <w:tr>
        <w:tblPrEx>
          <w:tblCellMar>
            <w:top w:w="0" w:type="dxa"/>
            <w:left w:w="28" w:type="dxa"/>
            <w:bottom w:w="0" w:type="dxa"/>
            <w:right w:w="28" w:type="dxa"/>
          </w:tblCellMar>
        </w:tblPrEx>
        <w:trPr>
          <w:trHeight w:val="288" w:hRule="atLeast"/>
        </w:trPr>
        <w:tc>
          <w:tcPr>
            <w:tcW w:w="697" w:type="pct"/>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6</w:t>
            </w:r>
          </w:p>
        </w:tc>
        <w:tc>
          <w:tcPr>
            <w:tcW w:w="1818"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p>
        </w:tc>
        <w:tc>
          <w:tcPr>
            <w:tcW w:w="1282"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c>
          <w:tcPr>
            <w:tcW w:w="1201"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r>
      <w:tr>
        <w:tblPrEx>
          <w:tblCellMar>
            <w:top w:w="0" w:type="dxa"/>
            <w:left w:w="28" w:type="dxa"/>
            <w:bottom w:w="0" w:type="dxa"/>
            <w:right w:w="28" w:type="dxa"/>
          </w:tblCellMar>
        </w:tblPrEx>
        <w:trPr>
          <w:trHeight w:val="288" w:hRule="atLeast"/>
        </w:trPr>
        <w:tc>
          <w:tcPr>
            <w:tcW w:w="697" w:type="pct"/>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7</w:t>
            </w:r>
          </w:p>
        </w:tc>
        <w:tc>
          <w:tcPr>
            <w:tcW w:w="1818"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p>
        </w:tc>
        <w:tc>
          <w:tcPr>
            <w:tcW w:w="1282"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c>
          <w:tcPr>
            <w:tcW w:w="1201"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r>
      <w:tr>
        <w:tblPrEx>
          <w:tblCellMar>
            <w:top w:w="0" w:type="dxa"/>
            <w:left w:w="28" w:type="dxa"/>
            <w:bottom w:w="0" w:type="dxa"/>
            <w:right w:w="28" w:type="dxa"/>
          </w:tblCellMar>
        </w:tblPrEx>
        <w:trPr>
          <w:trHeight w:val="288" w:hRule="atLeast"/>
        </w:trPr>
        <w:tc>
          <w:tcPr>
            <w:tcW w:w="697" w:type="pct"/>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8</w:t>
            </w:r>
          </w:p>
        </w:tc>
        <w:tc>
          <w:tcPr>
            <w:tcW w:w="1818"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p>
        </w:tc>
        <w:tc>
          <w:tcPr>
            <w:tcW w:w="1282"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c>
          <w:tcPr>
            <w:tcW w:w="1201"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r>
      <w:tr>
        <w:tblPrEx>
          <w:tblCellMar>
            <w:top w:w="0" w:type="dxa"/>
            <w:left w:w="28" w:type="dxa"/>
            <w:bottom w:w="0" w:type="dxa"/>
            <w:right w:w="28" w:type="dxa"/>
          </w:tblCellMar>
        </w:tblPrEx>
        <w:trPr>
          <w:trHeight w:val="288" w:hRule="atLeast"/>
        </w:trPr>
        <w:tc>
          <w:tcPr>
            <w:tcW w:w="697" w:type="pct"/>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9</w:t>
            </w:r>
          </w:p>
        </w:tc>
        <w:tc>
          <w:tcPr>
            <w:tcW w:w="1818"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p>
        </w:tc>
        <w:tc>
          <w:tcPr>
            <w:tcW w:w="1282"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c>
          <w:tcPr>
            <w:tcW w:w="1201"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r>
      <w:tr>
        <w:tblPrEx>
          <w:tblCellMar>
            <w:top w:w="0" w:type="dxa"/>
            <w:left w:w="28" w:type="dxa"/>
            <w:bottom w:w="0" w:type="dxa"/>
            <w:right w:w="28" w:type="dxa"/>
          </w:tblCellMar>
        </w:tblPrEx>
        <w:trPr>
          <w:trHeight w:val="288" w:hRule="atLeast"/>
        </w:trPr>
        <w:tc>
          <w:tcPr>
            <w:tcW w:w="697" w:type="pct"/>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10</w:t>
            </w:r>
          </w:p>
        </w:tc>
        <w:tc>
          <w:tcPr>
            <w:tcW w:w="1818"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p>
        </w:tc>
        <w:tc>
          <w:tcPr>
            <w:tcW w:w="1282"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c>
          <w:tcPr>
            <w:tcW w:w="1201"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r>
      <w:tr>
        <w:tblPrEx>
          <w:tblCellMar>
            <w:top w:w="0" w:type="dxa"/>
            <w:left w:w="28" w:type="dxa"/>
            <w:bottom w:w="0" w:type="dxa"/>
            <w:right w:w="28" w:type="dxa"/>
          </w:tblCellMar>
        </w:tblPrEx>
        <w:trPr>
          <w:trHeight w:val="288" w:hRule="atLeast"/>
        </w:trPr>
        <w:tc>
          <w:tcPr>
            <w:tcW w:w="697" w:type="pct"/>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11</w:t>
            </w:r>
          </w:p>
        </w:tc>
        <w:tc>
          <w:tcPr>
            <w:tcW w:w="1818"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p>
        </w:tc>
        <w:tc>
          <w:tcPr>
            <w:tcW w:w="1282"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c>
          <w:tcPr>
            <w:tcW w:w="1201"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r>
      <w:tr>
        <w:tblPrEx>
          <w:tblCellMar>
            <w:top w:w="0" w:type="dxa"/>
            <w:left w:w="28" w:type="dxa"/>
            <w:bottom w:w="0" w:type="dxa"/>
            <w:right w:w="28" w:type="dxa"/>
          </w:tblCellMar>
        </w:tblPrEx>
        <w:trPr>
          <w:trHeight w:val="288" w:hRule="atLeast"/>
        </w:trPr>
        <w:tc>
          <w:tcPr>
            <w:tcW w:w="697" w:type="pct"/>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12</w:t>
            </w:r>
          </w:p>
        </w:tc>
        <w:tc>
          <w:tcPr>
            <w:tcW w:w="1818"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p>
        </w:tc>
        <w:tc>
          <w:tcPr>
            <w:tcW w:w="1282"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c>
          <w:tcPr>
            <w:tcW w:w="1201"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r>
      <w:tr>
        <w:tblPrEx>
          <w:tblCellMar>
            <w:top w:w="0" w:type="dxa"/>
            <w:left w:w="28" w:type="dxa"/>
            <w:bottom w:w="0" w:type="dxa"/>
            <w:right w:w="28" w:type="dxa"/>
          </w:tblCellMar>
        </w:tblPrEx>
        <w:trPr>
          <w:trHeight w:val="288" w:hRule="atLeast"/>
        </w:trPr>
        <w:tc>
          <w:tcPr>
            <w:tcW w:w="697" w:type="pct"/>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13</w:t>
            </w:r>
          </w:p>
        </w:tc>
        <w:tc>
          <w:tcPr>
            <w:tcW w:w="1818"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p>
        </w:tc>
        <w:tc>
          <w:tcPr>
            <w:tcW w:w="1282"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c>
          <w:tcPr>
            <w:tcW w:w="1201"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r>
      <w:tr>
        <w:tblPrEx>
          <w:tblCellMar>
            <w:top w:w="0" w:type="dxa"/>
            <w:left w:w="28" w:type="dxa"/>
            <w:bottom w:w="0" w:type="dxa"/>
            <w:right w:w="28" w:type="dxa"/>
          </w:tblCellMar>
        </w:tblPrEx>
        <w:trPr>
          <w:trHeight w:val="288" w:hRule="atLeast"/>
        </w:trPr>
        <w:tc>
          <w:tcPr>
            <w:tcW w:w="697" w:type="pct"/>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14</w:t>
            </w:r>
          </w:p>
        </w:tc>
        <w:tc>
          <w:tcPr>
            <w:tcW w:w="1818"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p>
        </w:tc>
        <w:tc>
          <w:tcPr>
            <w:tcW w:w="1282"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c>
          <w:tcPr>
            <w:tcW w:w="1201"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r>
      <w:tr>
        <w:tblPrEx>
          <w:tblCellMar>
            <w:top w:w="0" w:type="dxa"/>
            <w:left w:w="28" w:type="dxa"/>
            <w:bottom w:w="0" w:type="dxa"/>
            <w:right w:w="28" w:type="dxa"/>
          </w:tblCellMar>
        </w:tblPrEx>
        <w:trPr>
          <w:trHeight w:val="288" w:hRule="atLeast"/>
        </w:trPr>
        <w:tc>
          <w:tcPr>
            <w:tcW w:w="697" w:type="pct"/>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15</w:t>
            </w:r>
          </w:p>
        </w:tc>
        <w:tc>
          <w:tcPr>
            <w:tcW w:w="1818"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p>
        </w:tc>
        <w:tc>
          <w:tcPr>
            <w:tcW w:w="1282"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c>
          <w:tcPr>
            <w:tcW w:w="1201"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r>
      <w:tr>
        <w:tblPrEx>
          <w:tblCellMar>
            <w:top w:w="0" w:type="dxa"/>
            <w:left w:w="28" w:type="dxa"/>
            <w:bottom w:w="0" w:type="dxa"/>
            <w:right w:w="28" w:type="dxa"/>
          </w:tblCellMar>
        </w:tblPrEx>
        <w:trPr>
          <w:trHeight w:val="288" w:hRule="atLeast"/>
        </w:trPr>
        <w:tc>
          <w:tcPr>
            <w:tcW w:w="697" w:type="pct"/>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16</w:t>
            </w:r>
          </w:p>
        </w:tc>
        <w:tc>
          <w:tcPr>
            <w:tcW w:w="1818"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p>
        </w:tc>
        <w:tc>
          <w:tcPr>
            <w:tcW w:w="1282"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c>
          <w:tcPr>
            <w:tcW w:w="1201"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r>
      <w:tr>
        <w:tblPrEx>
          <w:tblCellMar>
            <w:top w:w="0" w:type="dxa"/>
            <w:left w:w="28" w:type="dxa"/>
            <w:bottom w:w="0" w:type="dxa"/>
            <w:right w:w="28" w:type="dxa"/>
          </w:tblCellMar>
        </w:tblPrEx>
        <w:trPr>
          <w:trHeight w:val="288" w:hRule="atLeast"/>
        </w:trPr>
        <w:tc>
          <w:tcPr>
            <w:tcW w:w="697" w:type="pct"/>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17</w:t>
            </w:r>
          </w:p>
        </w:tc>
        <w:tc>
          <w:tcPr>
            <w:tcW w:w="1818"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p>
        </w:tc>
        <w:tc>
          <w:tcPr>
            <w:tcW w:w="1282"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c>
          <w:tcPr>
            <w:tcW w:w="1201"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r>
      <w:tr>
        <w:tblPrEx>
          <w:tblCellMar>
            <w:top w:w="0" w:type="dxa"/>
            <w:left w:w="28" w:type="dxa"/>
            <w:bottom w:w="0" w:type="dxa"/>
            <w:right w:w="28" w:type="dxa"/>
          </w:tblCellMar>
        </w:tblPrEx>
        <w:trPr>
          <w:trHeight w:val="288" w:hRule="atLeast"/>
        </w:trPr>
        <w:tc>
          <w:tcPr>
            <w:tcW w:w="697" w:type="pct"/>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18</w:t>
            </w:r>
          </w:p>
        </w:tc>
        <w:tc>
          <w:tcPr>
            <w:tcW w:w="1818"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p>
        </w:tc>
        <w:tc>
          <w:tcPr>
            <w:tcW w:w="1282"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c>
          <w:tcPr>
            <w:tcW w:w="1201"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r>
      <w:tr>
        <w:tblPrEx>
          <w:tblCellMar>
            <w:top w:w="0" w:type="dxa"/>
            <w:left w:w="28" w:type="dxa"/>
            <w:bottom w:w="0" w:type="dxa"/>
            <w:right w:w="28" w:type="dxa"/>
          </w:tblCellMar>
        </w:tblPrEx>
        <w:trPr>
          <w:trHeight w:val="288" w:hRule="atLeast"/>
        </w:trPr>
        <w:tc>
          <w:tcPr>
            <w:tcW w:w="697" w:type="pct"/>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19</w:t>
            </w:r>
          </w:p>
        </w:tc>
        <w:tc>
          <w:tcPr>
            <w:tcW w:w="1818"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p>
        </w:tc>
        <w:tc>
          <w:tcPr>
            <w:tcW w:w="1282"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c>
          <w:tcPr>
            <w:tcW w:w="1201"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r>
      <w:tr>
        <w:tblPrEx>
          <w:tblCellMar>
            <w:top w:w="0" w:type="dxa"/>
            <w:left w:w="28" w:type="dxa"/>
            <w:bottom w:w="0" w:type="dxa"/>
            <w:right w:w="28" w:type="dxa"/>
          </w:tblCellMar>
        </w:tblPrEx>
        <w:trPr>
          <w:trHeight w:val="288" w:hRule="atLeast"/>
        </w:trPr>
        <w:tc>
          <w:tcPr>
            <w:tcW w:w="697" w:type="pct"/>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20</w:t>
            </w:r>
          </w:p>
        </w:tc>
        <w:tc>
          <w:tcPr>
            <w:tcW w:w="1818"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p>
        </w:tc>
        <w:tc>
          <w:tcPr>
            <w:tcW w:w="1282"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c>
          <w:tcPr>
            <w:tcW w:w="1201"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r>
      <w:tr>
        <w:tblPrEx>
          <w:tblCellMar>
            <w:top w:w="0" w:type="dxa"/>
            <w:left w:w="28" w:type="dxa"/>
            <w:bottom w:w="0" w:type="dxa"/>
            <w:right w:w="28" w:type="dxa"/>
          </w:tblCellMar>
        </w:tblPrEx>
        <w:trPr>
          <w:trHeight w:val="288" w:hRule="atLeast"/>
        </w:trPr>
        <w:tc>
          <w:tcPr>
            <w:tcW w:w="697" w:type="pct"/>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21</w:t>
            </w:r>
          </w:p>
        </w:tc>
        <w:tc>
          <w:tcPr>
            <w:tcW w:w="1818"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p>
        </w:tc>
        <w:tc>
          <w:tcPr>
            <w:tcW w:w="1282"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c>
          <w:tcPr>
            <w:tcW w:w="1201"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r>
      <w:tr>
        <w:tblPrEx>
          <w:tblCellMar>
            <w:top w:w="0" w:type="dxa"/>
            <w:left w:w="28" w:type="dxa"/>
            <w:bottom w:w="0" w:type="dxa"/>
            <w:right w:w="28" w:type="dxa"/>
          </w:tblCellMar>
        </w:tblPrEx>
        <w:trPr>
          <w:trHeight w:val="288" w:hRule="atLeast"/>
        </w:trPr>
        <w:tc>
          <w:tcPr>
            <w:tcW w:w="697" w:type="pct"/>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22</w:t>
            </w:r>
          </w:p>
        </w:tc>
        <w:tc>
          <w:tcPr>
            <w:tcW w:w="1818"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p>
        </w:tc>
        <w:tc>
          <w:tcPr>
            <w:tcW w:w="1282"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c>
          <w:tcPr>
            <w:tcW w:w="1201"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r>
      <w:tr>
        <w:tblPrEx>
          <w:tblCellMar>
            <w:top w:w="0" w:type="dxa"/>
            <w:left w:w="28" w:type="dxa"/>
            <w:bottom w:w="0" w:type="dxa"/>
            <w:right w:w="28" w:type="dxa"/>
          </w:tblCellMar>
        </w:tblPrEx>
        <w:trPr>
          <w:trHeight w:val="288" w:hRule="atLeast"/>
        </w:trPr>
        <w:tc>
          <w:tcPr>
            <w:tcW w:w="697" w:type="pct"/>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23</w:t>
            </w:r>
          </w:p>
        </w:tc>
        <w:tc>
          <w:tcPr>
            <w:tcW w:w="1818"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p>
        </w:tc>
        <w:tc>
          <w:tcPr>
            <w:tcW w:w="1282"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c>
          <w:tcPr>
            <w:tcW w:w="1201"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r>
      <w:tr>
        <w:tblPrEx>
          <w:tblCellMar>
            <w:top w:w="0" w:type="dxa"/>
            <w:left w:w="28" w:type="dxa"/>
            <w:bottom w:w="0" w:type="dxa"/>
            <w:right w:w="28" w:type="dxa"/>
          </w:tblCellMar>
        </w:tblPrEx>
        <w:trPr>
          <w:trHeight w:val="288" w:hRule="atLeast"/>
        </w:trPr>
        <w:tc>
          <w:tcPr>
            <w:tcW w:w="697" w:type="pct"/>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24</w:t>
            </w:r>
          </w:p>
        </w:tc>
        <w:tc>
          <w:tcPr>
            <w:tcW w:w="1818"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p>
        </w:tc>
        <w:tc>
          <w:tcPr>
            <w:tcW w:w="1282"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c>
          <w:tcPr>
            <w:tcW w:w="1201"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r>
      <w:tr>
        <w:tblPrEx>
          <w:tblCellMar>
            <w:top w:w="0" w:type="dxa"/>
            <w:left w:w="28" w:type="dxa"/>
            <w:bottom w:w="0" w:type="dxa"/>
            <w:right w:w="28" w:type="dxa"/>
          </w:tblCellMar>
        </w:tblPrEx>
        <w:trPr>
          <w:trHeight w:val="288" w:hRule="atLeast"/>
        </w:trPr>
        <w:tc>
          <w:tcPr>
            <w:tcW w:w="697" w:type="pct"/>
            <w:tcBorders>
              <w:top w:val="nil"/>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25</w:t>
            </w:r>
          </w:p>
        </w:tc>
        <w:tc>
          <w:tcPr>
            <w:tcW w:w="1818"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p>
        </w:tc>
        <w:tc>
          <w:tcPr>
            <w:tcW w:w="1282"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c>
          <w:tcPr>
            <w:tcW w:w="1201" w:type="pct"/>
            <w:tcBorders>
              <w:top w:val="nil"/>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r>
      <w:tr>
        <w:tblPrEx>
          <w:tblCellMar>
            <w:top w:w="0" w:type="dxa"/>
            <w:left w:w="28" w:type="dxa"/>
            <w:bottom w:w="0" w:type="dxa"/>
            <w:right w:w="28" w:type="dxa"/>
          </w:tblCellMar>
        </w:tblPrEx>
        <w:trPr>
          <w:trHeight w:val="288" w:hRule="atLeast"/>
        </w:trPr>
        <w:tc>
          <w:tcPr>
            <w:tcW w:w="697" w:type="pct"/>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26</w:t>
            </w:r>
          </w:p>
        </w:tc>
        <w:tc>
          <w:tcPr>
            <w:tcW w:w="1818" w:type="pct"/>
            <w:tcBorders>
              <w:top w:val="single" w:color="auto" w:sz="4" w:space="0"/>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p>
        </w:tc>
        <w:tc>
          <w:tcPr>
            <w:tcW w:w="1282" w:type="pct"/>
            <w:tcBorders>
              <w:top w:val="single" w:color="auto" w:sz="4" w:space="0"/>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c>
          <w:tcPr>
            <w:tcW w:w="1201" w:type="pct"/>
            <w:tcBorders>
              <w:top w:val="single" w:color="auto" w:sz="4" w:space="0"/>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r>
      <w:tr>
        <w:tblPrEx>
          <w:tblCellMar>
            <w:top w:w="0" w:type="dxa"/>
            <w:left w:w="28" w:type="dxa"/>
            <w:bottom w:w="0" w:type="dxa"/>
            <w:right w:w="28" w:type="dxa"/>
          </w:tblCellMar>
        </w:tblPrEx>
        <w:trPr>
          <w:trHeight w:val="288" w:hRule="atLeast"/>
        </w:trPr>
        <w:tc>
          <w:tcPr>
            <w:tcW w:w="697" w:type="pct"/>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27</w:t>
            </w:r>
          </w:p>
        </w:tc>
        <w:tc>
          <w:tcPr>
            <w:tcW w:w="1818" w:type="pct"/>
            <w:tcBorders>
              <w:top w:val="single" w:color="auto" w:sz="4" w:space="0"/>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p>
        </w:tc>
        <w:tc>
          <w:tcPr>
            <w:tcW w:w="1282" w:type="pct"/>
            <w:tcBorders>
              <w:top w:val="single" w:color="auto" w:sz="4" w:space="0"/>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c>
          <w:tcPr>
            <w:tcW w:w="1201" w:type="pct"/>
            <w:tcBorders>
              <w:top w:val="single" w:color="auto" w:sz="4" w:space="0"/>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r>
      <w:tr>
        <w:tblPrEx>
          <w:tblCellMar>
            <w:top w:w="0" w:type="dxa"/>
            <w:left w:w="28" w:type="dxa"/>
            <w:bottom w:w="0" w:type="dxa"/>
            <w:right w:w="28" w:type="dxa"/>
          </w:tblCellMar>
        </w:tblPrEx>
        <w:trPr>
          <w:trHeight w:val="288" w:hRule="atLeast"/>
        </w:trPr>
        <w:tc>
          <w:tcPr>
            <w:tcW w:w="697" w:type="pct"/>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28</w:t>
            </w:r>
          </w:p>
        </w:tc>
        <w:tc>
          <w:tcPr>
            <w:tcW w:w="1818" w:type="pct"/>
            <w:tcBorders>
              <w:top w:val="single" w:color="auto" w:sz="4" w:space="0"/>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p>
        </w:tc>
        <w:tc>
          <w:tcPr>
            <w:tcW w:w="1282" w:type="pct"/>
            <w:tcBorders>
              <w:top w:val="single" w:color="auto" w:sz="4" w:space="0"/>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c>
          <w:tcPr>
            <w:tcW w:w="1201" w:type="pct"/>
            <w:tcBorders>
              <w:top w:val="single" w:color="auto" w:sz="4" w:space="0"/>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r>
      <w:tr>
        <w:tblPrEx>
          <w:tblCellMar>
            <w:top w:w="0" w:type="dxa"/>
            <w:left w:w="28" w:type="dxa"/>
            <w:bottom w:w="0" w:type="dxa"/>
            <w:right w:w="28" w:type="dxa"/>
          </w:tblCellMar>
        </w:tblPrEx>
        <w:trPr>
          <w:trHeight w:val="288" w:hRule="atLeast"/>
        </w:trPr>
        <w:tc>
          <w:tcPr>
            <w:tcW w:w="697" w:type="pct"/>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r>
              <w:rPr>
                <w:rFonts w:hint="eastAsia" w:ascii="宋体" w:hAnsi="宋体" w:cs="宋体"/>
                <w:color w:val="auto"/>
                <w:kern w:val="0"/>
                <w:sz w:val="28"/>
                <w:szCs w:val="28"/>
              </w:rPr>
              <w:t>29</w:t>
            </w:r>
          </w:p>
        </w:tc>
        <w:tc>
          <w:tcPr>
            <w:tcW w:w="1818" w:type="pct"/>
            <w:tcBorders>
              <w:top w:val="single" w:color="auto" w:sz="4" w:space="0"/>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kern w:val="0"/>
                <w:sz w:val="28"/>
                <w:szCs w:val="28"/>
              </w:rPr>
            </w:pPr>
          </w:p>
        </w:tc>
        <w:tc>
          <w:tcPr>
            <w:tcW w:w="1282" w:type="pct"/>
            <w:tcBorders>
              <w:top w:val="single" w:color="auto" w:sz="4" w:space="0"/>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c>
          <w:tcPr>
            <w:tcW w:w="1201" w:type="pct"/>
            <w:tcBorders>
              <w:top w:val="single" w:color="auto" w:sz="4" w:space="0"/>
              <w:left w:val="nil"/>
              <w:bottom w:val="single" w:color="auto" w:sz="4" w:space="0"/>
              <w:right w:val="single" w:color="auto" w:sz="4" w:space="0"/>
            </w:tcBorders>
            <w:noWrap w:val="0"/>
            <w:vAlign w:val="center"/>
          </w:tcPr>
          <w:p>
            <w:pPr>
              <w:widowControl/>
              <w:spacing w:line="420" w:lineRule="exact"/>
              <w:jc w:val="center"/>
              <w:rPr>
                <w:rFonts w:hint="eastAsia" w:ascii="宋体" w:hAnsi="宋体" w:cs="宋体"/>
                <w:color w:val="auto"/>
                <w:sz w:val="28"/>
                <w:szCs w:val="28"/>
              </w:rPr>
            </w:pPr>
          </w:p>
        </w:tc>
      </w:tr>
    </w:tbl>
    <w:p>
      <w:pPr>
        <w:spacing w:line="600" w:lineRule="exact"/>
        <w:rPr>
          <w:rFonts w:hint="eastAsia"/>
          <w:color w:val="auto"/>
        </w:rPr>
      </w:pPr>
    </w:p>
    <w:p>
      <w:pPr>
        <w:pStyle w:val="4"/>
        <w:spacing w:line="600" w:lineRule="exact"/>
        <w:rPr>
          <w:color w:val="auto"/>
        </w:rPr>
        <w:sectPr>
          <w:pgSz w:w="16838" w:h="11906" w:orient="landscape"/>
          <w:pgMar w:top="1906" w:right="1440" w:bottom="1800" w:left="1440" w:header="851" w:footer="992" w:gutter="0"/>
          <w:cols w:space="720" w:num="1"/>
          <w:docGrid w:type="lines" w:linePitch="312" w:charSpace="0"/>
        </w:sectPr>
      </w:pPr>
    </w:p>
    <w:p>
      <w:pPr>
        <w:spacing w:line="600" w:lineRule="exact"/>
        <w:ind w:firstLine="642" w:firstLineChars="200"/>
        <w:rPr>
          <w:rFonts w:hint="eastAsia" w:ascii="楷体" w:hAnsi="楷体" w:eastAsia="楷体" w:cs="楷体"/>
          <w:b/>
          <w:bCs/>
          <w:color w:val="auto"/>
          <w:kern w:val="0"/>
          <w:sz w:val="32"/>
          <w:szCs w:val="32"/>
          <w:lang w:bidi="ar"/>
        </w:rPr>
      </w:pPr>
      <w:r>
        <w:rPr>
          <w:rFonts w:hint="eastAsia" w:ascii="楷体" w:hAnsi="楷体" w:eastAsia="楷体" w:cs="楷体"/>
          <w:b/>
          <w:bCs/>
          <w:color w:val="auto"/>
          <w:kern w:val="0"/>
          <w:sz w:val="32"/>
          <w:szCs w:val="32"/>
          <w:lang w:bidi="ar"/>
        </w:rPr>
        <w:t>（三）最高有效申报价</w:t>
      </w:r>
    </w:p>
    <w:p>
      <w:pPr>
        <w:spacing w:line="600" w:lineRule="exact"/>
        <w:ind w:firstLine="640" w:firstLineChars="200"/>
        <w:rPr>
          <w:rFonts w:hint="eastAsia" w:ascii="仿宋_GB2312" w:hAnsi="微软雅黑" w:eastAsia="仿宋_GB2312"/>
          <w:color w:val="auto"/>
          <w:sz w:val="32"/>
          <w:szCs w:val="32"/>
        </w:rPr>
      </w:pPr>
      <w:bookmarkStart w:id="2" w:name="_Toc89358209"/>
      <w:r>
        <w:rPr>
          <w:rFonts w:hint="eastAsia" w:ascii="仿宋_GB2312" w:hAnsi="微软雅黑" w:eastAsia="仿宋_GB2312"/>
          <w:color w:val="auto"/>
          <w:sz w:val="32"/>
          <w:szCs w:val="32"/>
        </w:rPr>
        <w:t>以ml和测试为单位，分别制定29个品种的最高有效申报价。</w:t>
      </w:r>
    </w:p>
    <w:tbl>
      <w:tblPr>
        <w:tblStyle w:val="7"/>
        <w:tblW w:w="49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293"/>
        <w:gridCol w:w="1954"/>
        <w:gridCol w:w="2724"/>
        <w:gridCol w:w="2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blHeader/>
          <w:jc w:val="center"/>
        </w:trPr>
        <w:tc>
          <w:tcPr>
            <w:tcW w:w="1293" w:type="dxa"/>
            <w:noWrap w:val="0"/>
            <w:vAlign w:val="center"/>
          </w:tcPr>
          <w:p>
            <w:pPr>
              <w:widowControl/>
              <w:spacing w:line="420" w:lineRule="exact"/>
              <w:jc w:val="center"/>
              <w:rPr>
                <w:rFonts w:hint="eastAsia" w:ascii="宋体" w:hAnsi="宋体" w:cs="宋体"/>
                <w:b/>
                <w:color w:val="auto"/>
                <w:kern w:val="0"/>
                <w:sz w:val="24"/>
              </w:rPr>
            </w:pPr>
            <w:r>
              <w:rPr>
                <w:rFonts w:hint="eastAsia" w:ascii="宋体" w:hAnsi="宋体" w:cs="宋体"/>
                <w:b/>
                <w:color w:val="auto"/>
                <w:kern w:val="0"/>
                <w:sz w:val="24"/>
              </w:rPr>
              <w:t>序号</w:t>
            </w:r>
          </w:p>
        </w:tc>
        <w:tc>
          <w:tcPr>
            <w:tcW w:w="1954" w:type="dxa"/>
            <w:noWrap w:val="0"/>
            <w:vAlign w:val="center"/>
          </w:tcPr>
          <w:p>
            <w:pPr>
              <w:widowControl/>
              <w:spacing w:line="420" w:lineRule="exact"/>
              <w:jc w:val="center"/>
              <w:rPr>
                <w:rFonts w:hint="eastAsia" w:ascii="宋体" w:hAnsi="宋体" w:cs="宋体"/>
                <w:b/>
                <w:color w:val="auto"/>
                <w:kern w:val="0"/>
                <w:sz w:val="24"/>
              </w:rPr>
            </w:pPr>
            <w:r>
              <w:rPr>
                <w:rFonts w:hint="eastAsia" w:ascii="宋体" w:hAnsi="宋体" w:cs="宋体"/>
                <w:b/>
                <w:color w:val="auto"/>
                <w:kern w:val="0"/>
                <w:sz w:val="24"/>
              </w:rPr>
              <w:t>品种</w:t>
            </w:r>
          </w:p>
        </w:tc>
        <w:tc>
          <w:tcPr>
            <w:tcW w:w="2724" w:type="dxa"/>
            <w:noWrap w:val="0"/>
            <w:vAlign w:val="center"/>
          </w:tcPr>
          <w:p>
            <w:pPr>
              <w:widowControl/>
              <w:spacing w:line="420" w:lineRule="exact"/>
              <w:jc w:val="center"/>
              <w:rPr>
                <w:rFonts w:hint="eastAsia" w:ascii="宋体" w:hAnsi="宋体" w:cs="宋体"/>
                <w:b/>
                <w:color w:val="auto"/>
                <w:kern w:val="0"/>
                <w:sz w:val="24"/>
              </w:rPr>
            </w:pPr>
            <w:r>
              <w:rPr>
                <w:rFonts w:hint="eastAsia" w:ascii="宋体" w:hAnsi="宋体" w:cs="宋体"/>
                <w:b/>
                <w:color w:val="auto"/>
                <w:kern w:val="0"/>
                <w:sz w:val="24"/>
              </w:rPr>
              <w:t>最高有效申报价（元/ml）</w:t>
            </w:r>
          </w:p>
        </w:tc>
        <w:tc>
          <w:tcPr>
            <w:tcW w:w="2200" w:type="dxa"/>
            <w:noWrap w:val="0"/>
            <w:vAlign w:val="center"/>
          </w:tcPr>
          <w:p>
            <w:pPr>
              <w:widowControl/>
              <w:spacing w:line="420" w:lineRule="exact"/>
              <w:jc w:val="center"/>
              <w:rPr>
                <w:rFonts w:hint="eastAsia" w:ascii="宋体" w:hAnsi="宋体" w:cs="宋体"/>
                <w:b/>
                <w:color w:val="auto"/>
                <w:kern w:val="0"/>
                <w:sz w:val="24"/>
              </w:rPr>
            </w:pPr>
            <w:r>
              <w:rPr>
                <w:rFonts w:hint="eastAsia" w:ascii="宋体" w:hAnsi="宋体" w:cs="宋体"/>
                <w:b/>
                <w:color w:val="auto"/>
                <w:kern w:val="0"/>
                <w:sz w:val="24"/>
              </w:rPr>
              <w:t>最高有效申报价（元/测试）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293" w:type="dxa"/>
            <w:noWrap w:val="0"/>
            <w:vAlign w:val="top"/>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1</w:t>
            </w:r>
          </w:p>
        </w:tc>
        <w:tc>
          <w:tcPr>
            <w:tcW w:w="1954" w:type="dxa"/>
            <w:noWrap w:val="0"/>
            <w:vAlign w:val="top"/>
          </w:tcPr>
          <w:p>
            <w:pPr>
              <w:widowControl/>
              <w:spacing w:line="420" w:lineRule="exact"/>
              <w:jc w:val="center"/>
              <w:rPr>
                <w:rFonts w:hint="eastAsia" w:ascii="宋体" w:hAnsi="宋体" w:cs="宋体"/>
                <w:color w:val="auto"/>
                <w:kern w:val="0"/>
                <w:sz w:val="24"/>
              </w:rPr>
            </w:pPr>
          </w:p>
        </w:tc>
        <w:tc>
          <w:tcPr>
            <w:tcW w:w="2724" w:type="dxa"/>
            <w:noWrap w:val="0"/>
            <w:vAlign w:val="center"/>
          </w:tcPr>
          <w:p>
            <w:pPr>
              <w:spacing w:line="420" w:lineRule="exact"/>
              <w:jc w:val="center"/>
              <w:rPr>
                <w:rFonts w:hint="eastAsia" w:ascii="宋体" w:hAnsi="宋体" w:cs="宋体"/>
                <w:color w:val="auto"/>
                <w:sz w:val="24"/>
              </w:rPr>
            </w:pPr>
          </w:p>
        </w:tc>
        <w:tc>
          <w:tcPr>
            <w:tcW w:w="2200" w:type="dxa"/>
            <w:noWrap w:val="0"/>
            <w:vAlign w:val="center"/>
          </w:tcPr>
          <w:p>
            <w:pPr>
              <w:spacing w:line="42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293" w:type="dxa"/>
            <w:noWrap w:val="0"/>
            <w:vAlign w:val="top"/>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2</w:t>
            </w:r>
          </w:p>
        </w:tc>
        <w:tc>
          <w:tcPr>
            <w:tcW w:w="1954" w:type="dxa"/>
            <w:noWrap w:val="0"/>
            <w:vAlign w:val="top"/>
          </w:tcPr>
          <w:p>
            <w:pPr>
              <w:widowControl/>
              <w:spacing w:line="420" w:lineRule="exact"/>
              <w:jc w:val="center"/>
              <w:rPr>
                <w:rFonts w:hint="eastAsia" w:ascii="宋体" w:hAnsi="宋体" w:cs="宋体"/>
                <w:color w:val="auto"/>
                <w:kern w:val="0"/>
                <w:sz w:val="24"/>
              </w:rPr>
            </w:pPr>
          </w:p>
        </w:tc>
        <w:tc>
          <w:tcPr>
            <w:tcW w:w="2724" w:type="dxa"/>
            <w:noWrap w:val="0"/>
            <w:vAlign w:val="center"/>
          </w:tcPr>
          <w:p>
            <w:pPr>
              <w:spacing w:line="420" w:lineRule="exact"/>
              <w:jc w:val="center"/>
              <w:rPr>
                <w:rFonts w:hint="eastAsia" w:ascii="宋体" w:hAnsi="宋体" w:cs="宋体"/>
                <w:color w:val="auto"/>
                <w:sz w:val="24"/>
              </w:rPr>
            </w:pPr>
          </w:p>
        </w:tc>
        <w:tc>
          <w:tcPr>
            <w:tcW w:w="2200" w:type="dxa"/>
            <w:noWrap w:val="0"/>
            <w:vAlign w:val="center"/>
          </w:tcPr>
          <w:p>
            <w:pPr>
              <w:spacing w:line="42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293" w:type="dxa"/>
            <w:noWrap w:val="0"/>
            <w:vAlign w:val="top"/>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3</w:t>
            </w:r>
          </w:p>
        </w:tc>
        <w:tc>
          <w:tcPr>
            <w:tcW w:w="1954" w:type="dxa"/>
            <w:noWrap w:val="0"/>
            <w:vAlign w:val="top"/>
          </w:tcPr>
          <w:p>
            <w:pPr>
              <w:widowControl/>
              <w:spacing w:line="420" w:lineRule="exact"/>
              <w:jc w:val="center"/>
              <w:rPr>
                <w:rFonts w:hint="eastAsia" w:ascii="宋体" w:hAnsi="宋体" w:cs="宋体"/>
                <w:color w:val="auto"/>
                <w:kern w:val="0"/>
                <w:sz w:val="24"/>
              </w:rPr>
            </w:pPr>
          </w:p>
        </w:tc>
        <w:tc>
          <w:tcPr>
            <w:tcW w:w="2724" w:type="dxa"/>
            <w:noWrap w:val="0"/>
            <w:vAlign w:val="center"/>
          </w:tcPr>
          <w:p>
            <w:pPr>
              <w:spacing w:line="420" w:lineRule="exact"/>
              <w:jc w:val="center"/>
              <w:rPr>
                <w:rFonts w:hint="eastAsia" w:ascii="宋体" w:hAnsi="宋体" w:cs="宋体"/>
                <w:color w:val="auto"/>
                <w:sz w:val="24"/>
              </w:rPr>
            </w:pPr>
          </w:p>
        </w:tc>
        <w:tc>
          <w:tcPr>
            <w:tcW w:w="2200" w:type="dxa"/>
            <w:noWrap w:val="0"/>
            <w:vAlign w:val="center"/>
          </w:tcPr>
          <w:p>
            <w:pPr>
              <w:spacing w:line="42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293" w:type="dxa"/>
            <w:noWrap w:val="0"/>
            <w:vAlign w:val="top"/>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4</w:t>
            </w:r>
          </w:p>
        </w:tc>
        <w:tc>
          <w:tcPr>
            <w:tcW w:w="1954" w:type="dxa"/>
            <w:noWrap w:val="0"/>
            <w:vAlign w:val="top"/>
          </w:tcPr>
          <w:p>
            <w:pPr>
              <w:widowControl/>
              <w:spacing w:line="420" w:lineRule="exact"/>
              <w:jc w:val="center"/>
              <w:rPr>
                <w:rFonts w:hint="eastAsia" w:ascii="宋体" w:hAnsi="宋体" w:cs="宋体"/>
                <w:color w:val="auto"/>
                <w:kern w:val="0"/>
                <w:sz w:val="24"/>
              </w:rPr>
            </w:pPr>
          </w:p>
        </w:tc>
        <w:tc>
          <w:tcPr>
            <w:tcW w:w="2724" w:type="dxa"/>
            <w:noWrap w:val="0"/>
            <w:vAlign w:val="center"/>
          </w:tcPr>
          <w:p>
            <w:pPr>
              <w:spacing w:line="420" w:lineRule="exact"/>
              <w:jc w:val="center"/>
              <w:rPr>
                <w:rFonts w:hint="eastAsia" w:ascii="宋体" w:hAnsi="宋体" w:cs="宋体"/>
                <w:color w:val="auto"/>
                <w:sz w:val="24"/>
              </w:rPr>
            </w:pPr>
          </w:p>
        </w:tc>
        <w:tc>
          <w:tcPr>
            <w:tcW w:w="2200" w:type="dxa"/>
            <w:noWrap w:val="0"/>
            <w:vAlign w:val="center"/>
          </w:tcPr>
          <w:p>
            <w:pPr>
              <w:spacing w:line="42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293" w:type="dxa"/>
            <w:noWrap w:val="0"/>
            <w:vAlign w:val="top"/>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5</w:t>
            </w:r>
          </w:p>
        </w:tc>
        <w:tc>
          <w:tcPr>
            <w:tcW w:w="1954" w:type="dxa"/>
            <w:noWrap w:val="0"/>
            <w:vAlign w:val="top"/>
          </w:tcPr>
          <w:p>
            <w:pPr>
              <w:widowControl/>
              <w:spacing w:line="420" w:lineRule="exact"/>
              <w:jc w:val="center"/>
              <w:rPr>
                <w:rFonts w:hint="eastAsia" w:ascii="宋体" w:hAnsi="宋体" w:cs="宋体"/>
                <w:color w:val="auto"/>
                <w:kern w:val="0"/>
                <w:sz w:val="24"/>
              </w:rPr>
            </w:pPr>
          </w:p>
        </w:tc>
        <w:tc>
          <w:tcPr>
            <w:tcW w:w="2724" w:type="dxa"/>
            <w:noWrap w:val="0"/>
            <w:vAlign w:val="center"/>
          </w:tcPr>
          <w:p>
            <w:pPr>
              <w:spacing w:line="420" w:lineRule="exact"/>
              <w:jc w:val="center"/>
              <w:rPr>
                <w:rFonts w:hint="eastAsia" w:ascii="宋体" w:hAnsi="宋体" w:cs="宋体"/>
                <w:color w:val="auto"/>
                <w:sz w:val="24"/>
              </w:rPr>
            </w:pPr>
          </w:p>
        </w:tc>
        <w:tc>
          <w:tcPr>
            <w:tcW w:w="2200" w:type="dxa"/>
            <w:noWrap w:val="0"/>
            <w:vAlign w:val="center"/>
          </w:tcPr>
          <w:p>
            <w:pPr>
              <w:spacing w:line="42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293" w:type="dxa"/>
            <w:noWrap w:val="0"/>
            <w:vAlign w:val="top"/>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6</w:t>
            </w:r>
          </w:p>
        </w:tc>
        <w:tc>
          <w:tcPr>
            <w:tcW w:w="1954" w:type="dxa"/>
            <w:noWrap w:val="0"/>
            <w:vAlign w:val="top"/>
          </w:tcPr>
          <w:p>
            <w:pPr>
              <w:widowControl/>
              <w:spacing w:line="420" w:lineRule="exact"/>
              <w:jc w:val="center"/>
              <w:rPr>
                <w:rFonts w:hint="eastAsia" w:ascii="宋体" w:hAnsi="宋体" w:cs="宋体"/>
                <w:color w:val="auto"/>
                <w:kern w:val="0"/>
                <w:sz w:val="24"/>
              </w:rPr>
            </w:pPr>
          </w:p>
        </w:tc>
        <w:tc>
          <w:tcPr>
            <w:tcW w:w="2724" w:type="dxa"/>
            <w:noWrap w:val="0"/>
            <w:vAlign w:val="center"/>
          </w:tcPr>
          <w:p>
            <w:pPr>
              <w:spacing w:line="420" w:lineRule="exact"/>
              <w:jc w:val="center"/>
              <w:rPr>
                <w:rFonts w:hint="eastAsia" w:ascii="宋体" w:hAnsi="宋体" w:cs="宋体"/>
                <w:color w:val="auto"/>
                <w:sz w:val="24"/>
              </w:rPr>
            </w:pPr>
          </w:p>
        </w:tc>
        <w:tc>
          <w:tcPr>
            <w:tcW w:w="2200" w:type="dxa"/>
            <w:noWrap w:val="0"/>
            <w:vAlign w:val="center"/>
          </w:tcPr>
          <w:p>
            <w:pPr>
              <w:spacing w:line="42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293" w:type="dxa"/>
            <w:noWrap w:val="0"/>
            <w:vAlign w:val="top"/>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7</w:t>
            </w:r>
          </w:p>
        </w:tc>
        <w:tc>
          <w:tcPr>
            <w:tcW w:w="1954" w:type="dxa"/>
            <w:noWrap w:val="0"/>
            <w:vAlign w:val="top"/>
          </w:tcPr>
          <w:p>
            <w:pPr>
              <w:widowControl/>
              <w:spacing w:line="420" w:lineRule="exact"/>
              <w:jc w:val="center"/>
              <w:rPr>
                <w:rFonts w:hint="eastAsia" w:ascii="宋体" w:hAnsi="宋体" w:cs="宋体"/>
                <w:color w:val="auto"/>
                <w:kern w:val="0"/>
                <w:sz w:val="24"/>
              </w:rPr>
            </w:pPr>
          </w:p>
        </w:tc>
        <w:tc>
          <w:tcPr>
            <w:tcW w:w="2724" w:type="dxa"/>
            <w:noWrap w:val="0"/>
            <w:vAlign w:val="center"/>
          </w:tcPr>
          <w:p>
            <w:pPr>
              <w:spacing w:line="420" w:lineRule="exact"/>
              <w:jc w:val="center"/>
              <w:rPr>
                <w:rFonts w:hint="eastAsia" w:ascii="宋体" w:hAnsi="宋体" w:cs="宋体"/>
                <w:color w:val="auto"/>
                <w:sz w:val="24"/>
              </w:rPr>
            </w:pPr>
          </w:p>
        </w:tc>
        <w:tc>
          <w:tcPr>
            <w:tcW w:w="2200" w:type="dxa"/>
            <w:noWrap w:val="0"/>
            <w:vAlign w:val="center"/>
          </w:tcPr>
          <w:p>
            <w:pPr>
              <w:spacing w:line="42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293" w:type="dxa"/>
            <w:noWrap w:val="0"/>
            <w:vAlign w:val="top"/>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8</w:t>
            </w:r>
          </w:p>
        </w:tc>
        <w:tc>
          <w:tcPr>
            <w:tcW w:w="1954" w:type="dxa"/>
            <w:noWrap w:val="0"/>
            <w:vAlign w:val="top"/>
          </w:tcPr>
          <w:p>
            <w:pPr>
              <w:widowControl/>
              <w:spacing w:line="420" w:lineRule="exact"/>
              <w:jc w:val="center"/>
              <w:rPr>
                <w:rFonts w:hint="eastAsia" w:ascii="宋体" w:hAnsi="宋体" w:cs="宋体"/>
                <w:color w:val="auto"/>
                <w:kern w:val="0"/>
                <w:sz w:val="24"/>
              </w:rPr>
            </w:pPr>
          </w:p>
        </w:tc>
        <w:tc>
          <w:tcPr>
            <w:tcW w:w="2724" w:type="dxa"/>
            <w:noWrap w:val="0"/>
            <w:vAlign w:val="center"/>
          </w:tcPr>
          <w:p>
            <w:pPr>
              <w:spacing w:line="420" w:lineRule="exact"/>
              <w:jc w:val="center"/>
              <w:rPr>
                <w:rFonts w:hint="eastAsia" w:ascii="宋体" w:hAnsi="宋体" w:cs="宋体"/>
                <w:color w:val="auto"/>
                <w:sz w:val="24"/>
              </w:rPr>
            </w:pPr>
          </w:p>
        </w:tc>
        <w:tc>
          <w:tcPr>
            <w:tcW w:w="2200" w:type="dxa"/>
            <w:noWrap w:val="0"/>
            <w:vAlign w:val="center"/>
          </w:tcPr>
          <w:p>
            <w:pPr>
              <w:spacing w:line="42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293" w:type="dxa"/>
            <w:noWrap w:val="0"/>
            <w:vAlign w:val="top"/>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9</w:t>
            </w:r>
          </w:p>
        </w:tc>
        <w:tc>
          <w:tcPr>
            <w:tcW w:w="1954" w:type="dxa"/>
            <w:noWrap w:val="0"/>
            <w:vAlign w:val="top"/>
          </w:tcPr>
          <w:p>
            <w:pPr>
              <w:widowControl/>
              <w:spacing w:line="420" w:lineRule="exact"/>
              <w:jc w:val="center"/>
              <w:rPr>
                <w:rFonts w:hint="eastAsia" w:ascii="宋体" w:hAnsi="宋体" w:cs="宋体"/>
                <w:color w:val="auto"/>
                <w:kern w:val="0"/>
                <w:sz w:val="24"/>
              </w:rPr>
            </w:pPr>
          </w:p>
        </w:tc>
        <w:tc>
          <w:tcPr>
            <w:tcW w:w="2724" w:type="dxa"/>
            <w:noWrap w:val="0"/>
            <w:vAlign w:val="center"/>
          </w:tcPr>
          <w:p>
            <w:pPr>
              <w:spacing w:line="420" w:lineRule="exact"/>
              <w:jc w:val="center"/>
              <w:rPr>
                <w:rFonts w:hint="eastAsia" w:ascii="宋体" w:hAnsi="宋体" w:cs="宋体"/>
                <w:color w:val="auto"/>
                <w:sz w:val="24"/>
              </w:rPr>
            </w:pPr>
          </w:p>
        </w:tc>
        <w:tc>
          <w:tcPr>
            <w:tcW w:w="2200" w:type="dxa"/>
            <w:noWrap w:val="0"/>
            <w:vAlign w:val="center"/>
          </w:tcPr>
          <w:p>
            <w:pPr>
              <w:spacing w:line="42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293" w:type="dxa"/>
            <w:noWrap w:val="0"/>
            <w:vAlign w:val="top"/>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10</w:t>
            </w:r>
          </w:p>
        </w:tc>
        <w:tc>
          <w:tcPr>
            <w:tcW w:w="1954" w:type="dxa"/>
            <w:noWrap w:val="0"/>
            <w:vAlign w:val="top"/>
          </w:tcPr>
          <w:p>
            <w:pPr>
              <w:widowControl/>
              <w:spacing w:line="420" w:lineRule="exact"/>
              <w:jc w:val="center"/>
              <w:rPr>
                <w:rFonts w:hint="eastAsia" w:ascii="宋体" w:hAnsi="宋体" w:cs="宋体"/>
                <w:color w:val="auto"/>
                <w:kern w:val="0"/>
                <w:sz w:val="24"/>
              </w:rPr>
            </w:pPr>
          </w:p>
        </w:tc>
        <w:tc>
          <w:tcPr>
            <w:tcW w:w="2724" w:type="dxa"/>
            <w:noWrap w:val="0"/>
            <w:vAlign w:val="center"/>
          </w:tcPr>
          <w:p>
            <w:pPr>
              <w:spacing w:line="420" w:lineRule="exact"/>
              <w:jc w:val="center"/>
              <w:rPr>
                <w:rFonts w:hint="eastAsia" w:ascii="宋体" w:hAnsi="宋体" w:cs="宋体"/>
                <w:color w:val="auto"/>
                <w:sz w:val="24"/>
              </w:rPr>
            </w:pPr>
          </w:p>
        </w:tc>
        <w:tc>
          <w:tcPr>
            <w:tcW w:w="2200" w:type="dxa"/>
            <w:noWrap w:val="0"/>
            <w:vAlign w:val="center"/>
          </w:tcPr>
          <w:p>
            <w:pPr>
              <w:spacing w:line="42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293" w:type="dxa"/>
            <w:noWrap w:val="0"/>
            <w:vAlign w:val="top"/>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11</w:t>
            </w:r>
          </w:p>
        </w:tc>
        <w:tc>
          <w:tcPr>
            <w:tcW w:w="1954" w:type="dxa"/>
            <w:noWrap w:val="0"/>
            <w:vAlign w:val="top"/>
          </w:tcPr>
          <w:p>
            <w:pPr>
              <w:widowControl/>
              <w:spacing w:line="420" w:lineRule="exact"/>
              <w:jc w:val="center"/>
              <w:rPr>
                <w:rFonts w:hint="eastAsia" w:ascii="宋体" w:hAnsi="宋体" w:cs="宋体"/>
                <w:color w:val="auto"/>
                <w:kern w:val="0"/>
                <w:sz w:val="24"/>
              </w:rPr>
            </w:pPr>
          </w:p>
        </w:tc>
        <w:tc>
          <w:tcPr>
            <w:tcW w:w="2724" w:type="dxa"/>
            <w:noWrap w:val="0"/>
            <w:vAlign w:val="center"/>
          </w:tcPr>
          <w:p>
            <w:pPr>
              <w:spacing w:line="420" w:lineRule="exact"/>
              <w:jc w:val="center"/>
              <w:rPr>
                <w:rFonts w:hint="eastAsia" w:ascii="宋体" w:hAnsi="宋体" w:cs="宋体"/>
                <w:color w:val="auto"/>
                <w:sz w:val="24"/>
              </w:rPr>
            </w:pPr>
          </w:p>
        </w:tc>
        <w:tc>
          <w:tcPr>
            <w:tcW w:w="2200" w:type="dxa"/>
            <w:noWrap w:val="0"/>
            <w:vAlign w:val="center"/>
          </w:tcPr>
          <w:p>
            <w:pPr>
              <w:spacing w:line="42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293" w:type="dxa"/>
            <w:noWrap w:val="0"/>
            <w:vAlign w:val="top"/>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12</w:t>
            </w:r>
          </w:p>
        </w:tc>
        <w:tc>
          <w:tcPr>
            <w:tcW w:w="1954" w:type="dxa"/>
            <w:noWrap w:val="0"/>
            <w:vAlign w:val="top"/>
          </w:tcPr>
          <w:p>
            <w:pPr>
              <w:widowControl/>
              <w:spacing w:line="420" w:lineRule="exact"/>
              <w:jc w:val="center"/>
              <w:rPr>
                <w:rFonts w:hint="eastAsia" w:ascii="宋体" w:hAnsi="宋体" w:cs="宋体"/>
                <w:color w:val="auto"/>
                <w:kern w:val="0"/>
                <w:sz w:val="24"/>
              </w:rPr>
            </w:pPr>
          </w:p>
        </w:tc>
        <w:tc>
          <w:tcPr>
            <w:tcW w:w="2724" w:type="dxa"/>
            <w:noWrap w:val="0"/>
            <w:vAlign w:val="center"/>
          </w:tcPr>
          <w:p>
            <w:pPr>
              <w:spacing w:line="420" w:lineRule="exact"/>
              <w:jc w:val="center"/>
              <w:rPr>
                <w:rFonts w:hint="eastAsia" w:ascii="宋体" w:hAnsi="宋体" w:cs="宋体"/>
                <w:color w:val="auto"/>
                <w:sz w:val="24"/>
              </w:rPr>
            </w:pPr>
          </w:p>
        </w:tc>
        <w:tc>
          <w:tcPr>
            <w:tcW w:w="2200" w:type="dxa"/>
            <w:noWrap w:val="0"/>
            <w:vAlign w:val="center"/>
          </w:tcPr>
          <w:p>
            <w:pPr>
              <w:spacing w:line="42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293" w:type="dxa"/>
            <w:noWrap w:val="0"/>
            <w:vAlign w:val="top"/>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13</w:t>
            </w:r>
          </w:p>
        </w:tc>
        <w:tc>
          <w:tcPr>
            <w:tcW w:w="1954" w:type="dxa"/>
            <w:noWrap w:val="0"/>
            <w:vAlign w:val="top"/>
          </w:tcPr>
          <w:p>
            <w:pPr>
              <w:widowControl/>
              <w:spacing w:line="420" w:lineRule="exact"/>
              <w:jc w:val="center"/>
              <w:rPr>
                <w:rFonts w:hint="eastAsia" w:ascii="宋体" w:hAnsi="宋体" w:cs="宋体"/>
                <w:color w:val="auto"/>
                <w:kern w:val="0"/>
                <w:sz w:val="24"/>
              </w:rPr>
            </w:pPr>
          </w:p>
        </w:tc>
        <w:tc>
          <w:tcPr>
            <w:tcW w:w="2724" w:type="dxa"/>
            <w:noWrap w:val="0"/>
            <w:vAlign w:val="center"/>
          </w:tcPr>
          <w:p>
            <w:pPr>
              <w:spacing w:line="420" w:lineRule="exact"/>
              <w:jc w:val="center"/>
              <w:rPr>
                <w:rFonts w:hint="eastAsia" w:ascii="宋体" w:hAnsi="宋体" w:cs="宋体"/>
                <w:color w:val="auto"/>
                <w:sz w:val="24"/>
              </w:rPr>
            </w:pPr>
          </w:p>
        </w:tc>
        <w:tc>
          <w:tcPr>
            <w:tcW w:w="2200" w:type="dxa"/>
            <w:noWrap w:val="0"/>
            <w:vAlign w:val="center"/>
          </w:tcPr>
          <w:p>
            <w:pPr>
              <w:spacing w:line="42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293" w:type="dxa"/>
            <w:noWrap w:val="0"/>
            <w:vAlign w:val="top"/>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14</w:t>
            </w:r>
          </w:p>
        </w:tc>
        <w:tc>
          <w:tcPr>
            <w:tcW w:w="1954" w:type="dxa"/>
            <w:noWrap w:val="0"/>
            <w:vAlign w:val="top"/>
          </w:tcPr>
          <w:p>
            <w:pPr>
              <w:widowControl/>
              <w:spacing w:line="420" w:lineRule="exact"/>
              <w:jc w:val="center"/>
              <w:rPr>
                <w:rFonts w:hint="eastAsia" w:ascii="宋体" w:hAnsi="宋体" w:cs="宋体"/>
                <w:color w:val="auto"/>
                <w:kern w:val="0"/>
                <w:sz w:val="24"/>
              </w:rPr>
            </w:pPr>
          </w:p>
        </w:tc>
        <w:tc>
          <w:tcPr>
            <w:tcW w:w="2724" w:type="dxa"/>
            <w:noWrap w:val="0"/>
            <w:vAlign w:val="center"/>
          </w:tcPr>
          <w:p>
            <w:pPr>
              <w:spacing w:line="420" w:lineRule="exact"/>
              <w:jc w:val="center"/>
              <w:rPr>
                <w:rFonts w:hint="eastAsia" w:ascii="宋体" w:hAnsi="宋体" w:cs="宋体"/>
                <w:color w:val="auto"/>
                <w:sz w:val="24"/>
              </w:rPr>
            </w:pPr>
          </w:p>
        </w:tc>
        <w:tc>
          <w:tcPr>
            <w:tcW w:w="2200" w:type="dxa"/>
            <w:noWrap w:val="0"/>
            <w:vAlign w:val="center"/>
          </w:tcPr>
          <w:p>
            <w:pPr>
              <w:spacing w:line="42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293" w:type="dxa"/>
            <w:noWrap w:val="0"/>
            <w:vAlign w:val="top"/>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15</w:t>
            </w:r>
          </w:p>
        </w:tc>
        <w:tc>
          <w:tcPr>
            <w:tcW w:w="1954" w:type="dxa"/>
            <w:noWrap w:val="0"/>
            <w:vAlign w:val="top"/>
          </w:tcPr>
          <w:p>
            <w:pPr>
              <w:widowControl/>
              <w:spacing w:line="420" w:lineRule="exact"/>
              <w:jc w:val="center"/>
              <w:rPr>
                <w:rFonts w:hint="eastAsia" w:ascii="宋体" w:hAnsi="宋体" w:cs="宋体"/>
                <w:color w:val="auto"/>
                <w:kern w:val="0"/>
                <w:sz w:val="24"/>
              </w:rPr>
            </w:pPr>
          </w:p>
        </w:tc>
        <w:tc>
          <w:tcPr>
            <w:tcW w:w="2724" w:type="dxa"/>
            <w:noWrap w:val="0"/>
            <w:vAlign w:val="center"/>
          </w:tcPr>
          <w:p>
            <w:pPr>
              <w:spacing w:line="420" w:lineRule="exact"/>
              <w:jc w:val="center"/>
              <w:rPr>
                <w:rFonts w:hint="eastAsia" w:ascii="宋体" w:hAnsi="宋体" w:cs="宋体"/>
                <w:color w:val="auto"/>
                <w:sz w:val="24"/>
              </w:rPr>
            </w:pPr>
          </w:p>
        </w:tc>
        <w:tc>
          <w:tcPr>
            <w:tcW w:w="2200" w:type="dxa"/>
            <w:noWrap w:val="0"/>
            <w:vAlign w:val="center"/>
          </w:tcPr>
          <w:p>
            <w:pPr>
              <w:spacing w:line="42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293" w:type="dxa"/>
            <w:noWrap w:val="0"/>
            <w:vAlign w:val="top"/>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16</w:t>
            </w:r>
          </w:p>
        </w:tc>
        <w:tc>
          <w:tcPr>
            <w:tcW w:w="1954" w:type="dxa"/>
            <w:noWrap w:val="0"/>
            <w:vAlign w:val="top"/>
          </w:tcPr>
          <w:p>
            <w:pPr>
              <w:widowControl/>
              <w:spacing w:line="420" w:lineRule="exact"/>
              <w:jc w:val="center"/>
              <w:rPr>
                <w:rFonts w:hint="eastAsia" w:ascii="宋体" w:hAnsi="宋体" w:cs="宋体"/>
                <w:color w:val="auto"/>
                <w:kern w:val="0"/>
                <w:sz w:val="24"/>
              </w:rPr>
            </w:pPr>
          </w:p>
        </w:tc>
        <w:tc>
          <w:tcPr>
            <w:tcW w:w="2724" w:type="dxa"/>
            <w:noWrap w:val="0"/>
            <w:vAlign w:val="center"/>
          </w:tcPr>
          <w:p>
            <w:pPr>
              <w:spacing w:line="420" w:lineRule="exact"/>
              <w:jc w:val="center"/>
              <w:rPr>
                <w:rFonts w:hint="eastAsia" w:ascii="宋体" w:hAnsi="宋体" w:cs="宋体"/>
                <w:color w:val="auto"/>
                <w:sz w:val="24"/>
              </w:rPr>
            </w:pPr>
          </w:p>
        </w:tc>
        <w:tc>
          <w:tcPr>
            <w:tcW w:w="2200" w:type="dxa"/>
            <w:noWrap w:val="0"/>
            <w:vAlign w:val="center"/>
          </w:tcPr>
          <w:p>
            <w:pPr>
              <w:spacing w:line="42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293" w:type="dxa"/>
            <w:noWrap w:val="0"/>
            <w:vAlign w:val="top"/>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17</w:t>
            </w:r>
          </w:p>
        </w:tc>
        <w:tc>
          <w:tcPr>
            <w:tcW w:w="1954" w:type="dxa"/>
            <w:noWrap w:val="0"/>
            <w:vAlign w:val="top"/>
          </w:tcPr>
          <w:p>
            <w:pPr>
              <w:widowControl/>
              <w:spacing w:line="420" w:lineRule="exact"/>
              <w:jc w:val="center"/>
              <w:rPr>
                <w:rFonts w:hint="eastAsia" w:ascii="宋体" w:hAnsi="宋体" w:cs="宋体"/>
                <w:color w:val="auto"/>
                <w:kern w:val="0"/>
                <w:sz w:val="24"/>
              </w:rPr>
            </w:pPr>
          </w:p>
        </w:tc>
        <w:tc>
          <w:tcPr>
            <w:tcW w:w="2724" w:type="dxa"/>
            <w:noWrap w:val="0"/>
            <w:vAlign w:val="center"/>
          </w:tcPr>
          <w:p>
            <w:pPr>
              <w:spacing w:line="420" w:lineRule="exact"/>
              <w:jc w:val="center"/>
              <w:rPr>
                <w:rFonts w:hint="eastAsia" w:ascii="宋体" w:hAnsi="宋体" w:cs="宋体"/>
                <w:color w:val="auto"/>
                <w:sz w:val="24"/>
              </w:rPr>
            </w:pPr>
          </w:p>
        </w:tc>
        <w:tc>
          <w:tcPr>
            <w:tcW w:w="2200" w:type="dxa"/>
            <w:noWrap w:val="0"/>
            <w:vAlign w:val="center"/>
          </w:tcPr>
          <w:p>
            <w:pPr>
              <w:spacing w:line="42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293" w:type="dxa"/>
            <w:noWrap w:val="0"/>
            <w:vAlign w:val="top"/>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18</w:t>
            </w:r>
          </w:p>
        </w:tc>
        <w:tc>
          <w:tcPr>
            <w:tcW w:w="1954" w:type="dxa"/>
            <w:noWrap w:val="0"/>
            <w:vAlign w:val="top"/>
          </w:tcPr>
          <w:p>
            <w:pPr>
              <w:widowControl/>
              <w:spacing w:line="420" w:lineRule="exact"/>
              <w:jc w:val="center"/>
              <w:rPr>
                <w:rFonts w:hint="eastAsia" w:ascii="宋体" w:hAnsi="宋体" w:cs="宋体"/>
                <w:color w:val="auto"/>
                <w:kern w:val="0"/>
                <w:sz w:val="24"/>
              </w:rPr>
            </w:pPr>
          </w:p>
        </w:tc>
        <w:tc>
          <w:tcPr>
            <w:tcW w:w="2724" w:type="dxa"/>
            <w:noWrap w:val="0"/>
            <w:vAlign w:val="center"/>
          </w:tcPr>
          <w:p>
            <w:pPr>
              <w:spacing w:line="420" w:lineRule="exact"/>
              <w:jc w:val="center"/>
              <w:rPr>
                <w:rFonts w:hint="eastAsia" w:ascii="宋体" w:hAnsi="宋体" w:cs="宋体"/>
                <w:color w:val="auto"/>
                <w:sz w:val="24"/>
              </w:rPr>
            </w:pPr>
          </w:p>
        </w:tc>
        <w:tc>
          <w:tcPr>
            <w:tcW w:w="2200" w:type="dxa"/>
            <w:noWrap w:val="0"/>
            <w:vAlign w:val="center"/>
          </w:tcPr>
          <w:p>
            <w:pPr>
              <w:spacing w:line="42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293" w:type="dxa"/>
            <w:noWrap w:val="0"/>
            <w:vAlign w:val="top"/>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19</w:t>
            </w:r>
          </w:p>
        </w:tc>
        <w:tc>
          <w:tcPr>
            <w:tcW w:w="1954" w:type="dxa"/>
            <w:noWrap w:val="0"/>
            <w:vAlign w:val="top"/>
          </w:tcPr>
          <w:p>
            <w:pPr>
              <w:widowControl/>
              <w:spacing w:line="420" w:lineRule="exact"/>
              <w:jc w:val="center"/>
              <w:rPr>
                <w:rFonts w:hint="eastAsia" w:ascii="宋体" w:hAnsi="宋体" w:cs="宋体"/>
                <w:color w:val="auto"/>
                <w:kern w:val="0"/>
                <w:sz w:val="24"/>
              </w:rPr>
            </w:pPr>
          </w:p>
        </w:tc>
        <w:tc>
          <w:tcPr>
            <w:tcW w:w="2724" w:type="dxa"/>
            <w:noWrap w:val="0"/>
            <w:vAlign w:val="center"/>
          </w:tcPr>
          <w:p>
            <w:pPr>
              <w:spacing w:line="420" w:lineRule="exact"/>
              <w:jc w:val="center"/>
              <w:rPr>
                <w:rFonts w:hint="eastAsia" w:ascii="宋体" w:hAnsi="宋体" w:cs="宋体"/>
                <w:color w:val="auto"/>
                <w:sz w:val="24"/>
              </w:rPr>
            </w:pPr>
          </w:p>
        </w:tc>
        <w:tc>
          <w:tcPr>
            <w:tcW w:w="2200" w:type="dxa"/>
            <w:noWrap w:val="0"/>
            <w:vAlign w:val="center"/>
          </w:tcPr>
          <w:p>
            <w:pPr>
              <w:spacing w:line="42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293" w:type="dxa"/>
            <w:noWrap w:val="0"/>
            <w:vAlign w:val="top"/>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20</w:t>
            </w:r>
          </w:p>
        </w:tc>
        <w:tc>
          <w:tcPr>
            <w:tcW w:w="1954" w:type="dxa"/>
            <w:noWrap w:val="0"/>
            <w:vAlign w:val="top"/>
          </w:tcPr>
          <w:p>
            <w:pPr>
              <w:widowControl/>
              <w:spacing w:line="420" w:lineRule="exact"/>
              <w:jc w:val="center"/>
              <w:rPr>
                <w:rFonts w:hint="eastAsia" w:ascii="宋体" w:hAnsi="宋体" w:cs="宋体"/>
                <w:color w:val="auto"/>
                <w:kern w:val="0"/>
                <w:sz w:val="24"/>
              </w:rPr>
            </w:pPr>
          </w:p>
        </w:tc>
        <w:tc>
          <w:tcPr>
            <w:tcW w:w="2724" w:type="dxa"/>
            <w:noWrap w:val="0"/>
            <w:vAlign w:val="center"/>
          </w:tcPr>
          <w:p>
            <w:pPr>
              <w:spacing w:line="420" w:lineRule="exact"/>
              <w:jc w:val="center"/>
              <w:rPr>
                <w:rFonts w:hint="eastAsia" w:ascii="宋体" w:hAnsi="宋体" w:cs="宋体"/>
                <w:color w:val="auto"/>
                <w:sz w:val="24"/>
              </w:rPr>
            </w:pPr>
          </w:p>
        </w:tc>
        <w:tc>
          <w:tcPr>
            <w:tcW w:w="2200" w:type="dxa"/>
            <w:noWrap w:val="0"/>
            <w:vAlign w:val="center"/>
          </w:tcPr>
          <w:p>
            <w:pPr>
              <w:spacing w:line="42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293" w:type="dxa"/>
            <w:noWrap w:val="0"/>
            <w:vAlign w:val="top"/>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21</w:t>
            </w:r>
          </w:p>
        </w:tc>
        <w:tc>
          <w:tcPr>
            <w:tcW w:w="1954" w:type="dxa"/>
            <w:noWrap w:val="0"/>
            <w:vAlign w:val="top"/>
          </w:tcPr>
          <w:p>
            <w:pPr>
              <w:widowControl/>
              <w:spacing w:line="420" w:lineRule="exact"/>
              <w:jc w:val="center"/>
              <w:rPr>
                <w:rFonts w:hint="eastAsia" w:ascii="宋体" w:hAnsi="宋体" w:cs="宋体"/>
                <w:color w:val="auto"/>
                <w:kern w:val="0"/>
                <w:sz w:val="24"/>
              </w:rPr>
            </w:pPr>
          </w:p>
        </w:tc>
        <w:tc>
          <w:tcPr>
            <w:tcW w:w="2724" w:type="dxa"/>
            <w:noWrap w:val="0"/>
            <w:vAlign w:val="center"/>
          </w:tcPr>
          <w:p>
            <w:pPr>
              <w:spacing w:line="420" w:lineRule="exact"/>
              <w:jc w:val="center"/>
              <w:rPr>
                <w:rFonts w:hint="eastAsia" w:ascii="宋体" w:hAnsi="宋体" w:cs="宋体"/>
                <w:color w:val="auto"/>
                <w:sz w:val="24"/>
              </w:rPr>
            </w:pPr>
          </w:p>
        </w:tc>
        <w:tc>
          <w:tcPr>
            <w:tcW w:w="2200" w:type="dxa"/>
            <w:noWrap w:val="0"/>
            <w:vAlign w:val="center"/>
          </w:tcPr>
          <w:p>
            <w:pPr>
              <w:spacing w:line="42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293" w:type="dxa"/>
            <w:noWrap w:val="0"/>
            <w:vAlign w:val="top"/>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22</w:t>
            </w:r>
          </w:p>
        </w:tc>
        <w:tc>
          <w:tcPr>
            <w:tcW w:w="1954" w:type="dxa"/>
            <w:noWrap w:val="0"/>
            <w:vAlign w:val="top"/>
          </w:tcPr>
          <w:p>
            <w:pPr>
              <w:widowControl/>
              <w:spacing w:line="420" w:lineRule="exact"/>
              <w:jc w:val="center"/>
              <w:rPr>
                <w:rFonts w:hint="eastAsia" w:ascii="宋体" w:hAnsi="宋体" w:cs="宋体"/>
                <w:color w:val="auto"/>
                <w:kern w:val="0"/>
                <w:sz w:val="24"/>
              </w:rPr>
            </w:pPr>
          </w:p>
        </w:tc>
        <w:tc>
          <w:tcPr>
            <w:tcW w:w="2724" w:type="dxa"/>
            <w:noWrap w:val="0"/>
            <w:vAlign w:val="center"/>
          </w:tcPr>
          <w:p>
            <w:pPr>
              <w:spacing w:line="420" w:lineRule="exact"/>
              <w:jc w:val="center"/>
              <w:rPr>
                <w:rFonts w:hint="eastAsia" w:ascii="宋体" w:hAnsi="宋体" w:cs="宋体"/>
                <w:color w:val="auto"/>
                <w:sz w:val="24"/>
              </w:rPr>
            </w:pPr>
          </w:p>
        </w:tc>
        <w:tc>
          <w:tcPr>
            <w:tcW w:w="2200" w:type="dxa"/>
            <w:noWrap w:val="0"/>
            <w:vAlign w:val="center"/>
          </w:tcPr>
          <w:p>
            <w:pPr>
              <w:spacing w:line="42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293" w:type="dxa"/>
            <w:noWrap w:val="0"/>
            <w:vAlign w:val="top"/>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23</w:t>
            </w:r>
          </w:p>
        </w:tc>
        <w:tc>
          <w:tcPr>
            <w:tcW w:w="1954" w:type="dxa"/>
            <w:noWrap w:val="0"/>
            <w:vAlign w:val="top"/>
          </w:tcPr>
          <w:p>
            <w:pPr>
              <w:widowControl/>
              <w:spacing w:line="420" w:lineRule="exact"/>
              <w:jc w:val="center"/>
              <w:rPr>
                <w:rFonts w:hint="eastAsia" w:ascii="宋体" w:hAnsi="宋体" w:cs="宋体"/>
                <w:color w:val="auto"/>
                <w:kern w:val="0"/>
                <w:sz w:val="24"/>
              </w:rPr>
            </w:pPr>
          </w:p>
        </w:tc>
        <w:tc>
          <w:tcPr>
            <w:tcW w:w="2724" w:type="dxa"/>
            <w:noWrap w:val="0"/>
            <w:vAlign w:val="center"/>
          </w:tcPr>
          <w:p>
            <w:pPr>
              <w:spacing w:line="420" w:lineRule="exact"/>
              <w:jc w:val="center"/>
              <w:rPr>
                <w:rFonts w:hint="eastAsia" w:ascii="宋体" w:hAnsi="宋体" w:cs="宋体"/>
                <w:color w:val="auto"/>
                <w:sz w:val="24"/>
              </w:rPr>
            </w:pPr>
          </w:p>
        </w:tc>
        <w:tc>
          <w:tcPr>
            <w:tcW w:w="2200" w:type="dxa"/>
            <w:noWrap w:val="0"/>
            <w:vAlign w:val="center"/>
          </w:tcPr>
          <w:p>
            <w:pPr>
              <w:spacing w:line="42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293" w:type="dxa"/>
            <w:noWrap w:val="0"/>
            <w:vAlign w:val="top"/>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24</w:t>
            </w:r>
          </w:p>
        </w:tc>
        <w:tc>
          <w:tcPr>
            <w:tcW w:w="1954" w:type="dxa"/>
            <w:noWrap w:val="0"/>
            <w:vAlign w:val="top"/>
          </w:tcPr>
          <w:p>
            <w:pPr>
              <w:widowControl/>
              <w:spacing w:line="420" w:lineRule="exact"/>
              <w:jc w:val="center"/>
              <w:rPr>
                <w:rFonts w:hint="eastAsia" w:ascii="宋体" w:hAnsi="宋体" w:cs="宋体"/>
                <w:color w:val="auto"/>
                <w:kern w:val="0"/>
                <w:sz w:val="24"/>
              </w:rPr>
            </w:pPr>
          </w:p>
        </w:tc>
        <w:tc>
          <w:tcPr>
            <w:tcW w:w="2724" w:type="dxa"/>
            <w:noWrap w:val="0"/>
            <w:vAlign w:val="center"/>
          </w:tcPr>
          <w:p>
            <w:pPr>
              <w:spacing w:line="420" w:lineRule="exact"/>
              <w:jc w:val="center"/>
              <w:rPr>
                <w:rFonts w:hint="eastAsia" w:ascii="宋体" w:hAnsi="宋体" w:cs="宋体"/>
                <w:color w:val="auto"/>
                <w:sz w:val="24"/>
              </w:rPr>
            </w:pPr>
          </w:p>
        </w:tc>
        <w:tc>
          <w:tcPr>
            <w:tcW w:w="2200" w:type="dxa"/>
            <w:noWrap w:val="0"/>
            <w:vAlign w:val="center"/>
          </w:tcPr>
          <w:p>
            <w:pPr>
              <w:spacing w:line="42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293" w:type="dxa"/>
            <w:noWrap w:val="0"/>
            <w:vAlign w:val="top"/>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25</w:t>
            </w:r>
          </w:p>
        </w:tc>
        <w:tc>
          <w:tcPr>
            <w:tcW w:w="1954" w:type="dxa"/>
            <w:noWrap w:val="0"/>
            <w:vAlign w:val="top"/>
          </w:tcPr>
          <w:p>
            <w:pPr>
              <w:widowControl/>
              <w:spacing w:line="420" w:lineRule="exact"/>
              <w:jc w:val="center"/>
              <w:rPr>
                <w:rFonts w:hint="eastAsia" w:ascii="宋体" w:hAnsi="宋体" w:cs="宋体"/>
                <w:color w:val="auto"/>
                <w:kern w:val="0"/>
                <w:sz w:val="24"/>
              </w:rPr>
            </w:pPr>
          </w:p>
        </w:tc>
        <w:tc>
          <w:tcPr>
            <w:tcW w:w="2724" w:type="dxa"/>
            <w:noWrap w:val="0"/>
            <w:vAlign w:val="center"/>
          </w:tcPr>
          <w:p>
            <w:pPr>
              <w:spacing w:line="420" w:lineRule="exact"/>
              <w:jc w:val="center"/>
              <w:rPr>
                <w:rFonts w:hint="eastAsia" w:ascii="宋体" w:hAnsi="宋体" w:cs="宋体"/>
                <w:color w:val="auto"/>
                <w:sz w:val="24"/>
              </w:rPr>
            </w:pPr>
          </w:p>
        </w:tc>
        <w:tc>
          <w:tcPr>
            <w:tcW w:w="2200" w:type="dxa"/>
            <w:noWrap w:val="0"/>
            <w:vAlign w:val="center"/>
          </w:tcPr>
          <w:p>
            <w:pPr>
              <w:spacing w:line="42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293" w:type="dxa"/>
            <w:noWrap w:val="0"/>
            <w:vAlign w:val="top"/>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26</w:t>
            </w:r>
          </w:p>
        </w:tc>
        <w:tc>
          <w:tcPr>
            <w:tcW w:w="1954" w:type="dxa"/>
            <w:noWrap w:val="0"/>
            <w:vAlign w:val="top"/>
          </w:tcPr>
          <w:p>
            <w:pPr>
              <w:widowControl/>
              <w:spacing w:line="420" w:lineRule="exact"/>
              <w:jc w:val="center"/>
              <w:rPr>
                <w:rFonts w:hint="eastAsia" w:ascii="宋体" w:hAnsi="宋体" w:cs="宋体"/>
                <w:color w:val="auto"/>
                <w:kern w:val="0"/>
                <w:sz w:val="24"/>
              </w:rPr>
            </w:pPr>
          </w:p>
        </w:tc>
        <w:tc>
          <w:tcPr>
            <w:tcW w:w="2724" w:type="dxa"/>
            <w:noWrap w:val="0"/>
            <w:vAlign w:val="center"/>
          </w:tcPr>
          <w:p>
            <w:pPr>
              <w:spacing w:line="420" w:lineRule="exact"/>
              <w:jc w:val="center"/>
              <w:rPr>
                <w:rFonts w:hint="eastAsia" w:ascii="宋体" w:hAnsi="宋体" w:cs="宋体"/>
                <w:color w:val="auto"/>
                <w:sz w:val="24"/>
              </w:rPr>
            </w:pPr>
          </w:p>
        </w:tc>
        <w:tc>
          <w:tcPr>
            <w:tcW w:w="2200" w:type="dxa"/>
            <w:noWrap w:val="0"/>
            <w:vAlign w:val="center"/>
          </w:tcPr>
          <w:p>
            <w:pPr>
              <w:spacing w:line="42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293" w:type="dxa"/>
            <w:noWrap w:val="0"/>
            <w:vAlign w:val="top"/>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27</w:t>
            </w:r>
          </w:p>
        </w:tc>
        <w:tc>
          <w:tcPr>
            <w:tcW w:w="1954" w:type="dxa"/>
            <w:noWrap w:val="0"/>
            <w:vAlign w:val="top"/>
          </w:tcPr>
          <w:p>
            <w:pPr>
              <w:widowControl/>
              <w:spacing w:line="420" w:lineRule="exact"/>
              <w:jc w:val="center"/>
              <w:rPr>
                <w:rFonts w:hint="eastAsia" w:ascii="宋体" w:hAnsi="宋体" w:cs="宋体"/>
                <w:color w:val="auto"/>
                <w:kern w:val="0"/>
                <w:sz w:val="24"/>
              </w:rPr>
            </w:pPr>
          </w:p>
        </w:tc>
        <w:tc>
          <w:tcPr>
            <w:tcW w:w="2724" w:type="dxa"/>
            <w:noWrap w:val="0"/>
            <w:vAlign w:val="center"/>
          </w:tcPr>
          <w:p>
            <w:pPr>
              <w:spacing w:line="420" w:lineRule="exact"/>
              <w:jc w:val="center"/>
              <w:rPr>
                <w:rFonts w:hint="eastAsia" w:ascii="宋体" w:hAnsi="宋体" w:cs="宋体"/>
                <w:color w:val="auto"/>
                <w:sz w:val="24"/>
              </w:rPr>
            </w:pPr>
          </w:p>
        </w:tc>
        <w:tc>
          <w:tcPr>
            <w:tcW w:w="2200" w:type="dxa"/>
            <w:noWrap w:val="0"/>
            <w:vAlign w:val="center"/>
          </w:tcPr>
          <w:p>
            <w:pPr>
              <w:spacing w:line="42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293" w:type="dxa"/>
            <w:noWrap w:val="0"/>
            <w:vAlign w:val="top"/>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28</w:t>
            </w:r>
          </w:p>
        </w:tc>
        <w:tc>
          <w:tcPr>
            <w:tcW w:w="1954" w:type="dxa"/>
            <w:noWrap w:val="0"/>
            <w:vAlign w:val="top"/>
          </w:tcPr>
          <w:p>
            <w:pPr>
              <w:widowControl/>
              <w:spacing w:line="420" w:lineRule="exact"/>
              <w:jc w:val="center"/>
              <w:rPr>
                <w:rFonts w:hint="eastAsia" w:ascii="宋体" w:hAnsi="宋体" w:cs="宋体"/>
                <w:color w:val="auto"/>
                <w:kern w:val="0"/>
                <w:sz w:val="24"/>
              </w:rPr>
            </w:pPr>
          </w:p>
        </w:tc>
        <w:tc>
          <w:tcPr>
            <w:tcW w:w="2724" w:type="dxa"/>
            <w:noWrap w:val="0"/>
            <w:vAlign w:val="center"/>
          </w:tcPr>
          <w:p>
            <w:pPr>
              <w:spacing w:line="420" w:lineRule="exact"/>
              <w:jc w:val="center"/>
              <w:rPr>
                <w:rFonts w:hint="eastAsia" w:ascii="宋体" w:hAnsi="宋体" w:cs="宋体"/>
                <w:color w:val="auto"/>
                <w:sz w:val="24"/>
              </w:rPr>
            </w:pPr>
          </w:p>
        </w:tc>
        <w:tc>
          <w:tcPr>
            <w:tcW w:w="2200" w:type="dxa"/>
            <w:noWrap w:val="0"/>
            <w:vAlign w:val="center"/>
          </w:tcPr>
          <w:p>
            <w:pPr>
              <w:spacing w:line="420" w:lineRule="exact"/>
              <w:jc w:val="cente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293" w:type="dxa"/>
            <w:noWrap w:val="0"/>
            <w:vAlign w:val="top"/>
          </w:tcPr>
          <w:p>
            <w:pPr>
              <w:widowControl/>
              <w:spacing w:line="420" w:lineRule="exact"/>
              <w:jc w:val="center"/>
              <w:rPr>
                <w:rFonts w:hint="eastAsia" w:ascii="宋体" w:hAnsi="宋体" w:cs="宋体"/>
                <w:color w:val="auto"/>
                <w:kern w:val="0"/>
                <w:sz w:val="24"/>
              </w:rPr>
            </w:pPr>
            <w:r>
              <w:rPr>
                <w:rFonts w:hint="eastAsia" w:ascii="宋体" w:hAnsi="宋体" w:cs="宋体"/>
                <w:color w:val="auto"/>
                <w:kern w:val="0"/>
                <w:sz w:val="24"/>
              </w:rPr>
              <w:t>29</w:t>
            </w:r>
          </w:p>
        </w:tc>
        <w:tc>
          <w:tcPr>
            <w:tcW w:w="1954" w:type="dxa"/>
            <w:noWrap w:val="0"/>
            <w:vAlign w:val="top"/>
          </w:tcPr>
          <w:p>
            <w:pPr>
              <w:widowControl/>
              <w:spacing w:line="420" w:lineRule="exact"/>
              <w:jc w:val="center"/>
              <w:rPr>
                <w:rFonts w:hint="eastAsia" w:ascii="宋体" w:hAnsi="宋体" w:cs="宋体"/>
                <w:color w:val="auto"/>
                <w:kern w:val="0"/>
                <w:sz w:val="24"/>
              </w:rPr>
            </w:pPr>
          </w:p>
        </w:tc>
        <w:tc>
          <w:tcPr>
            <w:tcW w:w="2724" w:type="dxa"/>
            <w:noWrap w:val="0"/>
            <w:vAlign w:val="center"/>
          </w:tcPr>
          <w:p>
            <w:pPr>
              <w:spacing w:line="420" w:lineRule="exact"/>
              <w:jc w:val="center"/>
              <w:rPr>
                <w:rFonts w:hint="eastAsia" w:ascii="宋体" w:hAnsi="宋体" w:cs="宋体"/>
                <w:color w:val="auto"/>
                <w:sz w:val="24"/>
              </w:rPr>
            </w:pPr>
          </w:p>
        </w:tc>
        <w:tc>
          <w:tcPr>
            <w:tcW w:w="2200" w:type="dxa"/>
            <w:noWrap w:val="0"/>
            <w:vAlign w:val="center"/>
          </w:tcPr>
          <w:p>
            <w:pPr>
              <w:spacing w:line="420" w:lineRule="exact"/>
              <w:jc w:val="center"/>
              <w:rPr>
                <w:rFonts w:hint="eastAsia" w:ascii="宋体" w:hAnsi="宋体" w:cs="宋体"/>
                <w:color w:val="auto"/>
                <w:sz w:val="24"/>
              </w:rPr>
            </w:pPr>
          </w:p>
        </w:tc>
      </w:tr>
    </w:tbl>
    <w:p>
      <w:pPr>
        <w:spacing w:line="600" w:lineRule="exact"/>
        <w:ind w:firstLine="640" w:firstLineChars="200"/>
        <w:outlineLvl w:val="1"/>
        <w:rPr>
          <w:rFonts w:hint="eastAsia" w:ascii="黑体" w:hAnsi="黑体" w:eastAsia="黑体" w:cs="黑体"/>
          <w:color w:val="auto"/>
          <w:kern w:val="0"/>
          <w:sz w:val="32"/>
          <w:szCs w:val="32"/>
          <w:lang w:bidi="ar"/>
        </w:rPr>
      </w:pPr>
      <w:r>
        <w:rPr>
          <w:rFonts w:hint="eastAsia" w:ascii="黑体" w:hAnsi="黑体" w:eastAsia="黑体" w:cs="黑体"/>
          <w:color w:val="auto"/>
          <w:kern w:val="0"/>
          <w:sz w:val="32"/>
          <w:szCs w:val="32"/>
          <w:lang w:bidi="ar"/>
        </w:rPr>
        <w:t>二、申报要求</w:t>
      </w:r>
      <w:bookmarkEnd w:id="2"/>
    </w:p>
    <w:p>
      <w:pPr>
        <w:spacing w:line="600" w:lineRule="exact"/>
        <w:ind w:firstLine="642" w:firstLineChars="200"/>
        <w:rPr>
          <w:rFonts w:ascii="楷体" w:hAnsi="楷体" w:eastAsia="楷体" w:cs="楷体"/>
          <w:b/>
          <w:bCs/>
          <w:color w:val="auto"/>
          <w:kern w:val="0"/>
          <w:sz w:val="32"/>
          <w:szCs w:val="32"/>
          <w:lang w:bidi="ar"/>
        </w:rPr>
      </w:pPr>
      <w:r>
        <w:rPr>
          <w:rFonts w:ascii="楷体" w:hAnsi="楷体" w:eastAsia="楷体" w:cs="楷体"/>
          <w:b/>
          <w:bCs/>
          <w:color w:val="auto"/>
          <w:kern w:val="0"/>
          <w:sz w:val="32"/>
          <w:szCs w:val="32"/>
          <w:lang w:bidi="ar"/>
        </w:rPr>
        <w:t>（一）申报企业资格及相关要求</w:t>
      </w:r>
    </w:p>
    <w:p>
      <w:pPr>
        <w:spacing w:line="600" w:lineRule="exact"/>
        <w:ind w:firstLine="640" w:firstLineChars="200"/>
        <w:rPr>
          <w:rFonts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1.申报企业为已取得本次集中带量采购品种合法资质的医疗器械注册人（代理人）</w:t>
      </w:r>
      <w:r>
        <w:rPr>
          <w:rFonts w:ascii="仿宋_GB2312" w:hAnsi="宋体" w:eastAsia="仿宋_GB2312" w:cs="仿宋_GB2312"/>
          <w:color w:val="auto"/>
          <w:kern w:val="0"/>
          <w:sz w:val="32"/>
          <w:szCs w:val="32"/>
          <w:lang w:bidi="ar"/>
        </w:rPr>
        <w:t>。其中，境外医疗器械注册人（代理人）应当指定我国境内企业法人协助其履行相应的法律义务，委托其作为申报企业。同一医疗器械注册人（代理人）的</w:t>
      </w:r>
      <w:r>
        <w:rPr>
          <w:rFonts w:hint="eastAsia" w:ascii="仿宋_GB2312" w:hAnsi="宋体" w:eastAsia="仿宋_GB2312" w:cs="仿宋_GB2312"/>
          <w:color w:val="auto"/>
          <w:kern w:val="0"/>
          <w:sz w:val="32"/>
          <w:szCs w:val="32"/>
          <w:lang w:bidi="ar"/>
        </w:rPr>
        <w:t>同一品种不得委托不同企业进行申报，否则视为无效申报。</w:t>
      </w:r>
      <w:r>
        <w:rPr>
          <w:rFonts w:ascii="仿宋_GB2312" w:hAnsi="宋体" w:eastAsia="仿宋_GB2312" w:cs="仿宋_GB2312"/>
          <w:color w:val="auto"/>
          <w:kern w:val="0"/>
          <w:sz w:val="32"/>
          <w:szCs w:val="32"/>
          <w:lang w:bidi="ar"/>
        </w:rPr>
        <w:t>不同医疗器械注册人（代理人）委托同一家企业申报的，视为多个申报企业。</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ascii="仿宋_GB2312" w:hAnsi="宋体" w:eastAsia="仿宋_GB2312" w:cs="仿宋_GB2312"/>
          <w:color w:val="auto"/>
          <w:kern w:val="0"/>
          <w:sz w:val="32"/>
          <w:szCs w:val="32"/>
          <w:lang w:bidi="ar"/>
        </w:rPr>
        <w:t>2.</w:t>
      </w:r>
      <w:r>
        <w:rPr>
          <w:rFonts w:hint="eastAsia" w:ascii="仿宋_GB2312" w:hAnsi="宋体" w:eastAsia="仿宋_GB2312" w:cs="仿宋_GB2312"/>
          <w:color w:val="auto"/>
          <w:kern w:val="0"/>
          <w:sz w:val="32"/>
          <w:szCs w:val="32"/>
          <w:lang w:bidi="ar"/>
        </w:rPr>
        <w:t>申报企业未被列入当前《全国医药价格和招采失信企业风险警示名单》，未被国家组织高值医用耗材联合采购办公室列入“违规名单”，未被</w:t>
      </w:r>
      <w:r>
        <w:rPr>
          <w:rFonts w:hint="eastAsia" w:ascii="仿宋_GB2312" w:hAnsi="仿宋_GB2312" w:eastAsia="仿宋_GB2312" w:cs="仿宋_GB2312"/>
          <w:color w:val="auto"/>
          <w:kern w:val="0"/>
          <w:sz w:val="32"/>
          <w:szCs w:val="32"/>
          <w:lang w:bidi="ar"/>
        </w:rPr>
        <w:t>国家或联盟地区</w:t>
      </w:r>
      <w:r>
        <w:rPr>
          <w:rFonts w:hint="eastAsia" w:ascii="仿宋_GB2312" w:hAnsi="宋体" w:eastAsia="仿宋_GB2312" w:cs="仿宋_GB2312"/>
          <w:color w:val="auto"/>
          <w:kern w:val="0"/>
          <w:sz w:val="32"/>
          <w:szCs w:val="32"/>
          <w:lang w:bidi="ar"/>
        </w:rPr>
        <w:t>依据医药价格和招采信用评价制度评定为“严重”或“特别严重”失信等级。</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ascii="仿宋_GB2312" w:hAnsi="宋体" w:eastAsia="仿宋_GB2312" w:cs="仿宋_GB2312"/>
          <w:color w:val="auto"/>
          <w:kern w:val="0"/>
          <w:sz w:val="32"/>
          <w:szCs w:val="32"/>
          <w:lang w:bidi="ar"/>
        </w:rPr>
        <w:t>3.</w:t>
      </w:r>
      <w:r>
        <w:rPr>
          <w:rFonts w:hint="eastAsia" w:ascii="仿宋_GB2312" w:hAnsi="宋体" w:eastAsia="仿宋_GB2312" w:cs="仿宋_GB2312"/>
          <w:color w:val="auto"/>
          <w:kern w:val="0"/>
          <w:sz w:val="32"/>
          <w:szCs w:val="32"/>
          <w:lang w:bidi="ar"/>
        </w:rPr>
        <w:t>申报企业应遵守《中华人民共和国民法典》《中华人民共和国专利法》《中华人民共和国反不正当竞争法》等相关法律法规。</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ascii="仿宋_GB2312" w:hAnsi="宋体" w:eastAsia="仿宋_GB2312" w:cs="仿宋_GB2312"/>
          <w:color w:val="auto"/>
          <w:kern w:val="0"/>
          <w:sz w:val="32"/>
          <w:szCs w:val="32"/>
          <w:lang w:bidi="ar"/>
        </w:rPr>
        <w:t>4.</w:t>
      </w:r>
      <w:r>
        <w:rPr>
          <w:rFonts w:hint="eastAsia" w:ascii="仿宋_GB2312" w:hAnsi="宋体" w:eastAsia="仿宋_GB2312" w:cs="仿宋_GB2312"/>
          <w:color w:val="auto"/>
          <w:kern w:val="0"/>
          <w:sz w:val="32"/>
          <w:szCs w:val="32"/>
          <w:lang w:bidi="ar"/>
        </w:rPr>
        <w:t>申报企业须依据医药价格和招采信用评价制度向</w:t>
      </w:r>
      <w:r>
        <w:rPr>
          <w:rFonts w:hint="eastAsia" w:ascii="仿宋_GB2312" w:hAnsi="仿宋_GB2312" w:eastAsia="仿宋_GB2312" w:cs="仿宋_GB2312"/>
          <w:color w:val="auto"/>
          <w:kern w:val="0"/>
          <w:sz w:val="32"/>
          <w:szCs w:val="32"/>
          <w:lang w:bidi="ar"/>
        </w:rPr>
        <w:t>联席会议办公室作出</w:t>
      </w:r>
      <w:r>
        <w:rPr>
          <w:rFonts w:hint="eastAsia" w:ascii="仿宋_GB2312" w:hAnsi="宋体" w:eastAsia="仿宋_GB2312" w:cs="仿宋_GB2312"/>
          <w:color w:val="auto"/>
          <w:kern w:val="0"/>
          <w:sz w:val="32"/>
          <w:szCs w:val="32"/>
          <w:lang w:bidi="ar"/>
        </w:rPr>
        <w:t>承诺，该承诺或将根据工作需要进行公开。</w:t>
      </w:r>
    </w:p>
    <w:p>
      <w:pPr>
        <w:spacing w:line="600" w:lineRule="exact"/>
        <w:ind w:firstLine="640" w:firstLineChars="200"/>
        <w:rPr>
          <w:rFonts w:hint="eastAsia" w:ascii="黑体" w:hAnsi="黑体" w:eastAsia="黑体" w:cs="黑体"/>
          <w:color w:val="auto"/>
          <w:kern w:val="0"/>
          <w:sz w:val="32"/>
          <w:szCs w:val="32"/>
          <w:lang w:bidi="ar"/>
        </w:rPr>
      </w:pPr>
      <w:r>
        <w:rPr>
          <w:rFonts w:hint="eastAsia" w:ascii="黑体" w:hAnsi="黑体" w:eastAsia="黑体" w:cs="黑体"/>
          <w:color w:val="auto"/>
          <w:kern w:val="0"/>
          <w:sz w:val="32"/>
          <w:szCs w:val="32"/>
          <w:lang w:bidi="ar"/>
        </w:rPr>
        <w:t xml:space="preserve">（二）申报产品资格要求 </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ascii="仿宋_GB2312" w:hAnsi="宋体" w:eastAsia="仿宋_GB2312" w:cs="仿宋_GB2312"/>
          <w:color w:val="auto"/>
          <w:kern w:val="0"/>
          <w:sz w:val="32"/>
          <w:szCs w:val="32"/>
          <w:lang w:bidi="ar"/>
        </w:rPr>
        <w:t>1.</w:t>
      </w:r>
      <w:r>
        <w:rPr>
          <w:rFonts w:hint="eastAsia" w:ascii="仿宋_GB2312" w:hAnsi="宋体" w:eastAsia="仿宋_GB2312" w:cs="仿宋_GB2312"/>
          <w:color w:val="auto"/>
          <w:kern w:val="0"/>
          <w:sz w:val="32"/>
          <w:szCs w:val="32"/>
          <w:lang w:bidi="ar"/>
        </w:rPr>
        <w:t>申报产品属于带量采购品种范围，并获得有效中华人民共和国医疗器械注册证。</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ascii="仿宋_GB2312" w:hAnsi="宋体" w:eastAsia="仿宋_GB2312" w:cs="仿宋_GB2312"/>
          <w:color w:val="auto"/>
          <w:kern w:val="0"/>
          <w:sz w:val="32"/>
          <w:szCs w:val="32"/>
          <w:lang w:bidi="ar"/>
        </w:rPr>
        <w:t>2.</w:t>
      </w:r>
      <w:r>
        <w:rPr>
          <w:rFonts w:hint="eastAsia" w:ascii="仿宋_GB2312" w:hAnsi="宋体" w:eastAsia="仿宋_GB2312" w:cs="仿宋_GB2312"/>
          <w:color w:val="auto"/>
          <w:kern w:val="0"/>
          <w:sz w:val="32"/>
          <w:szCs w:val="32"/>
          <w:lang w:bidi="ar"/>
        </w:rPr>
        <w:t>申报产品应当符合国家有关部门的质量标准要求，并按国家有关部门要求组织生产。</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3.2022年以来，申报产品不存在省级（含）以上药品监督管理部门质量检验不合格情况;申报企业不存在因申报产品质量等问题被省级（含）以上药品监督管理部门处罚过的情况。</w:t>
      </w:r>
    </w:p>
    <w:p>
      <w:pPr>
        <w:spacing w:line="600" w:lineRule="exact"/>
        <w:ind w:firstLine="419" w:firstLineChars="131"/>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4.申报信息公开当日，申报产品的注册证应在有效期内。</w:t>
      </w:r>
    </w:p>
    <w:p>
      <w:pPr>
        <w:spacing w:line="600" w:lineRule="exact"/>
        <w:ind w:firstLine="640" w:firstLineChars="200"/>
        <w:outlineLvl w:val="1"/>
        <w:rPr>
          <w:rFonts w:ascii="黑体" w:hAnsi="黑体" w:eastAsia="黑体" w:cs="黑体"/>
          <w:color w:val="auto"/>
          <w:kern w:val="0"/>
          <w:sz w:val="32"/>
          <w:szCs w:val="32"/>
          <w:lang w:bidi="ar"/>
        </w:rPr>
      </w:pPr>
      <w:bookmarkStart w:id="3" w:name="_Toc89358210"/>
      <w:r>
        <w:rPr>
          <w:rFonts w:ascii="黑体" w:hAnsi="黑体" w:eastAsia="黑体" w:cs="黑体"/>
          <w:color w:val="auto"/>
          <w:kern w:val="0"/>
          <w:sz w:val="32"/>
          <w:szCs w:val="32"/>
          <w:lang w:bidi="ar"/>
        </w:rPr>
        <w:t>三、采购周期与采购协议</w:t>
      </w:r>
      <w:bookmarkEnd w:id="3"/>
    </w:p>
    <w:p>
      <w:pPr>
        <w:spacing w:line="600" w:lineRule="exact"/>
        <w:ind w:firstLine="640" w:firstLineChars="200"/>
        <w:rPr>
          <w:rFonts w:hint="eastAsia" w:ascii="仿宋_GB2312" w:hAnsi="微软雅黑" w:eastAsia="仿宋_GB2312"/>
          <w:color w:val="auto"/>
          <w:sz w:val="32"/>
          <w:szCs w:val="32"/>
        </w:rPr>
      </w:pPr>
      <w:r>
        <w:rPr>
          <w:rFonts w:hint="eastAsia" w:ascii="仿宋_GB2312" w:hAnsi="宋体" w:eastAsia="仿宋_GB2312" w:cs="仿宋_GB2312"/>
          <w:color w:val="auto"/>
          <w:kern w:val="0"/>
          <w:sz w:val="32"/>
          <w:szCs w:val="32"/>
          <w:lang w:bidi="ar"/>
        </w:rPr>
        <w:t>（一）</w:t>
      </w:r>
      <w:r>
        <w:rPr>
          <w:rFonts w:hint="eastAsia" w:ascii="仿宋_GB2312" w:hAnsi="微软雅黑" w:eastAsia="仿宋_GB2312"/>
          <w:color w:val="auto"/>
          <w:sz w:val="32"/>
          <w:szCs w:val="32"/>
        </w:rPr>
        <w:t>本次带量采购周期为2年，可视情况延长1年，</w:t>
      </w:r>
    </w:p>
    <w:p>
      <w:pPr>
        <w:spacing w:line="600" w:lineRule="exact"/>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自中选结果实际执行之日起计算。</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（二）</w:t>
      </w:r>
      <w:r>
        <w:rPr>
          <w:rFonts w:ascii="仿宋_GB2312" w:hAnsi="宋体" w:eastAsia="仿宋_GB2312" w:cs="仿宋_GB2312"/>
          <w:color w:val="auto"/>
          <w:kern w:val="0"/>
          <w:sz w:val="32"/>
          <w:szCs w:val="32"/>
          <w:lang w:bidi="ar"/>
        </w:rPr>
        <w:t>在采购周期内，由医疗机构与中选企业或其指定的配送</w:t>
      </w:r>
      <w:r>
        <w:rPr>
          <w:rFonts w:hint="eastAsia" w:ascii="仿宋_GB2312" w:hAnsi="宋体" w:eastAsia="仿宋_GB2312" w:cs="仿宋_GB2312"/>
          <w:color w:val="auto"/>
          <w:kern w:val="0"/>
          <w:sz w:val="32"/>
          <w:szCs w:val="32"/>
          <w:lang w:bidi="ar"/>
        </w:rPr>
        <w:t>企业</w:t>
      </w:r>
      <w:r>
        <w:rPr>
          <w:rFonts w:ascii="仿宋_GB2312" w:hAnsi="宋体" w:eastAsia="仿宋_GB2312" w:cs="仿宋_GB2312"/>
          <w:color w:val="auto"/>
          <w:kern w:val="0"/>
          <w:sz w:val="32"/>
          <w:szCs w:val="32"/>
          <w:lang w:bidi="ar"/>
        </w:rPr>
        <w:t>每年签订采购协议。</w:t>
      </w:r>
    </w:p>
    <w:p>
      <w:pPr>
        <w:spacing w:line="600" w:lineRule="exact"/>
        <w:ind w:firstLine="640" w:firstLineChars="200"/>
        <w:rPr>
          <w:rFonts w:ascii="仿宋_GB2312" w:hAnsi="宋体" w:eastAsia="仿宋_GB2312" w:cs="仿宋_GB2312"/>
          <w:color w:val="auto"/>
          <w:kern w:val="0"/>
          <w:sz w:val="32"/>
          <w:szCs w:val="32"/>
          <w:lang w:bidi="ar"/>
        </w:rPr>
      </w:pPr>
      <w:r>
        <w:rPr>
          <w:rFonts w:ascii="仿宋_GB2312" w:hAnsi="宋体" w:eastAsia="仿宋_GB2312" w:cs="仿宋_GB2312"/>
          <w:color w:val="auto"/>
          <w:kern w:val="0"/>
          <w:sz w:val="32"/>
          <w:szCs w:val="32"/>
          <w:lang w:bidi="ar"/>
        </w:rPr>
        <w:t>（三）采购周期内医疗机构完成当年协议采购量，超出协议采购量的部分，中选企业仍需按中选价格进行供应，直至采购周期届满。</w:t>
      </w:r>
    </w:p>
    <w:p>
      <w:pPr>
        <w:spacing w:line="600" w:lineRule="exact"/>
        <w:ind w:firstLine="640" w:firstLineChars="200"/>
        <w:outlineLvl w:val="1"/>
        <w:rPr>
          <w:rFonts w:hint="eastAsia" w:ascii="黑体" w:hAnsi="黑体" w:eastAsia="黑体" w:cs="黑体"/>
          <w:color w:val="auto"/>
          <w:kern w:val="0"/>
          <w:sz w:val="32"/>
          <w:szCs w:val="32"/>
          <w:lang w:bidi="ar"/>
        </w:rPr>
      </w:pPr>
      <w:bookmarkStart w:id="4" w:name="_Toc89358211"/>
      <w:r>
        <w:rPr>
          <w:rFonts w:hint="eastAsia" w:ascii="黑体" w:hAnsi="黑体" w:eastAsia="黑体" w:cs="黑体"/>
          <w:color w:val="auto"/>
          <w:kern w:val="0"/>
          <w:sz w:val="32"/>
          <w:szCs w:val="32"/>
          <w:lang w:bidi="ar"/>
        </w:rPr>
        <w:t>四、采购执行说明</w:t>
      </w:r>
      <w:bookmarkEnd w:id="4"/>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（一）采购周期内，医疗机构应优先使用本次集中带量采购中选产品，并确保完成协议采购量。</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（二）采购周期内，医疗机构在优先使用本次集中带量采购中选产品的基础上，可适量采购其他价格适宜的非中选产品。</w:t>
      </w:r>
    </w:p>
    <w:p>
      <w:pPr>
        <w:spacing w:line="600" w:lineRule="exact"/>
        <w:ind w:firstLine="640" w:firstLineChars="200"/>
        <w:rPr>
          <w:rFonts w:ascii="仿宋_GB2312" w:hAnsi="微软雅黑" w:eastAsia="仿宋_GB2312"/>
          <w:color w:val="auto"/>
          <w:sz w:val="32"/>
          <w:szCs w:val="32"/>
        </w:rPr>
      </w:pPr>
      <w:r>
        <w:rPr>
          <w:rFonts w:hint="eastAsia" w:ascii="仿宋_GB2312" w:hAnsi="宋体" w:eastAsia="仿宋_GB2312" w:cs="仿宋_GB2312"/>
          <w:color w:val="auto"/>
          <w:kern w:val="0"/>
          <w:sz w:val="32"/>
          <w:szCs w:val="32"/>
          <w:lang w:bidi="ar"/>
        </w:rPr>
        <w:t>（三）采购周期内，如中选产品注册证更新，中选价格维持不变。申报信息结束后，企业中选品种新批准增加的注册证或中选注册证新增包装规格，经换算后同意按照不高于原中选价格供应的，可增补为中选产品。产品注册人发生变更且变更后的注册人与原注册人</w:t>
      </w:r>
      <w:r>
        <w:rPr>
          <w:rFonts w:ascii="仿宋_GB2312" w:hAnsi="宋体" w:eastAsia="仿宋_GB2312" w:cs="仿宋_GB2312"/>
          <w:color w:val="auto"/>
          <w:kern w:val="0"/>
          <w:sz w:val="32"/>
          <w:szCs w:val="32"/>
          <w:lang w:bidi="ar"/>
        </w:rPr>
        <w:t>为同一实际控制人或存在控股关系的，仍视为中选产品。</w:t>
      </w:r>
      <w:r>
        <w:rPr>
          <w:rFonts w:hint="eastAsia" w:ascii="仿宋_GB2312" w:hAnsi="宋体" w:eastAsia="仿宋_GB2312" w:cs="仿宋_GB2312"/>
          <w:color w:val="auto"/>
          <w:kern w:val="0"/>
          <w:sz w:val="32"/>
          <w:szCs w:val="32"/>
          <w:lang w:bidi="ar"/>
        </w:rPr>
        <w:t>在采购周期内，中选企业应持续拥有注册证，进口转国内生产的注册证，如果持有人</w:t>
      </w:r>
      <w:r>
        <w:rPr>
          <w:rFonts w:ascii="仿宋_GB2312" w:hAnsi="宋体" w:eastAsia="仿宋_GB2312" w:cs="仿宋_GB2312"/>
          <w:color w:val="auto"/>
          <w:kern w:val="0"/>
          <w:sz w:val="32"/>
          <w:szCs w:val="32"/>
          <w:lang w:bidi="ar"/>
        </w:rPr>
        <w:t>为同一实际控制人或存在控股关系的，仍视为中选产品。</w:t>
      </w:r>
    </w:p>
    <w:p>
      <w:pPr>
        <w:spacing w:line="600" w:lineRule="exact"/>
        <w:ind w:firstLine="640" w:firstLineChars="200"/>
        <w:outlineLvl w:val="1"/>
        <w:rPr>
          <w:rFonts w:ascii="黑体" w:hAnsi="黑体" w:eastAsia="黑体" w:cs="黑体"/>
          <w:color w:val="auto"/>
          <w:kern w:val="0"/>
          <w:sz w:val="32"/>
          <w:szCs w:val="32"/>
          <w:lang w:bidi="ar"/>
        </w:rPr>
      </w:pPr>
      <w:bookmarkStart w:id="5" w:name="_Toc79721624"/>
      <w:bookmarkStart w:id="6" w:name="_Toc89358212"/>
      <w:r>
        <w:rPr>
          <w:rFonts w:ascii="黑体" w:hAnsi="黑体" w:eastAsia="黑体" w:cs="黑体"/>
          <w:color w:val="auto"/>
          <w:kern w:val="0"/>
          <w:sz w:val="32"/>
          <w:szCs w:val="32"/>
          <w:lang w:bidi="ar"/>
        </w:rPr>
        <w:t>五、采购文件获取方式</w:t>
      </w:r>
      <w:bookmarkEnd w:id="5"/>
      <w:bookmarkEnd w:id="6"/>
    </w:p>
    <w:p>
      <w:pPr>
        <w:pStyle w:val="2"/>
        <w:wordWrap w:val="0"/>
        <w:spacing w:line="600" w:lineRule="exact"/>
        <w:ind w:firstLine="640" w:firstLineChars="200"/>
        <w:jc w:val="both"/>
        <w:rPr>
          <w:rFonts w:ascii="仿宋_GB2312" w:hAnsi="宋体" w:eastAsia="仿宋_GB2312" w:cs="仿宋_GB2312"/>
          <w:color w:val="auto"/>
          <w:sz w:val="32"/>
          <w:szCs w:val="32"/>
          <w:lang w:bidi="ar"/>
        </w:rPr>
      </w:pPr>
      <w:r>
        <w:rPr>
          <w:rFonts w:ascii="仿宋_GB2312" w:hAnsi="宋体" w:eastAsia="仿宋_GB2312" w:cs="仿宋_GB2312"/>
          <w:color w:val="auto"/>
          <w:sz w:val="32"/>
          <w:szCs w:val="32"/>
          <w:lang w:bidi="ar"/>
        </w:rPr>
        <w:t>通过江西省医疗保障局（http://ybj.jiangxi.gov.cn/）和江西省医药价格和采购服务中心（http://www.jxyycg.cn/）下载相关文件。</w:t>
      </w:r>
    </w:p>
    <w:p>
      <w:pPr>
        <w:spacing w:line="600" w:lineRule="exact"/>
        <w:ind w:firstLine="640" w:firstLineChars="200"/>
        <w:outlineLvl w:val="1"/>
        <w:rPr>
          <w:rFonts w:ascii="黑体" w:hAnsi="黑体" w:eastAsia="黑体" w:cs="黑体"/>
          <w:color w:val="auto"/>
          <w:kern w:val="0"/>
          <w:sz w:val="32"/>
          <w:szCs w:val="32"/>
          <w:lang w:bidi="ar"/>
        </w:rPr>
      </w:pPr>
      <w:bookmarkStart w:id="7" w:name="_Toc79721625"/>
      <w:bookmarkStart w:id="8" w:name="_Toc89358213"/>
      <w:r>
        <w:rPr>
          <w:rFonts w:ascii="黑体" w:hAnsi="黑体" w:eastAsia="黑体" w:cs="黑体"/>
          <w:color w:val="auto"/>
          <w:kern w:val="0"/>
          <w:sz w:val="32"/>
          <w:szCs w:val="32"/>
          <w:lang w:bidi="ar"/>
        </w:rPr>
        <w:t>六、申报材料递交方式和时间</w:t>
      </w:r>
      <w:bookmarkEnd w:id="7"/>
      <w:bookmarkEnd w:id="8"/>
    </w:p>
    <w:p>
      <w:pPr>
        <w:pStyle w:val="2"/>
        <w:spacing w:line="600" w:lineRule="exact"/>
        <w:ind w:firstLine="640" w:firstLineChars="200"/>
        <w:jc w:val="both"/>
        <w:rPr>
          <w:rFonts w:ascii="仿宋_GB2312" w:hAnsi="宋体" w:eastAsia="仿宋_GB2312" w:cs="仿宋_GB2312"/>
          <w:color w:val="auto"/>
          <w:sz w:val="32"/>
          <w:szCs w:val="32"/>
          <w:lang w:bidi="ar"/>
        </w:rPr>
      </w:pPr>
      <w:bookmarkStart w:id="9" w:name="_Toc89358214"/>
      <w:bookmarkStart w:id="10" w:name="_Toc79721627"/>
      <w:r>
        <w:rPr>
          <w:rFonts w:ascii="仿宋_GB2312" w:hAnsi="宋体" w:eastAsia="仿宋_GB2312" w:cs="仿宋_GB2312"/>
          <w:color w:val="auto"/>
          <w:sz w:val="32"/>
          <w:szCs w:val="32"/>
          <w:lang w:bidi="ar"/>
        </w:rPr>
        <w:t>申报材料递交方式和时间见采购文件第二部分有关章节。若发生变化，则另行发布有关通知。</w:t>
      </w:r>
    </w:p>
    <w:p>
      <w:pPr>
        <w:spacing w:line="600" w:lineRule="exact"/>
        <w:ind w:firstLine="640" w:firstLineChars="200"/>
        <w:outlineLvl w:val="1"/>
        <w:rPr>
          <w:rFonts w:ascii="黑体" w:hAnsi="黑体" w:eastAsia="黑体" w:cs="黑体"/>
          <w:color w:val="auto"/>
          <w:kern w:val="0"/>
          <w:sz w:val="32"/>
          <w:szCs w:val="32"/>
          <w:lang w:bidi="ar"/>
        </w:rPr>
      </w:pPr>
      <w:r>
        <w:rPr>
          <w:rFonts w:ascii="黑体" w:hAnsi="黑体" w:eastAsia="黑体" w:cs="黑体"/>
          <w:color w:val="auto"/>
          <w:kern w:val="0"/>
          <w:sz w:val="32"/>
          <w:szCs w:val="32"/>
          <w:lang w:bidi="ar"/>
        </w:rPr>
        <w:t>七、申报信息公开</w:t>
      </w:r>
      <w:bookmarkEnd w:id="9"/>
    </w:p>
    <w:p>
      <w:pPr>
        <w:pStyle w:val="2"/>
        <w:spacing w:line="600" w:lineRule="exact"/>
        <w:ind w:firstLine="640" w:firstLineChars="200"/>
        <w:jc w:val="both"/>
        <w:rPr>
          <w:rFonts w:ascii="仿宋_GB2312" w:hAnsi="宋体" w:eastAsia="仿宋_GB2312" w:cs="仿宋_GB2312"/>
          <w:color w:val="auto"/>
          <w:sz w:val="32"/>
          <w:szCs w:val="32"/>
          <w:lang w:bidi="ar"/>
        </w:rPr>
      </w:pPr>
      <w:bookmarkStart w:id="11" w:name="_Toc89358215"/>
      <w:r>
        <w:rPr>
          <w:rFonts w:ascii="仿宋_GB2312" w:hAnsi="宋体" w:eastAsia="仿宋_GB2312" w:cs="仿宋_GB2312"/>
          <w:color w:val="auto"/>
          <w:sz w:val="32"/>
          <w:szCs w:val="32"/>
          <w:lang w:bidi="ar"/>
        </w:rPr>
        <w:t>另行发布有关通知。</w:t>
      </w:r>
    </w:p>
    <w:p>
      <w:pPr>
        <w:spacing w:line="600" w:lineRule="exact"/>
        <w:ind w:firstLine="640" w:firstLineChars="200"/>
        <w:outlineLvl w:val="1"/>
        <w:rPr>
          <w:rFonts w:ascii="黑体" w:hAnsi="黑体" w:eastAsia="黑体" w:cs="黑体"/>
          <w:color w:val="auto"/>
          <w:kern w:val="0"/>
          <w:sz w:val="32"/>
          <w:szCs w:val="32"/>
          <w:lang w:bidi="ar"/>
        </w:rPr>
      </w:pPr>
      <w:r>
        <w:rPr>
          <w:rFonts w:ascii="黑体" w:hAnsi="黑体" w:eastAsia="黑体" w:cs="黑体"/>
          <w:color w:val="auto"/>
          <w:kern w:val="0"/>
          <w:sz w:val="32"/>
          <w:szCs w:val="32"/>
          <w:lang w:bidi="ar"/>
        </w:rPr>
        <w:t>八、联系方式</w:t>
      </w:r>
      <w:bookmarkEnd w:id="10"/>
      <w:bookmarkEnd w:id="11"/>
    </w:p>
    <w:p>
      <w:pPr>
        <w:pStyle w:val="2"/>
        <w:spacing w:line="600" w:lineRule="exact"/>
        <w:ind w:firstLine="640" w:firstLineChars="200"/>
        <w:jc w:val="both"/>
        <w:rPr>
          <w:rFonts w:ascii="仿宋_GB2312" w:hAnsi="宋体" w:eastAsia="仿宋_GB2312" w:cs="仿宋_GB2312"/>
          <w:color w:val="auto"/>
          <w:sz w:val="32"/>
          <w:szCs w:val="32"/>
          <w:lang w:bidi="ar"/>
        </w:rPr>
      </w:pPr>
      <w:bookmarkStart w:id="12" w:name="_Toc79721628"/>
      <w:r>
        <w:rPr>
          <w:rFonts w:ascii="仿宋_GB2312" w:hAnsi="宋体" w:eastAsia="仿宋_GB2312" w:cs="仿宋_GB2312"/>
          <w:color w:val="auto"/>
          <w:sz w:val="32"/>
          <w:szCs w:val="32"/>
          <w:lang w:bidi="ar"/>
        </w:rPr>
        <w:t xml:space="preserve">联系电话：0791-88102300 </w:t>
      </w:r>
    </w:p>
    <w:p>
      <w:pPr>
        <w:pStyle w:val="2"/>
        <w:spacing w:line="600" w:lineRule="exact"/>
        <w:ind w:firstLine="640" w:firstLineChars="200"/>
        <w:jc w:val="both"/>
        <w:rPr>
          <w:rFonts w:ascii="仿宋_GB2312" w:hAnsi="宋体" w:eastAsia="仿宋_GB2312" w:cs="仿宋_GB2312"/>
          <w:color w:val="auto"/>
          <w:sz w:val="32"/>
          <w:szCs w:val="32"/>
          <w:lang w:bidi="ar"/>
        </w:rPr>
      </w:pPr>
      <w:r>
        <w:rPr>
          <w:rFonts w:ascii="仿宋_GB2312" w:hAnsi="宋体" w:eastAsia="仿宋_GB2312" w:cs="仿宋_GB2312"/>
          <w:color w:val="auto"/>
          <w:sz w:val="32"/>
          <w:szCs w:val="32"/>
          <w:lang w:bidi="ar"/>
        </w:rPr>
        <w:t>服务时间：9:00-12:00，14:30-17:30，节假日除外。</w:t>
      </w:r>
    </w:p>
    <w:p>
      <w:pPr>
        <w:spacing w:line="600" w:lineRule="exact"/>
        <w:ind w:firstLine="640" w:firstLineChars="200"/>
        <w:outlineLvl w:val="1"/>
        <w:rPr>
          <w:rFonts w:ascii="黑体" w:hAnsi="黑体" w:eastAsia="黑体" w:cs="黑体"/>
          <w:color w:val="auto"/>
          <w:kern w:val="0"/>
          <w:sz w:val="32"/>
          <w:szCs w:val="32"/>
          <w:lang w:bidi="ar"/>
        </w:rPr>
      </w:pPr>
      <w:bookmarkStart w:id="13" w:name="_Toc89358216"/>
      <w:r>
        <w:rPr>
          <w:rFonts w:ascii="黑体" w:hAnsi="黑体" w:eastAsia="黑体" w:cs="黑体"/>
          <w:color w:val="auto"/>
          <w:kern w:val="0"/>
          <w:sz w:val="32"/>
          <w:szCs w:val="32"/>
          <w:lang w:bidi="ar"/>
        </w:rPr>
        <w:t>九、其他</w:t>
      </w:r>
      <w:bookmarkEnd w:id="12"/>
      <w:bookmarkEnd w:id="13"/>
    </w:p>
    <w:p>
      <w:pPr>
        <w:pStyle w:val="2"/>
        <w:spacing w:line="600" w:lineRule="exact"/>
        <w:ind w:firstLine="640" w:firstLineChars="200"/>
        <w:jc w:val="both"/>
        <w:rPr>
          <w:rFonts w:ascii="仿宋_GB2312" w:hAnsi="宋体" w:eastAsia="仿宋_GB2312" w:cs="仿宋_GB2312"/>
          <w:color w:val="auto"/>
          <w:sz w:val="32"/>
          <w:szCs w:val="32"/>
          <w:lang w:bidi="ar"/>
        </w:rPr>
      </w:pPr>
      <w:r>
        <w:rPr>
          <w:rFonts w:ascii="仿宋_GB2312" w:hAnsi="宋体" w:eastAsia="仿宋_GB2312" w:cs="仿宋_GB2312"/>
          <w:color w:val="auto"/>
          <w:sz w:val="32"/>
          <w:szCs w:val="32"/>
          <w:lang w:bidi="ar"/>
        </w:rPr>
        <w:t>（一）</w:t>
      </w:r>
      <w:r>
        <w:rPr>
          <w:rFonts w:ascii="仿宋_GB2312" w:hAnsi="仿宋_GB2312" w:eastAsia="仿宋_GB2312" w:cs="仿宋_GB2312"/>
          <w:color w:val="auto"/>
          <w:sz w:val="32"/>
          <w:szCs w:val="32"/>
          <w:lang w:bidi="ar"/>
        </w:rPr>
        <w:t>联席会议办公室</w:t>
      </w:r>
      <w:r>
        <w:rPr>
          <w:rFonts w:ascii="仿宋_GB2312" w:hAnsi="宋体" w:eastAsia="仿宋_GB2312" w:cs="仿宋_GB2312"/>
          <w:color w:val="auto"/>
          <w:sz w:val="32"/>
          <w:szCs w:val="32"/>
          <w:lang w:bidi="ar"/>
        </w:rPr>
        <w:t>已通过自我审查的方式开展公平竞争审查，本次集中带量采购相关文件不具有排除、限制竞争情形。</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（二）联盟地区按有关工作要求，制定确保中选产品质量、供应、使用以及医疗机构及时回款的配套措施。</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ascii="仿宋_GB2312" w:hAnsi="宋体" w:eastAsia="仿宋_GB2312" w:cs="仿宋_GB2312"/>
          <w:color w:val="auto"/>
          <w:kern w:val="0"/>
          <w:sz w:val="32"/>
          <w:szCs w:val="32"/>
          <w:lang w:bidi="ar"/>
        </w:rPr>
        <w:t>（三）本次集中带量采购相关工作需进行调整的，联席会议办公室发文另行通知。</w:t>
      </w:r>
    </w:p>
    <w:p>
      <w:pPr>
        <w:spacing w:before="4680" w:beforeLines="1500" w:line="600" w:lineRule="exact"/>
        <w:jc w:val="center"/>
        <w:outlineLvl w:val="0"/>
        <w:rPr>
          <w:rFonts w:ascii="方正小标宋简体" w:hAnsi="方正小标宋简体" w:eastAsia="方正小标宋简体" w:cs="方正小标宋简体"/>
          <w:bCs/>
          <w:color w:val="auto"/>
          <w:sz w:val="44"/>
          <w:szCs w:val="44"/>
        </w:rPr>
      </w:pPr>
      <w:r>
        <w:rPr>
          <w:rFonts w:ascii="仿宋_GB2312" w:hAnsi="宋体" w:eastAsia="仿宋_GB2312" w:cs="仿宋_GB2312"/>
          <w:color w:val="auto"/>
          <w:kern w:val="0"/>
          <w:sz w:val="32"/>
          <w:szCs w:val="32"/>
          <w:lang w:bidi="ar"/>
        </w:rPr>
        <w:br w:type="page"/>
      </w:r>
      <w:bookmarkStart w:id="14" w:name="_Toc89358217"/>
      <w:r>
        <w:rPr>
          <w:rFonts w:ascii="方正小标宋简体" w:hAnsi="方正小标宋简体" w:eastAsia="方正小标宋简体" w:cs="方正小标宋简体"/>
          <w:bCs/>
          <w:color w:val="auto"/>
          <w:sz w:val="44"/>
          <w:szCs w:val="44"/>
        </w:rPr>
        <w:t>第二部分  申报企业须知</w:t>
      </w:r>
      <w:bookmarkEnd w:id="14"/>
    </w:p>
    <w:p>
      <w:pPr>
        <w:spacing w:line="600" w:lineRule="exact"/>
        <w:ind w:firstLine="420" w:firstLineChars="200"/>
        <w:outlineLvl w:val="1"/>
        <w:rPr>
          <w:rFonts w:ascii="黑体" w:hAnsi="黑体" w:eastAsia="黑体" w:cs="黑体"/>
          <w:color w:val="auto"/>
          <w:kern w:val="0"/>
          <w:sz w:val="32"/>
          <w:szCs w:val="32"/>
          <w:lang w:bidi="ar"/>
        </w:rPr>
      </w:pPr>
      <w:r>
        <w:rPr>
          <w:color w:val="auto"/>
        </w:rPr>
        <w:br w:type="page"/>
      </w:r>
      <w:bookmarkStart w:id="15" w:name="_Toc89358218"/>
      <w:r>
        <w:rPr>
          <w:rFonts w:ascii="黑体" w:hAnsi="黑体" w:eastAsia="黑体" w:cs="黑体"/>
          <w:color w:val="auto"/>
          <w:kern w:val="0"/>
          <w:sz w:val="32"/>
          <w:szCs w:val="32"/>
          <w:lang w:bidi="ar"/>
        </w:rPr>
        <w:t>一、集中带量采购当事人</w:t>
      </w:r>
      <w:bookmarkEnd w:id="15"/>
    </w:p>
    <w:p>
      <w:pPr>
        <w:spacing w:line="600" w:lineRule="exact"/>
        <w:ind w:firstLine="642" w:firstLineChars="200"/>
        <w:rPr>
          <w:b/>
          <w:bCs/>
          <w:color w:val="auto"/>
          <w:sz w:val="32"/>
          <w:szCs w:val="32"/>
        </w:rPr>
      </w:pPr>
      <w:r>
        <w:rPr>
          <w:rFonts w:ascii="楷体" w:hAnsi="楷体" w:eastAsia="楷体" w:cs="楷体"/>
          <w:b/>
          <w:bCs/>
          <w:color w:val="auto"/>
          <w:kern w:val="0"/>
          <w:sz w:val="32"/>
          <w:szCs w:val="32"/>
          <w:lang w:bidi="ar"/>
        </w:rPr>
        <w:t>（一）申报企业</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ascii="仿宋_GB2312" w:hAnsi="宋体" w:eastAsia="仿宋_GB2312" w:cs="仿宋_GB2312"/>
          <w:color w:val="auto"/>
          <w:kern w:val="0"/>
          <w:sz w:val="32"/>
          <w:szCs w:val="32"/>
          <w:lang w:bidi="ar"/>
        </w:rPr>
        <w:t>1.</w:t>
      </w:r>
      <w:r>
        <w:rPr>
          <w:rFonts w:hint="eastAsia" w:ascii="仿宋_GB2312" w:hAnsi="宋体" w:eastAsia="仿宋_GB2312" w:cs="仿宋_GB2312"/>
          <w:color w:val="auto"/>
          <w:kern w:val="0"/>
          <w:sz w:val="32"/>
          <w:szCs w:val="32"/>
          <w:lang w:bidi="ar"/>
        </w:rPr>
        <w:t>申报企业应当具备以下条件：</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w:t>
      </w:r>
      <w:r>
        <w:rPr>
          <w:rFonts w:ascii="仿宋_GB2312" w:hAnsi="宋体" w:eastAsia="仿宋_GB2312" w:cs="仿宋_GB2312"/>
          <w:color w:val="auto"/>
          <w:kern w:val="0"/>
          <w:sz w:val="32"/>
          <w:szCs w:val="32"/>
          <w:lang w:bidi="ar"/>
        </w:rPr>
        <w:t>1</w:t>
      </w:r>
      <w:r>
        <w:rPr>
          <w:rFonts w:hint="eastAsia" w:ascii="仿宋_GB2312" w:hAnsi="宋体" w:eastAsia="仿宋_GB2312" w:cs="仿宋_GB2312"/>
          <w:color w:val="auto"/>
          <w:kern w:val="0"/>
          <w:sz w:val="32"/>
          <w:szCs w:val="32"/>
          <w:lang w:bidi="ar"/>
        </w:rPr>
        <w:t>）具有履行采购协议必须具备的能力。</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w:t>
      </w:r>
      <w:r>
        <w:rPr>
          <w:rFonts w:ascii="仿宋_GB2312" w:hAnsi="宋体" w:eastAsia="仿宋_GB2312" w:cs="仿宋_GB2312"/>
          <w:color w:val="auto"/>
          <w:kern w:val="0"/>
          <w:sz w:val="32"/>
          <w:szCs w:val="32"/>
          <w:lang w:bidi="ar"/>
        </w:rPr>
        <w:t>2</w:t>
      </w:r>
      <w:r>
        <w:rPr>
          <w:rFonts w:hint="eastAsia" w:ascii="仿宋_GB2312" w:hAnsi="宋体" w:eastAsia="仿宋_GB2312" w:cs="仿宋_GB2312"/>
          <w:color w:val="auto"/>
          <w:kern w:val="0"/>
          <w:sz w:val="32"/>
          <w:szCs w:val="32"/>
          <w:lang w:bidi="ar"/>
        </w:rPr>
        <w:t>）未被列入当前《全国医药价格和招采失信企业风险警示名单》，未被国家组织高值医用耗材联合采购办公室列入“违规名单”，未被国家或联盟地区依据医药价格和招采信用评价制度评定为“严重”或“特别严重”失信等级。</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w:t>
      </w:r>
      <w:r>
        <w:rPr>
          <w:rFonts w:ascii="仿宋_GB2312" w:hAnsi="宋体" w:eastAsia="仿宋_GB2312" w:cs="仿宋_GB2312"/>
          <w:color w:val="auto"/>
          <w:kern w:val="0"/>
          <w:sz w:val="32"/>
          <w:szCs w:val="32"/>
          <w:lang w:bidi="ar"/>
        </w:rPr>
        <w:t>3</w:t>
      </w:r>
      <w:r>
        <w:rPr>
          <w:rFonts w:hint="eastAsia" w:ascii="仿宋_GB2312" w:hAnsi="宋体" w:eastAsia="仿宋_GB2312" w:cs="仿宋_GB2312"/>
          <w:color w:val="auto"/>
          <w:kern w:val="0"/>
          <w:sz w:val="32"/>
          <w:szCs w:val="32"/>
          <w:lang w:bidi="ar"/>
        </w:rPr>
        <w:t>）对申报产品的质量负责，一旦中选，作为供应保障的第一责任人，及时、足量按要求组织生产，并向配送企业发送中选产品，满足医疗机构临床使用需求。</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ascii="仿宋_GB2312" w:hAnsi="宋体" w:eastAsia="仿宋_GB2312" w:cs="仿宋_GB2312"/>
          <w:color w:val="auto"/>
          <w:kern w:val="0"/>
          <w:sz w:val="32"/>
          <w:szCs w:val="32"/>
          <w:lang w:bidi="ar"/>
        </w:rPr>
        <w:t>2.</w:t>
      </w:r>
      <w:r>
        <w:rPr>
          <w:rFonts w:hint="eastAsia" w:ascii="仿宋_GB2312" w:hAnsi="宋体" w:eastAsia="仿宋_GB2312" w:cs="仿宋_GB2312"/>
          <w:color w:val="auto"/>
          <w:kern w:val="0"/>
          <w:sz w:val="32"/>
          <w:szCs w:val="32"/>
          <w:lang w:bidi="ar"/>
        </w:rPr>
        <w:t>申报企业应按照本采购文件的要求编制申报材料，申报材料应对本采购文件提出的要求和条件作出实质性响应。</w:t>
      </w:r>
    </w:p>
    <w:p>
      <w:pPr>
        <w:spacing w:line="600" w:lineRule="exact"/>
        <w:ind w:firstLine="642" w:firstLineChars="200"/>
        <w:rPr>
          <w:rFonts w:hint="eastAsia" w:ascii="楷体" w:hAnsi="楷体" w:eastAsia="楷体" w:cs="楷体"/>
          <w:b/>
          <w:bCs/>
          <w:color w:val="auto"/>
          <w:kern w:val="0"/>
          <w:sz w:val="32"/>
          <w:szCs w:val="32"/>
          <w:lang w:bidi="ar"/>
        </w:rPr>
      </w:pPr>
      <w:r>
        <w:rPr>
          <w:rFonts w:hint="eastAsia" w:ascii="楷体" w:hAnsi="楷体" w:eastAsia="楷体" w:cs="楷体"/>
          <w:b/>
          <w:bCs/>
          <w:color w:val="auto"/>
          <w:kern w:val="0"/>
          <w:sz w:val="32"/>
          <w:szCs w:val="32"/>
          <w:lang w:bidi="ar"/>
        </w:rPr>
        <w:t>（二）其他要求</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ascii="仿宋_GB2312" w:hAnsi="宋体" w:eastAsia="仿宋_GB2312" w:cs="仿宋_GB2312"/>
          <w:color w:val="auto"/>
          <w:kern w:val="0"/>
          <w:sz w:val="32"/>
          <w:szCs w:val="32"/>
          <w:lang w:bidi="ar"/>
        </w:rPr>
        <w:t>1.</w:t>
      </w:r>
      <w:r>
        <w:rPr>
          <w:rFonts w:hint="eastAsia" w:ascii="仿宋_GB2312" w:hAnsi="宋体" w:eastAsia="仿宋_GB2312" w:cs="仿宋_GB2312"/>
          <w:color w:val="auto"/>
          <w:kern w:val="0"/>
          <w:sz w:val="32"/>
          <w:szCs w:val="32"/>
          <w:lang w:bidi="ar"/>
        </w:rPr>
        <w:t>若申报企业不具备申报资格中规定必须满足的全部要求或涉嫌提供虚假证明材料的，一经确认，联席会议办公室将视其为无效申报；情节严重的，列入“违规名单”，作出相应处置。</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ascii="仿宋_GB2312" w:hAnsi="宋体" w:eastAsia="仿宋_GB2312" w:cs="仿宋_GB2312"/>
          <w:color w:val="auto"/>
          <w:kern w:val="0"/>
          <w:sz w:val="32"/>
          <w:szCs w:val="32"/>
          <w:lang w:bidi="ar"/>
        </w:rPr>
        <w:t>2.联席会议办公室根据工作需要可对中选产品生产及中选产品质量进行调查（调查形式根据实际情况确定），中选企业应予以积极配合。</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3</w:t>
      </w:r>
      <w:r>
        <w:rPr>
          <w:rFonts w:ascii="仿宋_GB2312" w:hAnsi="宋体" w:eastAsia="仿宋_GB2312" w:cs="仿宋_GB2312"/>
          <w:color w:val="auto"/>
          <w:kern w:val="0"/>
          <w:sz w:val="32"/>
          <w:szCs w:val="32"/>
          <w:lang w:bidi="ar"/>
        </w:rPr>
        <w:t>.</w:t>
      </w:r>
      <w:r>
        <w:rPr>
          <w:rFonts w:hint="eastAsia" w:ascii="仿宋_GB2312" w:hAnsi="宋体" w:eastAsia="仿宋_GB2312" w:cs="仿宋_GB2312"/>
          <w:color w:val="auto"/>
          <w:kern w:val="0"/>
          <w:sz w:val="32"/>
          <w:szCs w:val="32"/>
          <w:lang w:bidi="ar"/>
        </w:rPr>
        <w:t>申报企业中选后，须按要求签订采购协议。</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ascii="仿宋_GB2312" w:hAnsi="宋体" w:eastAsia="仿宋_GB2312" w:cs="仿宋_GB2312"/>
          <w:color w:val="auto"/>
          <w:kern w:val="0"/>
          <w:sz w:val="32"/>
          <w:szCs w:val="32"/>
          <w:lang w:bidi="ar"/>
        </w:rPr>
        <w:t>4.</w:t>
      </w:r>
      <w:r>
        <w:rPr>
          <w:rFonts w:hint="eastAsia" w:ascii="仿宋_GB2312" w:hAnsi="宋体" w:eastAsia="仿宋_GB2312" w:cs="仿宋_GB2312"/>
          <w:color w:val="auto"/>
          <w:kern w:val="0"/>
          <w:sz w:val="32"/>
          <w:szCs w:val="32"/>
          <w:lang w:bidi="ar"/>
        </w:rPr>
        <w:t>中选产品在履行协议中如遇国家政策调整或不可抗力，致使直接影响协议履行的，协商解决。</w:t>
      </w:r>
    </w:p>
    <w:p>
      <w:pPr>
        <w:spacing w:line="600" w:lineRule="exact"/>
        <w:ind w:firstLine="640" w:firstLineChars="200"/>
        <w:outlineLvl w:val="1"/>
        <w:rPr>
          <w:rFonts w:ascii="黑体" w:hAnsi="黑体" w:eastAsia="黑体" w:cs="黑体"/>
          <w:color w:val="auto"/>
          <w:kern w:val="0"/>
          <w:sz w:val="32"/>
          <w:szCs w:val="32"/>
          <w:lang w:bidi="ar"/>
        </w:rPr>
      </w:pPr>
      <w:bookmarkStart w:id="16" w:name="_Toc89358219"/>
      <w:r>
        <w:rPr>
          <w:rFonts w:ascii="黑体" w:hAnsi="黑体" w:eastAsia="黑体" w:cs="黑体"/>
          <w:color w:val="auto"/>
          <w:kern w:val="0"/>
          <w:sz w:val="32"/>
          <w:szCs w:val="32"/>
          <w:lang w:bidi="ar"/>
        </w:rPr>
        <w:t>二、申报材料编制</w:t>
      </w:r>
      <w:bookmarkEnd w:id="16"/>
    </w:p>
    <w:p>
      <w:pPr>
        <w:spacing w:line="600" w:lineRule="exact"/>
        <w:ind w:firstLine="642" w:firstLineChars="200"/>
        <w:rPr>
          <w:rFonts w:hint="eastAsia" w:ascii="楷体" w:hAnsi="楷体" w:eastAsia="楷体" w:cs="楷体"/>
          <w:b/>
          <w:bCs/>
          <w:color w:val="auto"/>
          <w:kern w:val="0"/>
          <w:sz w:val="32"/>
          <w:szCs w:val="32"/>
          <w:lang w:bidi="ar"/>
        </w:rPr>
      </w:pPr>
      <w:r>
        <w:rPr>
          <w:rFonts w:hint="eastAsia" w:ascii="楷体" w:hAnsi="楷体" w:eastAsia="楷体" w:cs="楷体"/>
          <w:b/>
          <w:bCs/>
          <w:color w:val="auto"/>
          <w:kern w:val="0"/>
          <w:sz w:val="32"/>
          <w:szCs w:val="32"/>
          <w:lang w:bidi="ar"/>
        </w:rPr>
        <w:t>（一）编制要求</w:t>
      </w:r>
    </w:p>
    <w:p>
      <w:pPr>
        <w:spacing w:line="600" w:lineRule="exact"/>
        <w:ind w:firstLine="640" w:firstLineChars="200"/>
        <w:rPr>
          <w:color w:val="auto"/>
          <w:sz w:val="32"/>
          <w:szCs w:val="32"/>
        </w:rPr>
      </w:pPr>
      <w:r>
        <w:rPr>
          <w:rFonts w:ascii="仿宋_GB2312" w:hAnsi="宋体" w:eastAsia="仿宋_GB2312" w:cs="仿宋_GB2312"/>
          <w:color w:val="auto"/>
          <w:kern w:val="0"/>
          <w:sz w:val="32"/>
          <w:szCs w:val="32"/>
          <w:lang w:bidi="ar"/>
        </w:rPr>
        <w:t>申报企业应仔细阅读本采购文件全部内容，按采购文件的</w:t>
      </w:r>
      <w:r>
        <w:rPr>
          <w:rFonts w:hint="eastAsia" w:ascii="仿宋_GB2312" w:hAnsi="宋体" w:eastAsia="仿宋_GB2312" w:cs="仿宋_GB2312"/>
          <w:color w:val="auto"/>
          <w:kern w:val="0"/>
          <w:sz w:val="32"/>
          <w:szCs w:val="32"/>
          <w:lang w:bidi="ar"/>
        </w:rPr>
        <w:t>要求提供申报材料，并保证所提供的全部材料真实有效。申报材料涉及有效期限的，必须在申报信息公开当日仍在有效期内。如果由于申报企业没有按照采购文件的要求提交完整材料，或者提交的申报材料没有对采购文件作出实质性响应、申报材料内容不实等原因，影响中选结果的，由申报企业自行负责。</w:t>
      </w:r>
    </w:p>
    <w:p>
      <w:pPr>
        <w:spacing w:line="600" w:lineRule="exact"/>
        <w:ind w:firstLine="642" w:firstLineChars="200"/>
        <w:rPr>
          <w:rFonts w:hint="eastAsia" w:ascii="楷体" w:hAnsi="楷体" w:eastAsia="楷体" w:cs="楷体"/>
          <w:b/>
          <w:bCs/>
          <w:color w:val="auto"/>
          <w:kern w:val="0"/>
          <w:sz w:val="32"/>
          <w:szCs w:val="32"/>
          <w:lang w:bidi="ar"/>
        </w:rPr>
      </w:pPr>
      <w:r>
        <w:rPr>
          <w:rFonts w:hint="eastAsia" w:ascii="楷体" w:hAnsi="楷体" w:eastAsia="楷体" w:cs="楷体"/>
          <w:b/>
          <w:bCs/>
          <w:color w:val="auto"/>
          <w:kern w:val="0"/>
          <w:sz w:val="32"/>
          <w:szCs w:val="32"/>
          <w:lang w:bidi="ar"/>
        </w:rPr>
        <w:t>（二）申报语言、计量单位和医用耗材名称、医用耗材规格型号表示</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ascii="仿宋_GB2312" w:hAnsi="宋体" w:eastAsia="仿宋_GB2312" w:cs="仿宋_GB2312"/>
          <w:color w:val="auto"/>
          <w:kern w:val="0"/>
          <w:sz w:val="32"/>
          <w:szCs w:val="32"/>
          <w:lang w:bidi="ar"/>
        </w:rPr>
        <w:t>1.</w:t>
      </w:r>
      <w:r>
        <w:rPr>
          <w:rFonts w:hint="eastAsia" w:ascii="仿宋_GB2312" w:hAnsi="宋体" w:eastAsia="仿宋_GB2312" w:cs="仿宋_GB2312"/>
          <w:color w:val="auto"/>
          <w:kern w:val="0"/>
          <w:sz w:val="32"/>
          <w:szCs w:val="32"/>
          <w:lang w:bidi="ar"/>
        </w:rPr>
        <w:t>申报企业与联席会议办公室就申报递交的材料、交换的文件和来往信件，一律以中文书写。企业提供的相关资料为外文的，应附中文翻译，因翻译错误或有歧义等原因，影响中选结果的，由申报企业自行负责。</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ascii="仿宋_GB2312" w:hAnsi="宋体" w:eastAsia="仿宋_GB2312" w:cs="仿宋_GB2312"/>
          <w:color w:val="auto"/>
          <w:kern w:val="0"/>
          <w:sz w:val="32"/>
          <w:szCs w:val="32"/>
          <w:lang w:bidi="ar"/>
        </w:rPr>
        <w:t>2.</w:t>
      </w:r>
      <w:r>
        <w:rPr>
          <w:rFonts w:hint="eastAsia" w:ascii="仿宋_GB2312" w:hAnsi="宋体" w:eastAsia="仿宋_GB2312" w:cs="仿宋_GB2312"/>
          <w:color w:val="auto"/>
          <w:kern w:val="0"/>
          <w:sz w:val="32"/>
          <w:szCs w:val="32"/>
          <w:lang w:bidi="ar"/>
        </w:rPr>
        <w:t>除申报材料中对技术规格另有规定外，应使用中华人民共和国法定计量单位和有关部门规定的医用耗材名称、医用耗材规格型号表示方法。</w:t>
      </w:r>
    </w:p>
    <w:p>
      <w:pPr>
        <w:spacing w:line="600" w:lineRule="exact"/>
        <w:ind w:firstLine="642" w:firstLineChars="200"/>
        <w:rPr>
          <w:rFonts w:hint="eastAsia" w:ascii="楷体" w:hAnsi="楷体" w:eastAsia="楷体" w:cs="楷体"/>
          <w:b/>
          <w:bCs/>
          <w:color w:val="auto"/>
          <w:kern w:val="0"/>
          <w:sz w:val="32"/>
          <w:szCs w:val="32"/>
          <w:lang w:bidi="ar"/>
        </w:rPr>
      </w:pPr>
      <w:r>
        <w:rPr>
          <w:rFonts w:hint="eastAsia" w:ascii="楷体" w:hAnsi="楷体" w:eastAsia="楷体" w:cs="楷体"/>
          <w:b/>
          <w:bCs/>
          <w:color w:val="auto"/>
          <w:kern w:val="0"/>
          <w:sz w:val="32"/>
          <w:szCs w:val="32"/>
          <w:lang w:bidi="ar"/>
        </w:rPr>
        <w:t>（三）申报材料的构成</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按采购文件附件1-4提供的申报材料格式要求，用</w:t>
      </w:r>
      <w:r>
        <w:rPr>
          <w:rFonts w:ascii="仿宋_GB2312" w:hAnsi="宋体" w:eastAsia="仿宋_GB2312" w:cs="仿宋_GB2312"/>
          <w:color w:val="auto"/>
          <w:kern w:val="0"/>
          <w:sz w:val="32"/>
          <w:szCs w:val="32"/>
          <w:lang w:bidi="ar"/>
        </w:rPr>
        <w:t>A4</w:t>
      </w:r>
      <w:r>
        <w:rPr>
          <w:rFonts w:hint="eastAsia" w:ascii="仿宋_GB2312" w:hAnsi="宋体" w:eastAsia="仿宋_GB2312" w:cs="仿宋_GB2312"/>
          <w:color w:val="auto"/>
          <w:kern w:val="0"/>
          <w:sz w:val="32"/>
          <w:szCs w:val="32"/>
          <w:lang w:bidi="ar"/>
        </w:rPr>
        <w:t>纸依顺序准备纸质申报材料并逐页盖章，构成如下：</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1.联盟地区医用耗材带量采购申报承诺函（附件</w:t>
      </w:r>
      <w:r>
        <w:rPr>
          <w:rFonts w:ascii="仿宋_GB2312" w:hAnsi="宋体" w:eastAsia="仿宋_GB2312" w:cs="仿宋_GB2312"/>
          <w:color w:val="auto"/>
          <w:kern w:val="0"/>
          <w:sz w:val="32"/>
          <w:szCs w:val="32"/>
          <w:lang w:bidi="ar"/>
        </w:rPr>
        <w:t>1</w:t>
      </w:r>
      <w:r>
        <w:rPr>
          <w:rFonts w:hint="eastAsia" w:ascii="仿宋_GB2312" w:hAnsi="宋体" w:eastAsia="仿宋_GB2312" w:cs="仿宋_GB2312"/>
          <w:color w:val="auto"/>
          <w:kern w:val="0"/>
          <w:sz w:val="32"/>
          <w:szCs w:val="32"/>
          <w:lang w:bidi="ar"/>
        </w:rPr>
        <w:t>）。</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2.法定代表人授权书（附件</w:t>
      </w:r>
      <w:r>
        <w:rPr>
          <w:rFonts w:ascii="仿宋_GB2312" w:hAnsi="宋体" w:eastAsia="仿宋_GB2312" w:cs="仿宋_GB2312"/>
          <w:color w:val="auto"/>
          <w:kern w:val="0"/>
          <w:sz w:val="32"/>
          <w:szCs w:val="32"/>
          <w:lang w:bidi="ar"/>
        </w:rPr>
        <w:t>2</w:t>
      </w:r>
      <w:r>
        <w:rPr>
          <w:rFonts w:hint="eastAsia" w:ascii="仿宋_GB2312" w:hAnsi="宋体" w:eastAsia="仿宋_GB2312" w:cs="仿宋_GB2312"/>
          <w:color w:val="auto"/>
          <w:kern w:val="0"/>
          <w:sz w:val="32"/>
          <w:szCs w:val="32"/>
          <w:lang w:bidi="ar"/>
        </w:rPr>
        <w:t>）。</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ascii="仿宋_GB2312" w:hAnsi="宋体" w:eastAsia="仿宋_GB2312" w:cs="仿宋_GB2312"/>
          <w:color w:val="auto"/>
          <w:kern w:val="0"/>
          <w:sz w:val="32"/>
          <w:szCs w:val="32"/>
          <w:lang w:bidi="ar"/>
        </w:rPr>
        <w:t>3.</w:t>
      </w:r>
      <w:r>
        <w:rPr>
          <w:rFonts w:hint="eastAsia" w:ascii="仿宋_GB2312" w:hAnsi="宋体" w:eastAsia="仿宋_GB2312" w:cs="仿宋_GB2312"/>
          <w:color w:val="auto"/>
          <w:kern w:val="0"/>
          <w:sz w:val="32"/>
          <w:szCs w:val="32"/>
          <w:lang w:bidi="ar"/>
        </w:rPr>
        <w:t>医药企业价格和营销行为信用承诺书（附件</w:t>
      </w:r>
      <w:r>
        <w:rPr>
          <w:rFonts w:ascii="仿宋_GB2312" w:hAnsi="宋体" w:eastAsia="仿宋_GB2312" w:cs="仿宋_GB2312"/>
          <w:color w:val="auto"/>
          <w:kern w:val="0"/>
          <w:sz w:val="32"/>
          <w:szCs w:val="32"/>
          <w:lang w:bidi="ar"/>
        </w:rPr>
        <w:t>3</w:t>
      </w:r>
      <w:r>
        <w:rPr>
          <w:rFonts w:hint="eastAsia" w:ascii="仿宋_GB2312" w:hAnsi="宋体" w:eastAsia="仿宋_GB2312" w:cs="仿宋_GB2312"/>
          <w:color w:val="auto"/>
          <w:kern w:val="0"/>
          <w:sz w:val="32"/>
          <w:szCs w:val="32"/>
          <w:lang w:bidi="ar"/>
        </w:rPr>
        <w:t>）。</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ascii="仿宋_GB2312" w:hAnsi="宋体" w:eastAsia="仿宋_GB2312" w:cs="仿宋_GB2312"/>
          <w:color w:val="auto"/>
          <w:kern w:val="0"/>
          <w:sz w:val="32"/>
          <w:szCs w:val="32"/>
          <w:lang w:bidi="ar"/>
        </w:rPr>
        <w:t>4.</w:t>
      </w:r>
      <w:r>
        <w:rPr>
          <w:rFonts w:hint="eastAsia" w:ascii="仿宋_GB2312" w:hAnsi="宋体" w:eastAsia="仿宋_GB2312" w:cs="仿宋_GB2312"/>
          <w:color w:val="auto"/>
          <w:kern w:val="0"/>
          <w:sz w:val="32"/>
          <w:szCs w:val="32"/>
          <w:lang w:bidi="ar"/>
        </w:rPr>
        <w:t>申报信息一览表（附件</w:t>
      </w:r>
      <w:r>
        <w:rPr>
          <w:rFonts w:ascii="仿宋_GB2312" w:hAnsi="宋体" w:eastAsia="仿宋_GB2312" w:cs="仿宋_GB2312"/>
          <w:color w:val="auto"/>
          <w:kern w:val="0"/>
          <w:sz w:val="32"/>
          <w:szCs w:val="32"/>
          <w:lang w:bidi="ar"/>
        </w:rPr>
        <w:t>4</w:t>
      </w:r>
      <w:r>
        <w:rPr>
          <w:rFonts w:hint="eastAsia" w:ascii="仿宋_GB2312" w:hAnsi="宋体" w:eastAsia="仿宋_GB2312" w:cs="仿宋_GB2312"/>
          <w:color w:val="auto"/>
          <w:kern w:val="0"/>
          <w:sz w:val="32"/>
          <w:szCs w:val="32"/>
          <w:lang w:bidi="ar"/>
        </w:rPr>
        <w:t>）。</w:t>
      </w:r>
    </w:p>
    <w:p>
      <w:pPr>
        <w:spacing w:line="600" w:lineRule="exact"/>
        <w:ind w:firstLine="642" w:firstLineChars="200"/>
        <w:rPr>
          <w:rFonts w:hint="eastAsia" w:ascii="楷体" w:hAnsi="楷体" w:eastAsia="楷体" w:cs="楷体"/>
          <w:b/>
          <w:bCs/>
          <w:color w:val="auto"/>
          <w:kern w:val="0"/>
          <w:sz w:val="32"/>
          <w:szCs w:val="32"/>
          <w:lang w:bidi="ar"/>
        </w:rPr>
      </w:pPr>
      <w:r>
        <w:rPr>
          <w:rFonts w:hint="eastAsia" w:ascii="楷体" w:hAnsi="楷体" w:eastAsia="楷体" w:cs="楷体"/>
          <w:b/>
          <w:bCs/>
          <w:color w:val="auto"/>
          <w:kern w:val="0"/>
          <w:sz w:val="32"/>
          <w:szCs w:val="32"/>
          <w:lang w:bidi="ar"/>
        </w:rPr>
        <w:t>（四）申报报价</w:t>
      </w:r>
    </w:p>
    <w:p>
      <w:pPr>
        <w:spacing w:line="600" w:lineRule="exact"/>
        <w:ind w:firstLine="640" w:firstLineChars="200"/>
        <w:rPr>
          <w:rFonts w:hint="eastAsia" w:ascii="仿宋_GB2312" w:hAnsi="宋体" w:eastAsia="仿宋_GB2312" w:cs="仿宋_GB2312"/>
          <w:color w:val="auto"/>
          <w:kern w:val="0"/>
          <w:sz w:val="32"/>
          <w:szCs w:val="32"/>
          <w:shd w:val="clear" w:color="auto" w:fill="D9D9D9"/>
          <w:lang w:bidi="ar"/>
        </w:rPr>
      </w:pPr>
      <w:r>
        <w:rPr>
          <w:rFonts w:ascii="仿宋_GB2312" w:hAnsi="宋体" w:eastAsia="仿宋_GB2312" w:cs="仿宋_GB2312"/>
          <w:color w:val="auto"/>
          <w:kern w:val="0"/>
          <w:sz w:val="32"/>
          <w:szCs w:val="32"/>
          <w:lang w:bidi="ar"/>
        </w:rPr>
        <w:t>1.企业申报价格以人民币填报，单位为“元”，保留</w:t>
      </w:r>
      <w:r>
        <w:rPr>
          <w:rFonts w:hint="eastAsia" w:ascii="仿宋_GB2312" w:hAnsi="宋体" w:eastAsia="仿宋_GB2312" w:cs="仿宋_GB2312"/>
          <w:color w:val="auto"/>
          <w:kern w:val="0"/>
          <w:sz w:val="32"/>
          <w:szCs w:val="32"/>
          <w:lang w:bidi="ar"/>
        </w:rPr>
        <w:t>小数点后4</w:t>
      </w:r>
      <w:r>
        <w:rPr>
          <w:rFonts w:ascii="仿宋_GB2312" w:hAnsi="宋体" w:eastAsia="仿宋_GB2312" w:cs="仿宋_GB2312"/>
          <w:color w:val="auto"/>
          <w:kern w:val="0"/>
          <w:sz w:val="32"/>
          <w:szCs w:val="32"/>
          <w:lang w:bidi="ar"/>
        </w:rPr>
        <w:t>位</w:t>
      </w:r>
      <w:r>
        <w:rPr>
          <w:rFonts w:hint="eastAsia" w:ascii="仿宋_GB2312" w:hAnsi="宋体" w:eastAsia="仿宋_GB2312" w:cs="仿宋_GB2312"/>
          <w:color w:val="auto"/>
          <w:kern w:val="0"/>
          <w:sz w:val="32"/>
          <w:szCs w:val="32"/>
          <w:lang w:bidi="ar"/>
        </w:rPr>
        <w:t>。</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ascii="仿宋_GB2312" w:hAnsi="宋体" w:eastAsia="仿宋_GB2312" w:cs="仿宋_GB2312"/>
          <w:color w:val="auto"/>
          <w:kern w:val="0"/>
          <w:sz w:val="32"/>
          <w:szCs w:val="32"/>
          <w:lang w:bidi="ar"/>
        </w:rPr>
        <w:t>2.报价为申报产品中选后的实际供应价，包含税费、配送费以及伴随服务等所有费用。</w:t>
      </w:r>
    </w:p>
    <w:p>
      <w:pPr>
        <w:spacing w:line="600" w:lineRule="exact"/>
        <w:ind w:firstLine="640" w:firstLineChars="200"/>
        <w:rPr>
          <w:rFonts w:hint="eastAsia" w:ascii="仿宋_GB2312" w:hAnsi="宋体" w:eastAsia="仿宋_GB2312" w:cs="仿宋_GB2312"/>
          <w:color w:val="auto"/>
          <w:sz w:val="32"/>
          <w:szCs w:val="32"/>
          <w:lang w:bidi="ar"/>
        </w:rPr>
      </w:pPr>
      <w:r>
        <w:rPr>
          <w:rFonts w:ascii="仿宋_GB2312" w:hAnsi="宋体" w:eastAsia="仿宋_GB2312" w:cs="仿宋_GB2312"/>
          <w:color w:val="auto"/>
          <w:sz w:val="32"/>
          <w:szCs w:val="32"/>
          <w:lang w:bidi="ar"/>
        </w:rPr>
        <w:t>3.申报价格按采购品种+包装计量单位进行申报。</w:t>
      </w:r>
      <w:r>
        <w:rPr>
          <w:rFonts w:hint="eastAsia" w:ascii="仿宋_GB2312" w:hAnsi="宋体" w:eastAsia="仿宋_GB2312" w:cs="仿宋_GB2312"/>
          <w:color w:val="auto"/>
          <w:sz w:val="32"/>
          <w:szCs w:val="32"/>
          <w:lang w:bidi="ar"/>
        </w:rPr>
        <w:t>纳入ml组的产品以ml为单位进行报价，纳入测试组的产品以测试为单位进行报价。同一申报企业相同品种下，ml组有且仅允许有一个报价，测试组有且仅允许有一个报价。</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4</w:t>
      </w:r>
      <w:r>
        <w:rPr>
          <w:rFonts w:ascii="仿宋_GB2312" w:hAnsi="宋体" w:eastAsia="仿宋_GB2312" w:cs="仿宋_GB2312"/>
          <w:color w:val="auto"/>
          <w:kern w:val="0"/>
          <w:sz w:val="32"/>
          <w:szCs w:val="32"/>
          <w:lang w:bidi="ar"/>
        </w:rPr>
        <w:t>.</w:t>
      </w:r>
      <w:r>
        <w:rPr>
          <w:rFonts w:hint="eastAsia" w:ascii="仿宋_GB2312" w:hAnsi="宋体" w:eastAsia="仿宋_GB2312" w:cs="仿宋_GB2312"/>
          <w:color w:val="auto"/>
          <w:kern w:val="0"/>
          <w:sz w:val="32"/>
          <w:szCs w:val="32"/>
          <w:lang w:val="en" w:bidi="ar"/>
        </w:rPr>
        <w:t>申报价格不得高于最高有效申报价，高于最高有效申报价的视为无效申报</w:t>
      </w:r>
      <w:r>
        <w:rPr>
          <w:rFonts w:hint="eastAsia" w:ascii="仿宋_GB2312" w:hAnsi="宋体" w:eastAsia="仿宋_GB2312" w:cs="仿宋_GB2312"/>
          <w:color w:val="auto"/>
          <w:kern w:val="0"/>
          <w:sz w:val="32"/>
          <w:szCs w:val="32"/>
          <w:lang w:bidi="ar"/>
        </w:rPr>
        <w:t>。</w:t>
      </w:r>
      <w:r>
        <w:rPr>
          <w:rFonts w:hint="eastAsia" w:ascii="仿宋_GB2312" w:hAnsi="宋体" w:eastAsia="仿宋_GB2312" w:cs="仿宋_GB2312"/>
          <w:color w:val="auto"/>
          <w:kern w:val="0"/>
          <w:sz w:val="32"/>
          <w:szCs w:val="32"/>
          <w:lang w:val="en" w:bidi="ar"/>
        </w:rPr>
        <w:t>申报价格为空或为零的，视为无效申报。</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5.在规定时间内未申报或申报错误的，申报结束后不得补报或修改，由此引起的一切后果由申报企业自行负责。</w:t>
      </w:r>
    </w:p>
    <w:p>
      <w:pPr>
        <w:spacing w:line="600" w:lineRule="exact"/>
        <w:ind w:firstLine="642" w:firstLineChars="200"/>
        <w:rPr>
          <w:rFonts w:hint="eastAsia" w:ascii="楷体" w:hAnsi="楷体" w:eastAsia="楷体" w:cs="楷体"/>
          <w:b/>
          <w:bCs/>
          <w:color w:val="auto"/>
          <w:kern w:val="0"/>
          <w:sz w:val="32"/>
          <w:szCs w:val="32"/>
          <w:lang w:bidi="ar"/>
        </w:rPr>
      </w:pPr>
      <w:r>
        <w:rPr>
          <w:rFonts w:hint="eastAsia" w:ascii="楷体" w:hAnsi="楷体" w:eastAsia="楷体" w:cs="楷体"/>
          <w:b/>
          <w:bCs/>
          <w:color w:val="auto"/>
          <w:kern w:val="0"/>
          <w:sz w:val="32"/>
          <w:szCs w:val="32"/>
          <w:lang w:bidi="ar"/>
        </w:rPr>
        <w:t>（五）申报材料的式样和签署</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1.申报材料须打印或用不褪色书写工具书写，并加盖申报企业公章。</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2.申报企业除对笔误等作勘误外，不得行间插字、涂改或增删。如有修改，必须在修改处由企业法定代表人或被授权人签字或加盖申报企业公章。</w:t>
      </w:r>
    </w:p>
    <w:p>
      <w:pPr>
        <w:pStyle w:val="4"/>
        <w:spacing w:line="600" w:lineRule="exact"/>
        <w:ind w:firstLine="640" w:firstLineChars="200"/>
        <w:rPr>
          <w:rFonts w:eastAsia="仿宋_GB2312"/>
          <w:color w:val="auto"/>
        </w:rPr>
      </w:pPr>
      <w:r>
        <w:rPr>
          <w:rFonts w:hint="eastAsia" w:ascii="仿宋_GB2312" w:hAnsi="宋体" w:eastAsia="仿宋_GB2312" w:cs="仿宋_GB2312"/>
          <w:color w:val="auto"/>
          <w:kern w:val="0"/>
          <w:sz w:val="32"/>
          <w:szCs w:val="32"/>
          <w:lang w:bidi="ar"/>
        </w:rPr>
        <w:t>3.申报企业不得擅自对材料附件格式进行修改，否则视为无效材料。</w:t>
      </w:r>
    </w:p>
    <w:p>
      <w:pPr>
        <w:spacing w:line="600" w:lineRule="exact"/>
        <w:ind w:firstLine="640" w:firstLineChars="200"/>
        <w:outlineLvl w:val="1"/>
        <w:rPr>
          <w:rFonts w:hint="eastAsia" w:ascii="黑体" w:hAnsi="黑体" w:eastAsia="黑体" w:cs="黑体"/>
          <w:color w:val="auto"/>
          <w:kern w:val="0"/>
          <w:sz w:val="32"/>
          <w:szCs w:val="32"/>
          <w:lang w:bidi="ar"/>
        </w:rPr>
      </w:pPr>
      <w:bookmarkStart w:id="17" w:name="_Toc89358220"/>
      <w:r>
        <w:rPr>
          <w:rFonts w:hint="eastAsia" w:ascii="黑体" w:hAnsi="黑体" w:eastAsia="黑体" w:cs="黑体"/>
          <w:color w:val="auto"/>
          <w:kern w:val="0"/>
          <w:sz w:val="32"/>
          <w:szCs w:val="32"/>
          <w:lang w:bidi="ar"/>
        </w:rPr>
        <w:t>三、申报材料递交</w:t>
      </w:r>
      <w:bookmarkEnd w:id="17"/>
    </w:p>
    <w:p>
      <w:pPr>
        <w:spacing w:line="600" w:lineRule="exact"/>
        <w:ind w:firstLine="642" w:firstLineChars="200"/>
        <w:rPr>
          <w:rFonts w:ascii="仿宋_GB2312" w:hAnsi="宋体" w:eastAsia="楷体" w:cs="仿宋_GB2312"/>
          <w:color w:val="auto"/>
          <w:kern w:val="0"/>
          <w:sz w:val="32"/>
          <w:szCs w:val="32"/>
          <w:lang w:bidi="ar"/>
        </w:rPr>
      </w:pPr>
      <w:r>
        <w:rPr>
          <w:rFonts w:hint="eastAsia" w:ascii="楷体" w:hAnsi="楷体" w:eastAsia="楷体" w:cs="楷体"/>
          <w:b/>
          <w:bCs/>
          <w:color w:val="auto"/>
          <w:kern w:val="0"/>
          <w:sz w:val="32"/>
          <w:szCs w:val="32"/>
          <w:lang w:bidi="ar"/>
        </w:rPr>
        <w:t>（一）申报材料的封装和标记</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1.申报企业应将“申报信息一览表”（附件4）单独密封，并同《联盟地区医用耗材带量采购申报承诺函》（附件</w:t>
      </w:r>
      <w:r>
        <w:rPr>
          <w:rFonts w:ascii="仿宋_GB2312" w:hAnsi="宋体" w:eastAsia="仿宋_GB2312" w:cs="仿宋_GB2312"/>
          <w:color w:val="auto"/>
          <w:kern w:val="0"/>
          <w:sz w:val="32"/>
          <w:szCs w:val="32"/>
          <w:lang w:bidi="ar"/>
        </w:rPr>
        <w:t>1</w:t>
      </w:r>
      <w:r>
        <w:rPr>
          <w:rFonts w:hint="eastAsia" w:ascii="仿宋_GB2312" w:hAnsi="宋体" w:eastAsia="仿宋_GB2312" w:cs="仿宋_GB2312"/>
          <w:color w:val="auto"/>
          <w:kern w:val="0"/>
          <w:sz w:val="32"/>
          <w:szCs w:val="32"/>
          <w:lang w:bidi="ar"/>
        </w:rPr>
        <w:t>）、一份《法定代表人授权书》（附件</w:t>
      </w:r>
      <w:r>
        <w:rPr>
          <w:rFonts w:ascii="仿宋_GB2312" w:hAnsi="宋体" w:eastAsia="仿宋_GB2312" w:cs="仿宋_GB2312"/>
          <w:color w:val="auto"/>
          <w:kern w:val="0"/>
          <w:sz w:val="32"/>
          <w:szCs w:val="32"/>
          <w:lang w:bidi="ar"/>
        </w:rPr>
        <w:t>2</w:t>
      </w:r>
      <w:r>
        <w:rPr>
          <w:rFonts w:hint="eastAsia" w:ascii="仿宋_GB2312" w:hAnsi="宋体" w:eastAsia="仿宋_GB2312" w:cs="仿宋_GB2312"/>
          <w:color w:val="auto"/>
          <w:kern w:val="0"/>
          <w:sz w:val="32"/>
          <w:szCs w:val="32"/>
          <w:lang w:bidi="ar"/>
        </w:rPr>
        <w:t>）和《医药企业价格和营销行为信用承诺书》（附件</w:t>
      </w:r>
      <w:r>
        <w:rPr>
          <w:rFonts w:ascii="仿宋_GB2312" w:hAnsi="宋体" w:eastAsia="仿宋_GB2312" w:cs="仿宋_GB2312"/>
          <w:color w:val="auto"/>
          <w:kern w:val="0"/>
          <w:sz w:val="32"/>
          <w:szCs w:val="32"/>
          <w:lang w:bidi="ar"/>
        </w:rPr>
        <w:t>3</w:t>
      </w:r>
      <w:r>
        <w:rPr>
          <w:rFonts w:hint="eastAsia" w:ascii="仿宋_GB2312" w:hAnsi="宋体" w:eastAsia="仿宋_GB2312" w:cs="仿宋_GB2312"/>
          <w:color w:val="auto"/>
          <w:kern w:val="0"/>
          <w:sz w:val="32"/>
          <w:szCs w:val="32"/>
          <w:lang w:bidi="ar"/>
        </w:rPr>
        <w:t>）共同装入</w:t>
      </w:r>
      <w:r>
        <w:rPr>
          <w:rFonts w:ascii="仿宋_GB2312" w:hAnsi="宋体" w:eastAsia="仿宋_GB2312" w:cs="仿宋_GB2312"/>
          <w:color w:val="auto"/>
          <w:kern w:val="0"/>
          <w:sz w:val="32"/>
          <w:szCs w:val="32"/>
          <w:lang w:bidi="ar"/>
        </w:rPr>
        <w:t>1</w:t>
      </w:r>
      <w:r>
        <w:rPr>
          <w:rFonts w:hint="eastAsia" w:ascii="仿宋_GB2312" w:hAnsi="宋体" w:eastAsia="仿宋_GB2312" w:cs="仿宋_GB2312"/>
          <w:color w:val="auto"/>
          <w:kern w:val="0"/>
          <w:sz w:val="32"/>
          <w:szCs w:val="32"/>
          <w:lang w:bidi="ar"/>
        </w:rPr>
        <w:t>个信封，封口处用封条密封，并标明“申报截止时间前不得启封”。封口处加盖申报企业公章或由被授权人签字。</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2.被授权人需携带身份证明和另一份《法定代表人授权书》（附件</w:t>
      </w:r>
      <w:r>
        <w:rPr>
          <w:rFonts w:ascii="仿宋_GB2312" w:hAnsi="宋体" w:eastAsia="仿宋_GB2312" w:cs="仿宋_GB2312"/>
          <w:color w:val="auto"/>
          <w:kern w:val="0"/>
          <w:sz w:val="32"/>
          <w:szCs w:val="32"/>
          <w:lang w:bidi="ar"/>
        </w:rPr>
        <w:t>2</w:t>
      </w:r>
      <w:r>
        <w:rPr>
          <w:rFonts w:hint="eastAsia" w:ascii="仿宋_GB2312" w:hAnsi="宋体" w:eastAsia="仿宋_GB2312" w:cs="仿宋_GB2312"/>
          <w:color w:val="auto"/>
          <w:kern w:val="0"/>
          <w:sz w:val="32"/>
          <w:szCs w:val="32"/>
          <w:lang w:bidi="ar"/>
        </w:rPr>
        <w:t>）至申报现场，由公证人员现场查验，无需密封。</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ascii="仿宋_GB2312" w:hAnsi="宋体" w:eastAsia="仿宋_GB2312" w:cs="仿宋_GB2312"/>
          <w:color w:val="auto"/>
          <w:kern w:val="0"/>
          <w:sz w:val="32"/>
          <w:szCs w:val="32"/>
          <w:lang w:bidi="ar"/>
        </w:rPr>
        <w:t>3.</w:t>
      </w:r>
      <w:r>
        <w:rPr>
          <w:rFonts w:hint="eastAsia" w:ascii="仿宋_GB2312" w:hAnsi="宋体" w:eastAsia="仿宋_GB2312" w:cs="仿宋_GB2312"/>
          <w:color w:val="auto"/>
          <w:kern w:val="0"/>
          <w:sz w:val="32"/>
          <w:szCs w:val="32"/>
          <w:lang w:bidi="ar"/>
        </w:rPr>
        <w:t xml:space="preserve">不同医疗器械注册人如委托同一家企业申报，应分别提交申报材料。 </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4</w:t>
      </w:r>
      <w:r>
        <w:rPr>
          <w:rFonts w:ascii="仿宋_GB2312" w:hAnsi="宋体" w:eastAsia="仿宋_GB2312" w:cs="仿宋_GB2312"/>
          <w:color w:val="auto"/>
          <w:kern w:val="0"/>
          <w:sz w:val="32"/>
          <w:szCs w:val="32"/>
          <w:lang w:bidi="ar"/>
        </w:rPr>
        <w:t>.</w:t>
      </w:r>
      <w:r>
        <w:rPr>
          <w:rFonts w:hint="eastAsia" w:ascii="仿宋_GB2312" w:hAnsi="宋体" w:eastAsia="仿宋_GB2312" w:cs="仿宋_GB2312"/>
          <w:color w:val="auto"/>
          <w:kern w:val="0"/>
          <w:sz w:val="32"/>
          <w:szCs w:val="32"/>
          <w:lang w:bidi="ar"/>
        </w:rPr>
        <w:t>如因申报材料密封不严，导致提前启封，造成的后果，由申报企业自行负责。</w:t>
      </w:r>
    </w:p>
    <w:p>
      <w:pPr>
        <w:spacing w:line="600" w:lineRule="exact"/>
        <w:ind w:firstLine="642" w:firstLineChars="200"/>
        <w:rPr>
          <w:rFonts w:hint="eastAsia" w:ascii="楷体" w:hAnsi="楷体" w:eastAsia="楷体" w:cs="楷体"/>
          <w:b/>
          <w:bCs/>
          <w:color w:val="auto"/>
          <w:kern w:val="0"/>
          <w:sz w:val="32"/>
          <w:szCs w:val="32"/>
          <w:lang w:bidi="ar"/>
        </w:rPr>
      </w:pPr>
      <w:r>
        <w:rPr>
          <w:rFonts w:hint="eastAsia" w:ascii="楷体" w:hAnsi="楷体" w:eastAsia="楷体" w:cs="楷体"/>
          <w:b/>
          <w:bCs/>
          <w:color w:val="auto"/>
          <w:kern w:val="0"/>
          <w:sz w:val="32"/>
          <w:szCs w:val="32"/>
          <w:lang w:bidi="ar"/>
        </w:rPr>
        <w:t>（二）申报材料递交要求</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1.申报企业应在规定时间内和地点递交申报材料。</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2.联席会议办公室根据公证机构的意见，拒绝接收在申报截止时间后递交的任何申报及申报材料。</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3.申报截止时间后，申报企业不得对申报材料做任何修改。</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4.如实行线上开标，申报材料须转换为电子文档，上传至指定网站，具体要求另行通知。</w:t>
      </w:r>
    </w:p>
    <w:p>
      <w:pPr>
        <w:spacing w:line="600" w:lineRule="exact"/>
        <w:ind w:firstLine="640" w:firstLineChars="200"/>
        <w:outlineLvl w:val="1"/>
        <w:rPr>
          <w:rFonts w:hint="eastAsia" w:ascii="黑体" w:hAnsi="黑体" w:eastAsia="黑体" w:cs="黑体"/>
          <w:color w:val="auto"/>
          <w:kern w:val="0"/>
          <w:sz w:val="32"/>
          <w:szCs w:val="32"/>
          <w:lang w:bidi="ar"/>
        </w:rPr>
      </w:pPr>
      <w:bookmarkStart w:id="18" w:name="_Toc89358221"/>
      <w:r>
        <w:rPr>
          <w:rFonts w:hint="eastAsia" w:ascii="黑体" w:hAnsi="黑体" w:eastAsia="黑体" w:cs="黑体"/>
          <w:color w:val="auto"/>
          <w:kern w:val="0"/>
          <w:sz w:val="32"/>
          <w:szCs w:val="32"/>
          <w:lang w:bidi="ar"/>
        </w:rPr>
        <w:t>四、申报信息公开</w:t>
      </w:r>
      <w:bookmarkEnd w:id="18"/>
    </w:p>
    <w:p>
      <w:pPr>
        <w:spacing w:line="600" w:lineRule="exact"/>
        <w:ind w:firstLine="640" w:firstLineChars="200"/>
        <w:rPr>
          <w:rFonts w:hint="eastAsia" w:ascii="仿宋_GB2312" w:hAnsi="宋体" w:eastAsia="仿宋_GB2312" w:cs="仿宋_GB2312"/>
          <w:color w:val="auto"/>
          <w:kern w:val="0"/>
          <w:sz w:val="32"/>
          <w:szCs w:val="32"/>
          <w:lang w:bidi="ar"/>
        </w:rPr>
      </w:pPr>
      <w:bookmarkStart w:id="19" w:name="_Toc89358222"/>
      <w:r>
        <w:rPr>
          <w:rFonts w:hint="eastAsia" w:ascii="仿宋_GB2312" w:hAnsi="宋体" w:eastAsia="仿宋_GB2312" w:cs="仿宋_GB2312"/>
          <w:color w:val="auto"/>
          <w:kern w:val="0"/>
          <w:sz w:val="32"/>
          <w:szCs w:val="32"/>
          <w:lang w:bidi="ar"/>
        </w:rPr>
        <w:t>申报信息公开时邀请所有申报企业、公证机构和有关部门参加，对申报信息公开的全过程进行监督。</w:t>
      </w:r>
    </w:p>
    <w:p>
      <w:pPr>
        <w:spacing w:line="600" w:lineRule="exact"/>
        <w:ind w:firstLine="640" w:firstLineChars="200"/>
        <w:outlineLvl w:val="1"/>
        <w:rPr>
          <w:rFonts w:hint="eastAsia" w:ascii="黑体" w:hAnsi="黑体" w:eastAsia="黑体" w:cs="黑体"/>
          <w:color w:val="auto"/>
          <w:kern w:val="0"/>
          <w:sz w:val="32"/>
          <w:szCs w:val="32"/>
          <w:lang w:bidi="ar"/>
        </w:rPr>
      </w:pPr>
      <w:r>
        <w:rPr>
          <w:rFonts w:hint="eastAsia" w:ascii="黑体" w:hAnsi="黑体" w:eastAsia="黑体" w:cs="黑体"/>
          <w:color w:val="auto"/>
          <w:kern w:val="0"/>
          <w:sz w:val="32"/>
          <w:szCs w:val="32"/>
          <w:lang w:bidi="ar"/>
        </w:rPr>
        <w:t>五、拟中选企业确定</w:t>
      </w:r>
      <w:bookmarkEnd w:id="19"/>
    </w:p>
    <w:p>
      <w:pPr>
        <w:spacing w:line="600" w:lineRule="exact"/>
        <w:ind w:firstLine="642" w:firstLineChars="200"/>
        <w:rPr>
          <w:rFonts w:ascii="楷体" w:hAnsi="楷体" w:eastAsia="楷体" w:cs="楷体"/>
          <w:b/>
          <w:bCs/>
          <w:color w:val="auto"/>
          <w:kern w:val="0"/>
          <w:sz w:val="32"/>
          <w:szCs w:val="32"/>
          <w:lang w:bidi="ar"/>
        </w:rPr>
      </w:pPr>
      <w:r>
        <w:rPr>
          <w:rFonts w:hint="eastAsia" w:ascii="楷体" w:hAnsi="楷体" w:eastAsia="楷体" w:cs="楷体"/>
          <w:b/>
          <w:bCs/>
          <w:color w:val="auto"/>
          <w:kern w:val="0"/>
          <w:sz w:val="32"/>
          <w:szCs w:val="32"/>
          <w:lang w:bidi="ar"/>
        </w:rPr>
        <w:t>（一）竞价分组</w:t>
      </w:r>
    </w:p>
    <w:p>
      <w:pPr>
        <w:spacing w:line="52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1.同一品种下，不区分方法学，根据包装计量单位分为ml组和测试组。根据分组后医疗机构的采购需求，将ml组和测试组分别再分为A、B两个竞价组。满足以下条件之一的，进入A组：</w:t>
      </w:r>
    </w:p>
    <w:p>
      <w:pPr>
        <w:spacing w:line="52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（1）按采购需求量从多到少依次排序，承诺满足全联盟地区全部采购需求且在全联盟或任一联盟省（自治区、直辖市、</w:t>
      </w:r>
      <w:r>
        <w:rPr>
          <w:rFonts w:hint="eastAsia" w:ascii="仿宋_GB2312" w:hAnsi="仿宋_GB2312" w:eastAsia="仿宋_GB2312" w:cs="仿宋_GB2312"/>
          <w:color w:val="auto"/>
          <w:kern w:val="0"/>
          <w:sz w:val="32"/>
          <w:szCs w:val="32"/>
          <w:lang w:bidi="ar"/>
        </w:rPr>
        <w:t>新疆生产建设</w:t>
      </w:r>
      <w:r>
        <w:rPr>
          <w:rFonts w:hint="eastAsia" w:ascii="仿宋_GB2312" w:hAnsi="宋体" w:eastAsia="仿宋_GB2312" w:cs="仿宋_GB2312"/>
          <w:color w:val="auto"/>
          <w:kern w:val="0"/>
          <w:sz w:val="32"/>
          <w:szCs w:val="32"/>
          <w:lang w:bidi="ar"/>
        </w:rPr>
        <w:t>兵团）累计采购</w:t>
      </w:r>
      <w:r>
        <w:rPr>
          <w:rFonts w:hint="eastAsia" w:ascii="仿宋_GB2312" w:hAnsi="微软雅黑" w:eastAsia="仿宋_GB2312"/>
          <w:color w:val="auto"/>
          <w:sz w:val="32"/>
          <w:szCs w:val="32"/>
        </w:rPr>
        <w:t>需求</w:t>
      </w:r>
      <w:r>
        <w:rPr>
          <w:rFonts w:hint="eastAsia" w:ascii="仿宋_GB2312" w:hAnsi="宋体" w:eastAsia="仿宋_GB2312" w:cs="仿宋_GB2312"/>
          <w:color w:val="auto"/>
          <w:kern w:val="0"/>
          <w:sz w:val="32"/>
          <w:szCs w:val="32"/>
          <w:lang w:bidi="ar"/>
        </w:rPr>
        <w:t>量前70%的企业；</w:t>
      </w:r>
    </w:p>
    <w:p>
      <w:pPr>
        <w:spacing w:line="600" w:lineRule="exact"/>
        <w:ind w:firstLine="640" w:firstLineChars="200"/>
        <w:rPr>
          <w:rFonts w:hint="eastAsia" w:ascii="仿宋_GB2312" w:hAnsi="微软雅黑" w:eastAsia="仿宋_GB2312"/>
          <w:color w:val="auto"/>
          <w:sz w:val="32"/>
          <w:szCs w:val="32"/>
        </w:rPr>
      </w:pPr>
      <w:r>
        <w:rPr>
          <w:rFonts w:hint="eastAsia" w:ascii="仿宋_GB2312" w:hAnsi="宋体" w:eastAsia="仿宋_GB2312" w:cs="仿宋_GB2312"/>
          <w:color w:val="auto"/>
          <w:sz w:val="32"/>
          <w:szCs w:val="32"/>
          <w:lang w:bidi="ar"/>
        </w:rPr>
        <w:t>（2）按全联盟有填报采购需求量的医疗机构数量由多到少依次排名统计，在有采购需求量的企业当中，排名前</w:t>
      </w:r>
      <w:r>
        <w:rPr>
          <w:rFonts w:hint="eastAsia" w:ascii="仿宋_GB2312" w:hAnsi="宋体" w:eastAsia="仿宋_GB2312" w:cs="仿宋_GB2312"/>
          <w:color w:val="auto"/>
          <w:sz w:val="32"/>
          <w:szCs w:val="32"/>
          <w:lang w:val="en-US" w:eastAsia="zh-CN" w:bidi="ar"/>
        </w:rPr>
        <w:t>3</w:t>
      </w:r>
      <w:r>
        <w:rPr>
          <w:rFonts w:hint="eastAsia" w:ascii="仿宋_GB2312" w:hAnsi="宋体" w:eastAsia="仿宋_GB2312" w:cs="仿宋_GB2312"/>
          <w:color w:val="auto"/>
          <w:sz w:val="32"/>
          <w:szCs w:val="32"/>
          <w:lang w:bidi="ar"/>
        </w:rPr>
        <w:t>0%（向下取整）的企业。</w:t>
      </w:r>
      <w:r>
        <w:rPr>
          <w:rFonts w:hint="eastAsia" w:ascii="仿宋_GB2312" w:hAnsi="宋体" w:eastAsia="仿宋_GB2312" w:cs="仿宋_GB2312"/>
          <w:color w:val="auto"/>
          <w:kern w:val="0"/>
          <w:sz w:val="32"/>
          <w:szCs w:val="32"/>
          <w:lang w:bidi="ar"/>
        </w:rPr>
        <w:t>其他企</w:t>
      </w:r>
      <w:r>
        <w:rPr>
          <w:rFonts w:hint="eastAsia" w:ascii="仿宋_GB2312" w:hAnsi="微软雅黑" w:eastAsia="仿宋_GB2312"/>
          <w:color w:val="auto"/>
          <w:sz w:val="32"/>
          <w:szCs w:val="32"/>
        </w:rPr>
        <w:t>业进入B组。</w:t>
      </w:r>
    </w:p>
    <w:p>
      <w:pPr>
        <w:spacing w:line="600" w:lineRule="exact"/>
        <w:ind w:firstLine="640" w:firstLineChars="200"/>
        <w:rPr>
          <w:rFonts w:hint="eastAsia" w:ascii="仿宋_GB2312" w:hAnsi="微软雅黑" w:eastAsia="仿宋_GB2312"/>
          <w:color w:val="auto"/>
          <w:sz w:val="32"/>
          <w:szCs w:val="32"/>
        </w:rPr>
      </w:pPr>
      <w:r>
        <w:rPr>
          <w:rFonts w:hint="eastAsia" w:ascii="仿宋_GB2312" w:hAnsi="微软雅黑" w:eastAsia="仿宋_GB2312"/>
          <w:color w:val="auto"/>
          <w:sz w:val="32"/>
          <w:szCs w:val="32"/>
        </w:rPr>
        <w:t>2.A组企业不足10家时，从采购需求量不为零的B组企业中，按采购需求量由高到低逐一补充企业进入A组，最多补足10家。B组企业补充进入A组的过程中，如果最后一个名额有多家采购需求量相同的企业，则全部进入A组。</w:t>
      </w:r>
    </w:p>
    <w:p>
      <w:pPr>
        <w:spacing w:line="600" w:lineRule="exact"/>
        <w:ind w:firstLine="640" w:firstLineChars="200"/>
        <w:rPr>
          <w:rFonts w:hint="eastAsia" w:ascii="仿宋_GB2312" w:hAnsi="微软雅黑" w:eastAsia="仿宋_GB2312"/>
          <w:color w:val="auto"/>
          <w:sz w:val="32"/>
          <w:szCs w:val="32"/>
        </w:rPr>
      </w:pPr>
      <w:r>
        <w:rPr>
          <w:rFonts w:hint="eastAsia" w:ascii="仿宋_GB2312" w:hAnsi="微软雅黑" w:eastAsia="仿宋_GB2312"/>
          <w:color w:val="auto"/>
          <w:sz w:val="32"/>
          <w:szCs w:val="32"/>
        </w:rPr>
        <w:t>按上述规则调整之后，如果B组企业不足</w:t>
      </w:r>
      <w:r>
        <w:rPr>
          <w:rFonts w:ascii="仿宋_GB2312" w:hAnsi="微软雅黑" w:eastAsia="仿宋_GB2312"/>
          <w:color w:val="auto"/>
          <w:sz w:val="32"/>
          <w:szCs w:val="32"/>
        </w:rPr>
        <w:t>5</w:t>
      </w:r>
      <w:r>
        <w:rPr>
          <w:rFonts w:hint="eastAsia" w:ascii="仿宋_GB2312" w:hAnsi="微软雅黑" w:eastAsia="仿宋_GB2312"/>
          <w:color w:val="auto"/>
          <w:sz w:val="32"/>
          <w:szCs w:val="32"/>
        </w:rPr>
        <w:t>家，则B组企业全部纳入A组。</w:t>
      </w:r>
    </w:p>
    <w:p>
      <w:pPr>
        <w:spacing w:line="600" w:lineRule="exact"/>
        <w:ind w:firstLine="642" w:firstLineChars="200"/>
        <w:rPr>
          <w:rFonts w:hint="eastAsia" w:ascii="楷体" w:hAnsi="楷体" w:eastAsia="楷体" w:cs="楷体"/>
          <w:b/>
          <w:bCs/>
          <w:color w:val="auto"/>
          <w:kern w:val="0"/>
          <w:sz w:val="32"/>
          <w:szCs w:val="32"/>
          <w:lang w:bidi="ar"/>
        </w:rPr>
      </w:pPr>
      <w:r>
        <w:rPr>
          <w:rFonts w:hint="eastAsia" w:ascii="楷体" w:hAnsi="楷体" w:eastAsia="楷体" w:cs="楷体"/>
          <w:b/>
          <w:bCs/>
          <w:color w:val="auto"/>
          <w:kern w:val="0"/>
          <w:sz w:val="32"/>
          <w:szCs w:val="32"/>
          <w:lang w:bidi="ar"/>
        </w:rPr>
        <w:t>（二）企业排名</w:t>
      </w:r>
    </w:p>
    <w:p>
      <w:pPr>
        <w:pStyle w:val="2"/>
        <w:spacing w:line="600" w:lineRule="exact"/>
        <w:ind w:firstLine="640" w:firstLineChars="200"/>
        <w:jc w:val="both"/>
        <w:rPr>
          <w:rFonts w:hint="default"/>
          <w:color w:val="auto"/>
        </w:rPr>
      </w:pPr>
      <w:r>
        <w:rPr>
          <w:rFonts w:ascii="仿宋_GB2312" w:hAnsi="宋体" w:eastAsia="仿宋_GB2312" w:cs="仿宋_GB2312"/>
          <w:color w:val="auto"/>
          <w:sz w:val="32"/>
          <w:szCs w:val="32"/>
          <w:lang w:bidi="ar"/>
        </w:rPr>
        <w:t>1.同一竞价组内，根据企业报价由低到高进行排名。企业报价高于最高有效申报价或报价为零的视为无效报价，不参与企业排名。</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ascii="仿宋_GB2312" w:hAnsi="宋体" w:eastAsia="仿宋_GB2312" w:cs="仿宋_GB2312"/>
          <w:color w:val="auto"/>
          <w:kern w:val="0"/>
          <w:sz w:val="32"/>
          <w:szCs w:val="32"/>
          <w:lang w:bidi="ar"/>
        </w:rPr>
        <w:t>2.</w:t>
      </w:r>
      <w:r>
        <w:rPr>
          <w:rFonts w:hint="eastAsia" w:ascii="仿宋_GB2312" w:hAnsi="宋体" w:eastAsia="仿宋_GB2312" w:cs="仿宋_GB2312"/>
          <w:color w:val="auto"/>
          <w:kern w:val="0"/>
          <w:sz w:val="32"/>
          <w:szCs w:val="32"/>
          <w:lang w:bidi="ar"/>
        </w:rPr>
        <w:t>当出现企业报价相同的情况时，按照以下规则依次确定排名：</w:t>
      </w:r>
    </w:p>
    <w:p>
      <w:pPr>
        <w:spacing w:line="600" w:lineRule="exact"/>
        <w:ind w:firstLine="640" w:firstLineChars="200"/>
        <w:rPr>
          <w:rFonts w:hint="eastAsia" w:ascii="仿宋_GB2312" w:hAnsi="宋体" w:eastAsia="仿宋_GB2312" w:cs="仿宋_GB2312"/>
          <w:color w:val="auto"/>
          <w:sz w:val="32"/>
          <w:szCs w:val="32"/>
          <w:lang w:bidi="ar"/>
        </w:rPr>
      </w:pPr>
      <w:r>
        <w:rPr>
          <w:rFonts w:ascii="仿宋_GB2312" w:hAnsi="宋体" w:eastAsia="仿宋_GB2312" w:cs="仿宋_GB2312"/>
          <w:color w:val="auto"/>
          <w:sz w:val="32"/>
          <w:szCs w:val="32"/>
          <w:lang w:bidi="ar"/>
        </w:rPr>
        <w:t>（</w:t>
      </w:r>
      <w:r>
        <w:rPr>
          <w:rFonts w:hint="eastAsia" w:ascii="仿宋_GB2312" w:hAnsi="宋体" w:eastAsia="仿宋_GB2312" w:cs="仿宋_GB2312"/>
          <w:color w:val="auto"/>
          <w:sz w:val="32"/>
          <w:szCs w:val="32"/>
          <w:lang w:bidi="ar"/>
        </w:rPr>
        <w:t>1</w:t>
      </w:r>
      <w:r>
        <w:rPr>
          <w:rFonts w:ascii="仿宋_GB2312" w:hAnsi="宋体" w:eastAsia="仿宋_GB2312" w:cs="仿宋_GB2312"/>
          <w:color w:val="auto"/>
          <w:sz w:val="32"/>
          <w:szCs w:val="32"/>
          <w:lang w:bidi="ar"/>
        </w:rPr>
        <w:t>）未被采购联盟</w:t>
      </w:r>
      <w:r>
        <w:rPr>
          <w:rFonts w:hint="eastAsia" w:ascii="仿宋_GB2312" w:hAnsi="宋体" w:eastAsia="仿宋_GB2312" w:cs="仿宋_GB2312"/>
          <w:color w:val="auto"/>
          <w:sz w:val="32"/>
          <w:szCs w:val="32"/>
          <w:lang w:bidi="ar"/>
        </w:rPr>
        <w:t>地区</w:t>
      </w:r>
      <w:r>
        <w:rPr>
          <w:rFonts w:ascii="仿宋_GB2312" w:hAnsi="宋体" w:eastAsia="仿宋_GB2312" w:cs="仿宋_GB2312"/>
          <w:color w:val="auto"/>
          <w:sz w:val="32"/>
          <w:szCs w:val="32"/>
          <w:lang w:bidi="ar"/>
        </w:rPr>
        <w:t>任意一</w:t>
      </w:r>
      <w:r>
        <w:rPr>
          <w:rFonts w:hint="eastAsia" w:ascii="仿宋_GB2312" w:hAnsi="宋体" w:eastAsia="仿宋_GB2312" w:cs="仿宋_GB2312"/>
          <w:color w:val="auto"/>
          <w:kern w:val="0"/>
          <w:sz w:val="32"/>
          <w:szCs w:val="32"/>
          <w:lang w:bidi="ar"/>
        </w:rPr>
        <w:t>省（自治区、直辖市、</w:t>
      </w:r>
      <w:r>
        <w:rPr>
          <w:rFonts w:hint="eastAsia" w:ascii="仿宋_GB2312" w:hAnsi="仿宋_GB2312" w:eastAsia="仿宋_GB2312" w:cs="仿宋_GB2312"/>
          <w:color w:val="auto"/>
          <w:kern w:val="0"/>
          <w:sz w:val="32"/>
          <w:szCs w:val="32"/>
          <w:lang w:bidi="ar"/>
        </w:rPr>
        <w:t>新疆生产建设</w:t>
      </w:r>
      <w:r>
        <w:rPr>
          <w:rFonts w:hint="eastAsia" w:ascii="仿宋_GB2312" w:hAnsi="宋体" w:eastAsia="仿宋_GB2312" w:cs="仿宋_GB2312"/>
          <w:color w:val="auto"/>
          <w:kern w:val="0"/>
          <w:sz w:val="32"/>
          <w:szCs w:val="32"/>
          <w:lang w:bidi="ar"/>
        </w:rPr>
        <w:t>兵团）</w:t>
      </w:r>
      <w:r>
        <w:rPr>
          <w:rFonts w:ascii="仿宋_GB2312" w:hAnsi="宋体" w:eastAsia="仿宋_GB2312" w:cs="仿宋_GB2312"/>
          <w:color w:val="auto"/>
          <w:sz w:val="32"/>
          <w:szCs w:val="32"/>
          <w:lang w:bidi="ar"/>
        </w:rPr>
        <w:t>依据医药价格和招采信用评价制度评定为“中等”</w:t>
      </w:r>
      <w:r>
        <w:rPr>
          <w:rFonts w:hint="eastAsia" w:ascii="仿宋_GB2312" w:hAnsi="宋体" w:eastAsia="仿宋_GB2312" w:cs="仿宋_GB2312"/>
          <w:color w:val="auto"/>
          <w:sz w:val="32"/>
          <w:szCs w:val="32"/>
          <w:lang w:bidi="ar"/>
        </w:rPr>
        <w:t>及以上</w:t>
      </w:r>
      <w:r>
        <w:rPr>
          <w:rFonts w:ascii="仿宋_GB2312" w:hAnsi="宋体" w:eastAsia="仿宋_GB2312" w:cs="仿宋_GB2312"/>
          <w:color w:val="auto"/>
          <w:sz w:val="32"/>
          <w:szCs w:val="32"/>
          <w:lang w:bidi="ar"/>
        </w:rPr>
        <w:t>失信等级的企业依次优先；</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（2）</w:t>
      </w:r>
      <w:r>
        <w:rPr>
          <w:rFonts w:hint="eastAsia" w:ascii="仿宋_GB2312" w:hAnsi="微软雅黑" w:eastAsia="仿宋_GB2312"/>
          <w:color w:val="auto"/>
          <w:sz w:val="32"/>
          <w:szCs w:val="32"/>
        </w:rPr>
        <w:t>申报品种采购需求的医疗机构数量多的企业优先；</w:t>
      </w:r>
    </w:p>
    <w:p>
      <w:pPr>
        <w:pStyle w:val="2"/>
        <w:spacing w:line="600" w:lineRule="exact"/>
        <w:ind w:firstLine="640" w:firstLineChars="200"/>
        <w:jc w:val="both"/>
        <w:rPr>
          <w:rFonts w:ascii="仿宋_GB2312" w:hAnsi="微软雅黑" w:eastAsia="仿宋_GB2312"/>
          <w:color w:val="auto"/>
          <w:sz w:val="32"/>
          <w:szCs w:val="32"/>
        </w:rPr>
      </w:pPr>
      <w:r>
        <w:rPr>
          <w:rFonts w:ascii="仿宋_GB2312" w:hAnsi="宋体" w:eastAsia="仿宋_GB2312" w:cs="仿宋_GB2312"/>
          <w:color w:val="auto"/>
          <w:sz w:val="32"/>
          <w:szCs w:val="32"/>
          <w:lang w:bidi="ar"/>
        </w:rPr>
        <w:t>（3）</w:t>
      </w:r>
      <w:r>
        <w:rPr>
          <w:rFonts w:ascii="仿宋_GB2312" w:hAnsi="宋体" w:eastAsia="仿宋_GB2312"/>
          <w:color w:val="auto"/>
          <w:sz w:val="32"/>
        </w:rPr>
        <w:t>2019年1月1日以来相关品种</w:t>
      </w:r>
      <w:r>
        <w:rPr>
          <w:rFonts w:ascii="仿宋_GB2312" w:hAnsi="微软雅黑" w:eastAsia="仿宋_GB2312"/>
          <w:color w:val="auto"/>
          <w:sz w:val="32"/>
          <w:szCs w:val="32"/>
        </w:rPr>
        <w:t>取得国家卫健委室间质评成绩合格的企业优先；</w:t>
      </w:r>
    </w:p>
    <w:p>
      <w:pPr>
        <w:pStyle w:val="2"/>
        <w:numPr>
          <w:ilvl w:val="0"/>
          <w:numId w:val="1"/>
        </w:numPr>
        <w:spacing w:line="600" w:lineRule="exact"/>
        <w:ind w:firstLine="640" w:firstLineChars="200"/>
        <w:jc w:val="both"/>
        <w:rPr>
          <w:rFonts w:ascii="仿宋_GB2312" w:hAnsi="宋体" w:eastAsia="仿宋_GB2312" w:cs="仿宋_GB2312"/>
          <w:color w:val="auto"/>
          <w:sz w:val="32"/>
          <w:szCs w:val="32"/>
          <w:lang w:bidi="ar"/>
        </w:rPr>
      </w:pPr>
      <w:r>
        <w:rPr>
          <w:rFonts w:ascii="仿宋_GB2312" w:hAnsi="宋体" w:eastAsia="仿宋_GB2312" w:cs="仿宋_GB2312"/>
          <w:color w:val="auto"/>
          <w:sz w:val="32"/>
          <w:szCs w:val="32"/>
          <w:lang w:bidi="ar"/>
        </w:rPr>
        <w:t>医疗机构采购</w:t>
      </w:r>
      <w:r>
        <w:rPr>
          <w:rFonts w:ascii="仿宋_GB2312" w:hAnsi="微软雅黑" w:eastAsia="仿宋_GB2312"/>
          <w:color w:val="auto"/>
          <w:sz w:val="32"/>
          <w:szCs w:val="32"/>
        </w:rPr>
        <w:t>需求</w:t>
      </w:r>
      <w:r>
        <w:rPr>
          <w:rFonts w:ascii="仿宋_GB2312" w:hAnsi="宋体" w:eastAsia="仿宋_GB2312" w:cs="仿宋_GB2312"/>
          <w:color w:val="auto"/>
          <w:sz w:val="32"/>
          <w:szCs w:val="32"/>
          <w:lang w:bidi="ar"/>
        </w:rPr>
        <w:t>量大的企业优先。</w:t>
      </w:r>
    </w:p>
    <w:p>
      <w:pPr>
        <w:spacing w:line="600" w:lineRule="exact"/>
        <w:ind w:firstLine="640" w:firstLineChars="200"/>
        <w:rPr>
          <w:rFonts w:ascii="仿宋_GB2312" w:hAnsi="微软雅黑" w:eastAsia="仿宋_GB2312"/>
          <w:color w:val="auto"/>
          <w:sz w:val="32"/>
          <w:szCs w:val="32"/>
        </w:rPr>
      </w:pPr>
      <w:r>
        <w:rPr>
          <w:rFonts w:ascii="仿宋_GB2312" w:hAnsi="微软雅黑" w:eastAsia="仿宋_GB2312"/>
          <w:color w:val="auto"/>
          <w:sz w:val="32"/>
          <w:szCs w:val="32"/>
        </w:rPr>
        <w:t>以上四点规则仍不能区分排名先后时，采取并列不连续排名。</w:t>
      </w:r>
    </w:p>
    <w:p>
      <w:pPr>
        <w:pStyle w:val="2"/>
        <w:spacing w:line="600" w:lineRule="exact"/>
        <w:ind w:firstLine="642" w:firstLineChars="200"/>
        <w:jc w:val="both"/>
        <w:rPr>
          <w:rFonts w:ascii="楷体" w:hAnsi="楷体" w:eastAsia="楷体" w:cs="楷体"/>
          <w:b/>
          <w:bCs/>
          <w:color w:val="auto"/>
          <w:sz w:val="32"/>
          <w:szCs w:val="32"/>
          <w:lang w:bidi="ar"/>
        </w:rPr>
      </w:pPr>
      <w:r>
        <w:rPr>
          <w:rFonts w:ascii="楷体" w:hAnsi="楷体" w:eastAsia="楷体" w:cs="楷体"/>
          <w:b/>
          <w:bCs/>
          <w:color w:val="auto"/>
          <w:sz w:val="32"/>
          <w:szCs w:val="32"/>
          <w:lang w:bidi="ar"/>
        </w:rPr>
        <w:t>（三）拟中选规则</w:t>
      </w:r>
    </w:p>
    <w:p>
      <w:pPr>
        <w:spacing w:line="600" w:lineRule="exact"/>
        <w:ind w:firstLine="640" w:firstLineChars="200"/>
        <w:rPr>
          <w:rFonts w:hint="default" w:ascii="仿宋_GB2312" w:hAnsi="宋体" w:eastAsia="仿宋_GB2312" w:cs="仿宋_GB2312"/>
          <w:color w:val="auto"/>
          <w:kern w:val="0"/>
          <w:sz w:val="32"/>
          <w:szCs w:val="32"/>
          <w:lang w:val="en-US" w:eastAsia="zh-CN" w:bidi="ar"/>
        </w:rPr>
      </w:pPr>
      <w:r>
        <w:rPr>
          <w:rFonts w:ascii="仿宋_GB2312" w:hAnsi="宋体" w:eastAsia="仿宋_GB2312" w:cs="仿宋_GB2312"/>
          <w:color w:val="auto"/>
          <w:sz w:val="32"/>
          <w:szCs w:val="32"/>
          <w:lang w:bidi="ar"/>
        </w:rPr>
        <w:t>1.拟中选规则一</w:t>
      </w:r>
      <w:r>
        <w:rPr>
          <w:rFonts w:hint="eastAsia" w:ascii="仿宋_GB2312" w:hAnsi="宋体" w:eastAsia="仿宋_GB2312" w:cs="仿宋_GB2312"/>
          <w:color w:val="auto"/>
          <w:sz w:val="32"/>
          <w:szCs w:val="32"/>
          <w:lang w:eastAsia="zh-CN" w:bidi="ar"/>
        </w:rPr>
        <w:t>：</w:t>
      </w:r>
      <w:r>
        <w:rPr>
          <w:rFonts w:ascii="仿宋_GB2312" w:hAnsi="宋体" w:eastAsia="仿宋_GB2312" w:cs="仿宋_GB2312"/>
          <w:color w:val="auto"/>
          <w:kern w:val="0"/>
          <w:sz w:val="32"/>
          <w:szCs w:val="32"/>
          <w:lang w:bidi="ar"/>
        </w:rPr>
        <w:t>同一竞价单元内，根据企业排名确定拟中选企业，拟中选排名与企业排名规则相同。按企业排名</w:t>
      </w:r>
      <w:r>
        <w:rPr>
          <w:rFonts w:hint="eastAsia" w:ascii="仿宋_GB2312" w:hAnsi="宋体" w:eastAsia="仿宋_GB2312" w:cs="仿宋_GB2312"/>
          <w:color w:val="auto"/>
          <w:kern w:val="0"/>
          <w:sz w:val="32"/>
          <w:szCs w:val="32"/>
          <w:lang w:bidi="ar"/>
        </w:rPr>
        <w:t>由高到低排序，取</w:t>
      </w:r>
      <w:r>
        <w:rPr>
          <w:rFonts w:ascii="仿宋_GB2312" w:hAnsi="宋体" w:eastAsia="仿宋_GB2312" w:cs="仿宋_GB2312"/>
          <w:color w:val="auto"/>
          <w:kern w:val="0"/>
          <w:sz w:val="32"/>
          <w:szCs w:val="32"/>
          <w:lang w:bidi="ar"/>
        </w:rPr>
        <w:t>有效申报企业数量的</w:t>
      </w:r>
      <w:r>
        <w:rPr>
          <w:rFonts w:hint="eastAsia" w:ascii="仿宋_GB2312" w:hAnsi="宋体" w:eastAsia="仿宋_GB2312" w:cs="仿宋_GB2312"/>
          <w:color w:val="auto"/>
          <w:kern w:val="0"/>
          <w:sz w:val="32"/>
          <w:szCs w:val="32"/>
          <w:lang w:bidi="ar"/>
        </w:rPr>
        <w:t>60%（四舍五入取整）为拟中选企业数量。若最后一个拟中选名额有多家排名相同的企业，则一并为拟中选企业，不受拟中选企业数量限制。实际有效申报企业数少于3家时</w:t>
      </w:r>
      <w:r>
        <w:rPr>
          <w:rFonts w:hint="eastAsia" w:ascii="仿宋_GB2312" w:hAnsi="宋体" w:eastAsia="仿宋_GB2312" w:cs="仿宋_GB2312"/>
          <w:color w:val="auto"/>
          <w:kern w:val="0"/>
          <w:sz w:val="32"/>
          <w:szCs w:val="32"/>
          <w:lang w:val="en-US" w:eastAsia="zh-CN" w:bidi="ar"/>
        </w:rPr>
        <w:t>也适用本规则。</w:t>
      </w:r>
    </w:p>
    <w:p>
      <w:pPr>
        <w:spacing w:line="600" w:lineRule="exact"/>
        <w:ind w:firstLine="640" w:firstLineChars="200"/>
        <w:rPr>
          <w:rFonts w:hint="eastAsia" w:eastAsia="仿宋_GB2312"/>
          <w:lang w:val="en-US" w:eastAsia="zh-CN"/>
        </w:rPr>
      </w:pPr>
      <w:r>
        <w:rPr>
          <w:rFonts w:hint="eastAsia" w:ascii="仿宋_GB2312" w:hAnsi="宋体" w:eastAsia="仿宋_GB2312" w:cs="仿宋_GB2312"/>
          <w:color w:val="auto"/>
          <w:kern w:val="0"/>
          <w:sz w:val="32"/>
          <w:szCs w:val="32"/>
          <w:lang w:bidi="ar"/>
        </w:rPr>
        <w:t>2.拟中选规则二</w:t>
      </w:r>
      <w:r>
        <w:rPr>
          <w:rFonts w:hint="eastAsia" w:ascii="仿宋_GB2312" w:hAnsi="宋体" w:eastAsia="仿宋_GB2312" w:cs="仿宋_GB2312"/>
          <w:color w:val="auto"/>
          <w:kern w:val="0"/>
          <w:sz w:val="32"/>
          <w:szCs w:val="32"/>
          <w:lang w:eastAsia="zh-CN" w:bidi="ar"/>
        </w:rPr>
        <w:t>：</w:t>
      </w:r>
      <w:r>
        <w:rPr>
          <w:rFonts w:hint="eastAsia" w:ascii="仿宋_GB2312" w:hAnsi="宋体" w:eastAsia="仿宋_GB2312" w:cs="仿宋_GB2312"/>
          <w:color w:val="auto"/>
          <w:kern w:val="0"/>
          <w:sz w:val="32"/>
          <w:szCs w:val="32"/>
          <w:lang w:bidi="ar"/>
        </w:rPr>
        <w:t>按“拟中选规则一”未能中选的A组企业，若其申报价格不高于最高有效申报价的0.6倍，增补为拟中选企业，且不受拟中选企业数量限制，其拟中选排名位列按“拟中选规则一”中选企业之后。实际有效申报企业数少于3家时</w:t>
      </w:r>
      <w:r>
        <w:rPr>
          <w:rFonts w:hint="eastAsia" w:ascii="仿宋_GB2312" w:hAnsi="宋体" w:eastAsia="仿宋_GB2312" w:cs="仿宋_GB2312"/>
          <w:color w:val="auto"/>
          <w:kern w:val="0"/>
          <w:sz w:val="32"/>
          <w:szCs w:val="32"/>
          <w:lang w:val="en-US" w:eastAsia="zh-CN" w:bidi="ar"/>
        </w:rPr>
        <w:t>也适用本规则。</w:t>
      </w:r>
    </w:p>
    <w:p>
      <w:pPr>
        <w:pStyle w:val="2"/>
        <w:spacing w:line="600" w:lineRule="exact"/>
        <w:ind w:firstLine="642" w:firstLineChars="200"/>
        <w:jc w:val="both"/>
        <w:rPr>
          <w:rFonts w:hint="default" w:ascii="楷体" w:hAnsi="楷体" w:eastAsia="楷体" w:cs="楷体"/>
          <w:b/>
          <w:bCs/>
          <w:color w:val="auto"/>
          <w:sz w:val="32"/>
          <w:szCs w:val="32"/>
          <w:lang w:bidi="ar"/>
        </w:rPr>
      </w:pPr>
      <w:r>
        <w:rPr>
          <w:rFonts w:ascii="楷体" w:hAnsi="楷体" w:eastAsia="楷体" w:cs="楷体"/>
          <w:b/>
          <w:bCs/>
          <w:color w:val="auto"/>
          <w:sz w:val="32"/>
          <w:szCs w:val="32"/>
          <w:lang w:bidi="ar"/>
        </w:rPr>
        <w:t>（四）拟中选产品价格</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用拟中选企业每ml或测试报价乘以每盒的ml数（取小数点后2位）或测试数，四舍五入精确到小数点后2位，计算各个包装规格产品的拟中选价格。计算每盒的ml数时，附带的标准品、质控品等不纳入计算。</w:t>
      </w:r>
    </w:p>
    <w:p>
      <w:pPr>
        <w:spacing w:line="600" w:lineRule="exact"/>
        <w:ind w:firstLine="640" w:firstLineChars="200"/>
        <w:outlineLvl w:val="1"/>
        <w:rPr>
          <w:rFonts w:ascii="黑体" w:hAnsi="黑体" w:eastAsia="黑体" w:cs="黑体"/>
          <w:color w:val="auto"/>
          <w:kern w:val="0"/>
          <w:sz w:val="32"/>
          <w:szCs w:val="32"/>
          <w:lang w:bidi="ar"/>
        </w:rPr>
      </w:pPr>
      <w:bookmarkStart w:id="20" w:name="_Toc89358223"/>
      <w:r>
        <w:rPr>
          <w:rFonts w:ascii="黑体" w:hAnsi="黑体" w:eastAsia="黑体" w:cs="黑体"/>
          <w:color w:val="auto"/>
          <w:kern w:val="0"/>
          <w:sz w:val="32"/>
          <w:szCs w:val="32"/>
          <w:lang w:bidi="ar"/>
        </w:rPr>
        <w:t>六、中选产品确定</w:t>
      </w:r>
      <w:bookmarkEnd w:id="20"/>
      <w:r>
        <w:rPr>
          <w:rFonts w:ascii="黑体" w:hAnsi="黑体" w:eastAsia="黑体" w:cs="黑体"/>
          <w:color w:val="auto"/>
          <w:kern w:val="0"/>
          <w:sz w:val="32"/>
          <w:szCs w:val="32"/>
          <w:lang w:bidi="ar"/>
        </w:rPr>
        <w:t xml:space="preserve"> </w:t>
      </w:r>
    </w:p>
    <w:p>
      <w:pPr>
        <w:pStyle w:val="2"/>
        <w:spacing w:line="600" w:lineRule="exact"/>
        <w:ind w:firstLine="642" w:firstLineChars="200"/>
        <w:jc w:val="both"/>
        <w:rPr>
          <w:rFonts w:ascii="楷体" w:hAnsi="楷体" w:eastAsia="楷体" w:cs="楷体"/>
          <w:b/>
          <w:bCs/>
          <w:color w:val="auto"/>
          <w:sz w:val="32"/>
          <w:szCs w:val="32"/>
          <w:lang w:bidi="ar"/>
        </w:rPr>
      </w:pPr>
      <w:r>
        <w:rPr>
          <w:rFonts w:ascii="楷体" w:hAnsi="楷体" w:eastAsia="楷体" w:cs="楷体"/>
          <w:b/>
          <w:bCs/>
          <w:color w:val="auto"/>
          <w:sz w:val="32"/>
          <w:szCs w:val="32"/>
          <w:lang w:bidi="ar"/>
        </w:rPr>
        <w:t>（一）拟中选结果公示</w:t>
      </w:r>
    </w:p>
    <w:p>
      <w:pPr>
        <w:pStyle w:val="2"/>
        <w:spacing w:line="600" w:lineRule="exact"/>
        <w:ind w:firstLine="640" w:firstLineChars="200"/>
        <w:jc w:val="both"/>
        <w:rPr>
          <w:rFonts w:ascii="仿宋_GB2312" w:hAnsi="宋体" w:eastAsia="仿宋_GB2312" w:cs="仿宋_GB2312"/>
          <w:color w:val="auto"/>
          <w:sz w:val="32"/>
          <w:szCs w:val="32"/>
          <w:lang w:bidi="ar"/>
        </w:rPr>
      </w:pPr>
      <w:r>
        <w:rPr>
          <w:rFonts w:ascii="仿宋_GB2312" w:hAnsi="宋体" w:eastAsia="仿宋_GB2312" w:cs="仿宋_GB2312"/>
          <w:color w:val="auto"/>
          <w:sz w:val="32"/>
          <w:szCs w:val="32"/>
          <w:lang w:bidi="ar"/>
        </w:rPr>
        <w:t>1.拟中选结果产生后，在江西省医疗保障局（http://ybj.jiangxi.gov.cn/）和江西省医药价格和采购服务中心（http://www.jxyycg.cn/）进行公示，由联席会议办公室接受复核申请。</w:t>
      </w:r>
    </w:p>
    <w:p>
      <w:pPr>
        <w:spacing w:line="600" w:lineRule="exact"/>
        <w:ind w:firstLine="640" w:firstLineChars="200"/>
        <w:rPr>
          <w:rFonts w:ascii="仿宋_GB2312" w:hAnsi="宋体" w:eastAsia="仿宋_GB2312" w:cs="仿宋_GB2312"/>
          <w:color w:val="auto"/>
          <w:sz w:val="32"/>
          <w:szCs w:val="32"/>
          <w:lang w:bidi="ar"/>
        </w:rPr>
      </w:pPr>
      <w:r>
        <w:rPr>
          <w:rFonts w:hint="eastAsia" w:ascii="仿宋_GB2312" w:hAnsi="微软雅黑" w:eastAsia="仿宋_GB2312"/>
          <w:color w:val="auto"/>
          <w:sz w:val="32"/>
          <w:szCs w:val="32"/>
        </w:rPr>
        <w:t>2.公示期间，拟中选价格高于全联盟医疗机构最低有效采购价格的</w:t>
      </w:r>
      <w:r>
        <w:rPr>
          <w:rFonts w:hint="eastAsia" w:ascii="仿宋_GB2312" w:hAnsi="宋体" w:eastAsia="仿宋_GB2312" w:cs="仿宋_GB2312"/>
          <w:color w:val="auto"/>
          <w:kern w:val="0"/>
          <w:sz w:val="32"/>
          <w:szCs w:val="32"/>
          <w:lang w:bidi="ar"/>
        </w:rPr>
        <w:t>，拟中选企业若同意以</w:t>
      </w:r>
      <w:r>
        <w:rPr>
          <w:rFonts w:hint="eastAsia" w:ascii="仿宋_GB2312" w:hAnsi="微软雅黑" w:eastAsia="仿宋_GB2312"/>
          <w:color w:val="auto"/>
          <w:sz w:val="32"/>
          <w:szCs w:val="32"/>
        </w:rPr>
        <w:t>全联盟</w:t>
      </w:r>
      <w:r>
        <w:rPr>
          <w:rFonts w:hint="eastAsia" w:ascii="仿宋_GB2312" w:hAnsi="宋体" w:eastAsia="仿宋_GB2312" w:cs="仿宋_GB2312"/>
          <w:color w:val="auto"/>
          <w:kern w:val="0"/>
          <w:sz w:val="32"/>
          <w:szCs w:val="32"/>
          <w:lang w:bidi="ar"/>
        </w:rPr>
        <w:t>最低有效采购价格为基准下降5%，则保留其拟中选资格，否则取消拟中选资格并列入“违规名单”。</w:t>
      </w:r>
    </w:p>
    <w:p>
      <w:pPr>
        <w:pStyle w:val="2"/>
        <w:spacing w:line="600" w:lineRule="exact"/>
        <w:ind w:firstLine="640" w:firstLineChars="200"/>
        <w:jc w:val="both"/>
        <w:rPr>
          <w:rFonts w:ascii="仿宋_GB2312" w:hAnsi="宋体" w:eastAsia="仿宋_GB2312" w:cs="仿宋_GB2312"/>
          <w:color w:val="auto"/>
          <w:sz w:val="32"/>
          <w:szCs w:val="32"/>
          <w:lang w:bidi="ar"/>
        </w:rPr>
      </w:pPr>
      <w:r>
        <w:rPr>
          <w:rFonts w:ascii="仿宋_GB2312" w:hAnsi="宋体" w:eastAsia="仿宋_GB2312" w:cs="仿宋_GB2312"/>
          <w:color w:val="auto"/>
          <w:sz w:val="32"/>
          <w:szCs w:val="32"/>
          <w:lang w:bidi="ar"/>
        </w:rPr>
        <w:t>3.复核申请应在公示期间内提出，并依法依规提供合法有效证明材料。未提供相应证明材料的，原则上不予受理。</w:t>
      </w:r>
    </w:p>
    <w:p>
      <w:pPr>
        <w:pStyle w:val="2"/>
        <w:spacing w:line="600" w:lineRule="exact"/>
        <w:ind w:firstLine="640" w:firstLineChars="200"/>
        <w:jc w:val="both"/>
        <w:rPr>
          <w:rFonts w:ascii="仿宋_GB2312" w:hAnsi="宋体" w:eastAsia="仿宋_GB2312" w:cs="仿宋_GB2312"/>
          <w:color w:val="auto"/>
          <w:sz w:val="32"/>
          <w:szCs w:val="32"/>
          <w:lang w:bidi="ar"/>
        </w:rPr>
      </w:pPr>
      <w:r>
        <w:rPr>
          <w:rFonts w:ascii="仿宋_GB2312" w:hAnsi="宋体" w:eastAsia="仿宋_GB2312" w:cs="仿宋_GB2312"/>
          <w:color w:val="auto"/>
          <w:sz w:val="32"/>
          <w:szCs w:val="32"/>
          <w:lang w:bidi="ar"/>
        </w:rPr>
        <w:t>4.经公示，如拟中选企业被调整中选价格，不影响企业排名。</w:t>
      </w:r>
    </w:p>
    <w:p>
      <w:pPr>
        <w:pStyle w:val="2"/>
        <w:spacing w:line="600" w:lineRule="exact"/>
        <w:ind w:firstLine="640" w:firstLineChars="200"/>
        <w:jc w:val="both"/>
        <w:rPr>
          <w:rFonts w:ascii="仿宋_GB2312" w:hAnsi="宋体" w:eastAsia="仿宋_GB2312" w:cs="仿宋_GB2312"/>
          <w:color w:val="auto"/>
          <w:sz w:val="32"/>
          <w:szCs w:val="32"/>
          <w:lang w:bidi="ar"/>
        </w:rPr>
      </w:pPr>
      <w:r>
        <w:rPr>
          <w:rFonts w:ascii="仿宋_GB2312" w:hAnsi="宋体" w:eastAsia="仿宋_GB2312" w:cs="仿宋_GB2312"/>
          <w:color w:val="auto"/>
          <w:sz w:val="32"/>
          <w:szCs w:val="32"/>
          <w:lang w:bidi="ar"/>
        </w:rPr>
        <w:t>5.拟中选企业被取消中选资格或主动放弃拟中选资格后，不作递补。</w:t>
      </w:r>
    </w:p>
    <w:p>
      <w:pPr>
        <w:pStyle w:val="2"/>
        <w:spacing w:line="600" w:lineRule="exact"/>
        <w:ind w:firstLine="640" w:firstLineChars="200"/>
        <w:jc w:val="both"/>
        <w:rPr>
          <w:rFonts w:ascii="仿宋_GB2312" w:hAnsi="宋体" w:eastAsia="仿宋_GB2312" w:cs="仿宋_GB2312"/>
          <w:color w:val="auto"/>
          <w:sz w:val="32"/>
          <w:szCs w:val="32"/>
          <w:lang w:bidi="ar"/>
        </w:rPr>
      </w:pPr>
      <w:r>
        <w:rPr>
          <w:rFonts w:ascii="黑体" w:hAnsi="黑体" w:eastAsia="黑体" w:cs="黑体"/>
          <w:color w:val="auto"/>
          <w:sz w:val="32"/>
          <w:szCs w:val="32"/>
          <w:lang w:bidi="ar"/>
        </w:rPr>
        <w:t>（二）中选结果公布</w:t>
      </w:r>
    </w:p>
    <w:p>
      <w:pPr>
        <w:pStyle w:val="2"/>
        <w:spacing w:line="600" w:lineRule="exact"/>
        <w:ind w:firstLine="640" w:firstLineChars="200"/>
        <w:jc w:val="both"/>
        <w:rPr>
          <w:rFonts w:ascii="仿宋_GB2312" w:hAnsi="宋体" w:eastAsia="仿宋_GB2312" w:cs="仿宋_GB2312"/>
          <w:color w:val="auto"/>
          <w:sz w:val="32"/>
          <w:szCs w:val="32"/>
          <w:lang w:bidi="ar"/>
        </w:rPr>
      </w:pPr>
      <w:r>
        <w:rPr>
          <w:rFonts w:ascii="仿宋_GB2312" w:hAnsi="宋体" w:eastAsia="仿宋_GB2312" w:cs="仿宋_GB2312"/>
          <w:color w:val="auto"/>
          <w:sz w:val="32"/>
          <w:szCs w:val="32"/>
          <w:lang w:bidi="ar"/>
        </w:rPr>
        <w:t>拟中选结果公示无异议后，由联席会议办公室在江西省医疗保障局（http://ybj.jiangxi.gov.cn/）和江西省医药价格和采购服务中心（http://www.jxyycg.cn/）及联盟各地区指定网站公布中选结果。</w:t>
      </w:r>
    </w:p>
    <w:p>
      <w:pPr>
        <w:pStyle w:val="2"/>
        <w:spacing w:line="600" w:lineRule="exact"/>
        <w:ind w:firstLine="640" w:firstLineChars="200"/>
        <w:jc w:val="both"/>
        <w:rPr>
          <w:rFonts w:ascii="黑体" w:hAnsi="黑体" w:eastAsia="黑体" w:cs="黑体"/>
          <w:color w:val="auto"/>
          <w:sz w:val="32"/>
          <w:szCs w:val="32"/>
          <w:lang w:bidi="ar"/>
        </w:rPr>
      </w:pPr>
      <w:r>
        <w:rPr>
          <w:rFonts w:ascii="黑体" w:hAnsi="黑体" w:eastAsia="黑体" w:cs="黑体"/>
          <w:color w:val="auto"/>
          <w:sz w:val="32"/>
          <w:szCs w:val="32"/>
          <w:lang w:bidi="ar"/>
        </w:rPr>
        <w:t>（三）签订采购协议</w:t>
      </w:r>
    </w:p>
    <w:p>
      <w:pPr>
        <w:pStyle w:val="2"/>
        <w:spacing w:line="600" w:lineRule="exact"/>
        <w:ind w:firstLine="640" w:firstLineChars="200"/>
        <w:jc w:val="both"/>
        <w:rPr>
          <w:rFonts w:hint="default" w:ascii="仿宋_GB2312" w:hAnsi="宋体" w:eastAsia="仿宋_GB2312" w:cs="仿宋_GB2312"/>
          <w:color w:val="auto"/>
          <w:sz w:val="32"/>
          <w:szCs w:val="32"/>
          <w:lang w:bidi="ar"/>
        </w:rPr>
      </w:pPr>
      <w:r>
        <w:rPr>
          <w:rFonts w:hint="default" w:ascii="仿宋_GB2312" w:hAnsi="宋体" w:eastAsia="仿宋_GB2312" w:cs="仿宋_GB2312"/>
          <w:color w:val="auto"/>
          <w:sz w:val="32"/>
          <w:szCs w:val="32"/>
          <w:lang w:bidi="ar"/>
        </w:rPr>
        <w:t>1.</w:t>
      </w:r>
      <w:r>
        <w:rPr>
          <w:rFonts w:ascii="仿宋_GB2312" w:hAnsi="宋体" w:eastAsia="仿宋_GB2312" w:cs="仿宋_GB2312"/>
          <w:color w:val="auto"/>
          <w:sz w:val="32"/>
          <w:szCs w:val="32"/>
          <w:lang w:bidi="ar"/>
        </w:rPr>
        <w:t>在</w:t>
      </w:r>
      <w:r>
        <w:rPr>
          <w:rFonts w:hint="default" w:ascii="仿宋_GB2312" w:hAnsi="宋体" w:eastAsia="仿宋_GB2312" w:cs="仿宋_GB2312"/>
          <w:color w:val="auto"/>
          <w:sz w:val="32"/>
          <w:szCs w:val="32"/>
          <w:lang w:bidi="ar"/>
        </w:rPr>
        <w:t>签订采购协议前，医疗</w:t>
      </w:r>
      <w:r>
        <w:rPr>
          <w:rFonts w:ascii="仿宋_GB2312" w:hAnsi="宋体" w:eastAsia="仿宋_GB2312" w:cs="仿宋_GB2312"/>
          <w:color w:val="auto"/>
          <w:sz w:val="32"/>
          <w:szCs w:val="32"/>
          <w:lang w:bidi="ar"/>
        </w:rPr>
        <w:t>机构通过“江西医保信息平台招采管理子系统”网上分配协议采购量。</w:t>
      </w:r>
      <w:r>
        <w:rPr>
          <w:rFonts w:hint="default" w:ascii="仿宋_GB2312" w:hAnsi="宋体" w:eastAsia="仿宋_GB2312" w:cs="仿宋_GB2312"/>
          <w:color w:val="auto"/>
          <w:sz w:val="32"/>
          <w:szCs w:val="32"/>
          <w:lang w:bidi="ar"/>
        </w:rPr>
        <w:t>分两步确定每一家医疗机构的协议采购量。</w:t>
      </w:r>
    </w:p>
    <w:p>
      <w:pPr>
        <w:spacing w:line="600" w:lineRule="exact"/>
        <w:ind w:firstLine="640" w:firstLineChars="200"/>
        <w:rPr>
          <w:rFonts w:hint="eastAsia" w:ascii="仿宋_GB2312" w:hAnsi="微软雅黑" w:eastAsia="仿宋_GB2312"/>
          <w:color w:val="auto"/>
          <w:sz w:val="32"/>
          <w:szCs w:val="32"/>
        </w:rPr>
      </w:pPr>
      <w:r>
        <w:rPr>
          <w:rFonts w:ascii="仿宋_GB2312" w:hAnsi="宋体" w:eastAsia="仿宋_GB2312" w:cs="仿宋_GB2312"/>
          <w:color w:val="auto"/>
          <w:sz w:val="32"/>
          <w:szCs w:val="32"/>
          <w:lang w:bidi="ar"/>
        </w:rPr>
        <w:t>第一步：</w:t>
      </w:r>
      <w:r>
        <w:rPr>
          <w:rFonts w:hint="eastAsia" w:ascii="仿宋_GB2312" w:hAnsi="微软雅黑" w:eastAsia="仿宋_GB2312"/>
          <w:color w:val="auto"/>
          <w:sz w:val="32"/>
          <w:szCs w:val="32"/>
        </w:rPr>
        <w:t>按中选排名确定初次协议采购量，初次协议采购量占采购需求的比例见下表。根据医疗机构的采购需求量，四舍五入取整，计算各品种各企业的初次协议采购量。</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3743"/>
        <w:gridCol w:w="2551"/>
        <w:gridCol w:w="2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blHeader/>
        </w:trPr>
        <w:tc>
          <w:tcPr>
            <w:tcW w:w="3743"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宋体" w:hAnsi="宋体" w:cs="宋体"/>
                <w:b/>
                <w:bCs/>
                <w:color w:val="auto"/>
                <w:kern w:val="0"/>
                <w:sz w:val="24"/>
              </w:rPr>
            </w:pPr>
            <w:r>
              <w:rPr>
                <w:rFonts w:hint="eastAsia" w:ascii="宋体" w:hAnsi="宋体" w:cs="宋体"/>
                <w:b/>
                <w:bCs/>
                <w:color w:val="auto"/>
                <w:kern w:val="0"/>
                <w:sz w:val="24"/>
              </w:rPr>
              <w:t>中选排名</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宋体" w:hAnsi="宋体" w:cs="宋体"/>
                <w:b/>
                <w:bCs/>
                <w:color w:val="auto"/>
                <w:kern w:val="0"/>
                <w:sz w:val="24"/>
              </w:rPr>
            </w:pPr>
            <w:r>
              <w:rPr>
                <w:rFonts w:hint="eastAsia" w:ascii="宋体" w:hAnsi="宋体" w:cs="宋体"/>
                <w:b/>
                <w:bCs/>
                <w:color w:val="auto"/>
                <w:kern w:val="0"/>
                <w:sz w:val="24"/>
              </w:rPr>
              <w:t>初次协议采购量占采购需求量的比例</w:t>
            </w:r>
          </w:p>
        </w:tc>
        <w:tc>
          <w:tcPr>
            <w:tcW w:w="2020"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宋体" w:hAnsi="宋体" w:cs="宋体"/>
                <w:b/>
                <w:bCs/>
                <w:color w:val="auto"/>
                <w:kern w:val="0"/>
                <w:sz w:val="24"/>
              </w:rPr>
            </w:pPr>
            <w:r>
              <w:rPr>
                <w:rFonts w:hint="eastAsia" w:ascii="宋体" w:hAnsi="宋体" w:cs="宋体"/>
                <w:b/>
                <w:bCs/>
                <w:color w:val="auto"/>
                <w:kern w:val="0"/>
                <w:sz w:val="24"/>
              </w:rPr>
              <w:t>中选产品未分配采购需求量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3743"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宋体" w:hAnsi="宋体" w:cs="宋体"/>
                <w:color w:val="auto"/>
                <w:kern w:val="0"/>
                <w:sz w:val="24"/>
              </w:rPr>
            </w:pPr>
            <w:r>
              <w:rPr>
                <w:rFonts w:hint="eastAsia" w:ascii="宋体" w:hAnsi="宋体" w:cs="宋体"/>
                <w:color w:val="auto"/>
                <w:kern w:val="0"/>
                <w:sz w:val="24"/>
              </w:rPr>
              <w:t>1</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宋体" w:hAnsi="宋体" w:cs="宋体"/>
                <w:color w:val="auto"/>
                <w:kern w:val="0"/>
                <w:sz w:val="24"/>
              </w:rPr>
            </w:pPr>
            <w:r>
              <w:rPr>
                <w:rFonts w:hint="eastAsia" w:ascii="宋体" w:hAnsi="宋体" w:cs="宋体"/>
                <w:color w:val="auto"/>
                <w:kern w:val="0"/>
                <w:sz w:val="24"/>
              </w:rPr>
              <w:t>100%</w:t>
            </w:r>
          </w:p>
        </w:tc>
        <w:tc>
          <w:tcPr>
            <w:tcW w:w="2020"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宋体" w:hAnsi="宋体" w:cs="宋体"/>
                <w:color w:val="auto"/>
                <w:kern w:val="0"/>
                <w:sz w:val="24"/>
              </w:rPr>
            </w:pPr>
            <w:r>
              <w:rPr>
                <w:rFonts w:hint="eastAsia" w:ascii="宋体" w:hAnsi="宋体" w:cs="宋体"/>
                <w:color w:val="auto"/>
                <w:kern w:val="0"/>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3743"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宋体" w:hAnsi="宋体" w:cs="宋体"/>
                <w:color w:val="auto"/>
                <w:kern w:val="0"/>
                <w:sz w:val="24"/>
              </w:rPr>
            </w:pPr>
            <w:r>
              <w:rPr>
                <w:rFonts w:hint="eastAsia" w:ascii="宋体" w:hAnsi="宋体" w:cs="宋体"/>
                <w:color w:val="auto"/>
                <w:kern w:val="0"/>
                <w:sz w:val="24"/>
              </w:rPr>
              <w:t>2-3</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宋体" w:hAnsi="宋体" w:cs="宋体"/>
                <w:color w:val="auto"/>
                <w:kern w:val="0"/>
                <w:sz w:val="24"/>
              </w:rPr>
            </w:pPr>
            <w:r>
              <w:rPr>
                <w:rFonts w:hint="eastAsia" w:ascii="宋体" w:hAnsi="宋体" w:cs="宋体"/>
                <w:color w:val="auto"/>
                <w:kern w:val="0"/>
                <w:sz w:val="24"/>
              </w:rPr>
              <w:t>95%</w:t>
            </w:r>
          </w:p>
        </w:tc>
        <w:tc>
          <w:tcPr>
            <w:tcW w:w="2020"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宋体" w:hAnsi="宋体" w:cs="宋体"/>
                <w:color w:val="auto"/>
                <w:kern w:val="0"/>
                <w:sz w:val="24"/>
              </w:rPr>
            </w:pPr>
            <w:r>
              <w:rPr>
                <w:rFonts w:hint="eastAsia" w:ascii="宋体" w:hAnsi="宋体" w:cs="宋体"/>
                <w:color w:val="auto"/>
                <w:kern w:val="0"/>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3743"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宋体" w:hAnsi="宋体" w:cs="宋体"/>
                <w:color w:val="auto"/>
                <w:kern w:val="0"/>
                <w:sz w:val="24"/>
              </w:rPr>
            </w:pPr>
            <w:r>
              <w:rPr>
                <w:rFonts w:hint="eastAsia" w:ascii="宋体" w:hAnsi="宋体" w:cs="宋体"/>
                <w:color w:val="auto"/>
                <w:kern w:val="0"/>
                <w:sz w:val="24"/>
              </w:rPr>
              <w:t>4</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宋体" w:hAnsi="宋体" w:cs="宋体"/>
                <w:color w:val="auto"/>
                <w:kern w:val="0"/>
                <w:sz w:val="24"/>
              </w:rPr>
            </w:pPr>
            <w:r>
              <w:rPr>
                <w:rFonts w:hint="eastAsia" w:ascii="宋体" w:hAnsi="宋体" w:cs="宋体"/>
                <w:color w:val="auto"/>
                <w:kern w:val="0"/>
                <w:sz w:val="24"/>
              </w:rPr>
              <w:t>80%</w:t>
            </w:r>
          </w:p>
        </w:tc>
        <w:tc>
          <w:tcPr>
            <w:tcW w:w="2020"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宋体" w:hAnsi="宋体" w:cs="宋体"/>
                <w:color w:val="auto"/>
                <w:kern w:val="0"/>
                <w:sz w:val="24"/>
              </w:rPr>
            </w:pPr>
            <w:r>
              <w:rPr>
                <w:rFonts w:hint="eastAsia" w:ascii="宋体" w:hAnsi="宋体" w:cs="宋体"/>
                <w:color w:val="auto"/>
                <w:kern w:val="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3743"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宋体" w:hAnsi="宋体" w:cs="宋体"/>
                <w:color w:val="auto"/>
                <w:kern w:val="0"/>
                <w:sz w:val="24"/>
              </w:rPr>
            </w:pPr>
            <w:r>
              <w:rPr>
                <w:rFonts w:hint="eastAsia" w:ascii="宋体" w:hAnsi="宋体" w:cs="宋体"/>
                <w:color w:val="auto"/>
                <w:kern w:val="0"/>
                <w:sz w:val="24"/>
              </w:rPr>
              <w:t>5</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宋体" w:hAnsi="宋体" w:cs="宋体"/>
                <w:color w:val="auto"/>
                <w:kern w:val="0"/>
                <w:sz w:val="24"/>
              </w:rPr>
            </w:pPr>
            <w:r>
              <w:rPr>
                <w:rFonts w:hint="eastAsia" w:ascii="宋体" w:hAnsi="宋体" w:cs="宋体"/>
                <w:color w:val="auto"/>
                <w:kern w:val="0"/>
                <w:sz w:val="24"/>
              </w:rPr>
              <w:t>75%</w:t>
            </w:r>
          </w:p>
        </w:tc>
        <w:tc>
          <w:tcPr>
            <w:tcW w:w="2020"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宋体" w:hAnsi="宋体" w:cs="宋体"/>
                <w:color w:val="auto"/>
                <w:kern w:val="0"/>
                <w:sz w:val="24"/>
              </w:rPr>
            </w:pPr>
            <w:r>
              <w:rPr>
                <w:rFonts w:hint="eastAsia" w:ascii="宋体" w:hAnsi="宋体" w:cs="宋体"/>
                <w:color w:val="auto"/>
                <w:kern w:val="0"/>
                <w:sz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3743"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宋体" w:hAnsi="宋体" w:cs="宋体"/>
                <w:color w:val="auto"/>
                <w:kern w:val="0"/>
                <w:sz w:val="24"/>
              </w:rPr>
            </w:pPr>
            <w:r>
              <w:rPr>
                <w:rFonts w:hint="eastAsia" w:ascii="宋体" w:hAnsi="宋体" w:cs="宋体"/>
                <w:color w:val="auto"/>
                <w:kern w:val="0"/>
                <w:sz w:val="24"/>
              </w:rPr>
              <w:t>≥6</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宋体" w:hAnsi="宋体" w:cs="宋体"/>
                <w:color w:val="auto"/>
                <w:kern w:val="0"/>
                <w:sz w:val="24"/>
              </w:rPr>
            </w:pPr>
            <w:r>
              <w:rPr>
                <w:rFonts w:hint="eastAsia" w:ascii="宋体" w:hAnsi="宋体" w:cs="宋体"/>
                <w:color w:val="auto"/>
                <w:kern w:val="0"/>
                <w:sz w:val="24"/>
              </w:rPr>
              <w:t>70%</w:t>
            </w:r>
          </w:p>
        </w:tc>
        <w:tc>
          <w:tcPr>
            <w:tcW w:w="2020"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宋体" w:hAnsi="宋体" w:cs="宋体"/>
                <w:color w:val="auto"/>
                <w:kern w:val="0"/>
                <w:sz w:val="24"/>
              </w:rPr>
            </w:pPr>
            <w:r>
              <w:rPr>
                <w:rFonts w:hint="eastAsia" w:ascii="宋体" w:hAnsi="宋体" w:cs="宋体"/>
                <w:color w:val="auto"/>
                <w:kern w:val="0"/>
                <w:sz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3743" w:type="dxa"/>
            <w:tcBorders>
              <w:top w:val="single" w:color="auto" w:sz="4" w:space="0"/>
              <w:left w:val="single" w:color="auto" w:sz="4" w:space="0"/>
              <w:bottom w:val="single" w:color="auto" w:sz="4" w:space="0"/>
              <w:right w:val="single" w:color="auto" w:sz="4" w:space="0"/>
            </w:tcBorders>
            <w:noWrap w:val="0"/>
            <w:vAlign w:val="top"/>
          </w:tcPr>
          <w:p>
            <w:pPr>
              <w:spacing w:line="420" w:lineRule="exact"/>
              <w:jc w:val="center"/>
              <w:rPr>
                <w:rFonts w:hint="eastAsia" w:ascii="宋体" w:hAnsi="宋体" w:cs="宋体"/>
                <w:color w:val="auto"/>
                <w:kern w:val="0"/>
                <w:sz w:val="24"/>
              </w:rPr>
            </w:pPr>
            <w:r>
              <w:rPr>
                <w:rFonts w:hint="eastAsia" w:ascii="宋体" w:hAnsi="宋体" w:cs="宋体"/>
                <w:color w:val="auto"/>
                <w:kern w:val="0"/>
                <w:sz w:val="24"/>
              </w:rPr>
              <w:t>增补中选（申报价格≤最高有效申报价的0.5倍）</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宋体" w:hAnsi="宋体" w:cs="宋体"/>
                <w:color w:val="auto"/>
                <w:kern w:val="0"/>
                <w:sz w:val="24"/>
              </w:rPr>
            </w:pPr>
            <w:r>
              <w:rPr>
                <w:rFonts w:hint="eastAsia" w:ascii="宋体" w:hAnsi="宋体" w:cs="宋体"/>
                <w:color w:val="auto"/>
                <w:kern w:val="0"/>
                <w:sz w:val="24"/>
              </w:rPr>
              <w:t>60%</w:t>
            </w:r>
          </w:p>
        </w:tc>
        <w:tc>
          <w:tcPr>
            <w:tcW w:w="2020"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宋体" w:hAnsi="宋体" w:cs="宋体"/>
                <w:color w:val="auto"/>
                <w:kern w:val="0"/>
                <w:sz w:val="24"/>
              </w:rPr>
            </w:pPr>
            <w:r>
              <w:rPr>
                <w:rFonts w:hint="eastAsia" w:ascii="宋体" w:hAnsi="宋体" w:cs="宋体"/>
                <w:color w:val="auto"/>
                <w:kern w:val="0"/>
                <w:sz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3743" w:type="dxa"/>
            <w:tcBorders>
              <w:top w:val="single" w:color="auto" w:sz="4" w:space="0"/>
              <w:left w:val="single" w:color="auto" w:sz="4" w:space="0"/>
              <w:bottom w:val="single" w:color="auto" w:sz="4" w:space="0"/>
              <w:right w:val="single" w:color="auto" w:sz="4" w:space="0"/>
            </w:tcBorders>
            <w:noWrap w:val="0"/>
            <w:vAlign w:val="top"/>
          </w:tcPr>
          <w:p>
            <w:pPr>
              <w:spacing w:line="420" w:lineRule="exact"/>
              <w:jc w:val="center"/>
              <w:rPr>
                <w:rFonts w:ascii="宋体" w:hAnsi="宋体" w:cs="宋体"/>
                <w:color w:val="auto"/>
                <w:kern w:val="0"/>
                <w:sz w:val="24"/>
              </w:rPr>
            </w:pPr>
            <w:r>
              <w:rPr>
                <w:rFonts w:hint="eastAsia" w:ascii="宋体" w:hAnsi="宋体" w:cs="宋体"/>
                <w:color w:val="auto"/>
                <w:kern w:val="0"/>
                <w:sz w:val="24"/>
              </w:rPr>
              <w:t>增补中选（申报价格≤最高有效申报价的0.6倍）</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宋体" w:hAnsi="宋体" w:cs="宋体"/>
                <w:color w:val="auto"/>
                <w:kern w:val="0"/>
                <w:sz w:val="24"/>
              </w:rPr>
            </w:pPr>
            <w:r>
              <w:rPr>
                <w:rFonts w:hint="eastAsia" w:ascii="宋体" w:hAnsi="宋体" w:cs="宋体"/>
                <w:color w:val="auto"/>
                <w:kern w:val="0"/>
                <w:sz w:val="24"/>
              </w:rPr>
              <w:t>40%</w:t>
            </w:r>
          </w:p>
        </w:tc>
        <w:tc>
          <w:tcPr>
            <w:tcW w:w="2020"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宋体" w:hAnsi="宋体" w:cs="宋体"/>
                <w:color w:val="auto"/>
                <w:kern w:val="0"/>
                <w:sz w:val="24"/>
              </w:rPr>
            </w:pPr>
            <w:r>
              <w:rPr>
                <w:rFonts w:hint="eastAsia" w:ascii="宋体" w:hAnsi="宋体" w:cs="宋体"/>
                <w:color w:val="auto"/>
                <w:kern w:val="0"/>
                <w:sz w:val="24"/>
              </w:rPr>
              <w:t>50%</w:t>
            </w:r>
          </w:p>
        </w:tc>
      </w:tr>
    </w:tbl>
    <w:p>
      <w:pPr>
        <w:spacing w:line="600" w:lineRule="exact"/>
        <w:ind w:firstLine="640" w:firstLineChars="200"/>
        <w:rPr>
          <w:rFonts w:hint="eastAsia" w:ascii="仿宋_GB2312" w:hAnsi="宋体" w:eastAsia="仿宋_GB2312" w:cs="仿宋_GB2312"/>
          <w:color w:val="auto"/>
          <w:sz w:val="32"/>
          <w:szCs w:val="32"/>
          <w:lang w:bidi="ar"/>
        </w:rPr>
      </w:pPr>
      <w:r>
        <w:rPr>
          <w:rFonts w:hint="eastAsia" w:ascii="仿宋_GB2312" w:hAnsi="宋体" w:eastAsia="仿宋_GB2312" w:cs="仿宋_GB2312"/>
          <w:color w:val="auto"/>
          <w:sz w:val="32"/>
          <w:szCs w:val="32"/>
          <w:lang w:bidi="ar"/>
        </w:rPr>
        <w:t>2019年1月1日以来相关品种取得国家卫健委室间质评成绩合格的，第一步的初次协议采购量占采购需求量的比例增加5%（不超过100%），中选产品未分配采购</w:t>
      </w:r>
      <w:r>
        <w:rPr>
          <w:rFonts w:hint="eastAsia" w:ascii="仿宋_GB2312" w:hAnsi="微软雅黑" w:eastAsia="仿宋_GB2312"/>
          <w:color w:val="auto"/>
          <w:sz w:val="32"/>
          <w:szCs w:val="32"/>
        </w:rPr>
        <w:t>需求</w:t>
      </w:r>
      <w:r>
        <w:rPr>
          <w:rFonts w:hint="eastAsia" w:ascii="仿宋_GB2312" w:hAnsi="宋体" w:eastAsia="仿宋_GB2312" w:cs="仿宋_GB2312"/>
          <w:color w:val="auto"/>
          <w:sz w:val="32"/>
          <w:szCs w:val="32"/>
          <w:lang w:bidi="ar"/>
        </w:rPr>
        <w:t>量减少5%。</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ascii="仿宋_GB2312" w:hAnsi="宋体" w:eastAsia="仿宋_GB2312" w:cs="仿宋_GB2312"/>
          <w:color w:val="auto"/>
          <w:kern w:val="0"/>
          <w:sz w:val="32"/>
          <w:szCs w:val="32"/>
          <w:lang w:bidi="ar"/>
        </w:rPr>
        <w:t>第二步：</w:t>
      </w:r>
      <w:r>
        <w:rPr>
          <w:rFonts w:hint="eastAsia" w:ascii="仿宋_GB2312" w:hAnsi="宋体" w:eastAsia="仿宋_GB2312" w:cs="仿宋_GB2312"/>
          <w:color w:val="auto"/>
          <w:kern w:val="0"/>
          <w:sz w:val="32"/>
          <w:szCs w:val="32"/>
          <w:lang w:bidi="ar"/>
        </w:rPr>
        <w:t>未中选企业的采购</w:t>
      </w:r>
      <w:r>
        <w:rPr>
          <w:rFonts w:hint="eastAsia" w:ascii="仿宋_GB2312" w:hAnsi="微软雅黑" w:eastAsia="仿宋_GB2312"/>
          <w:color w:val="auto"/>
          <w:sz w:val="32"/>
          <w:szCs w:val="32"/>
        </w:rPr>
        <w:t>需求</w:t>
      </w:r>
      <w:r>
        <w:rPr>
          <w:rFonts w:hint="eastAsia" w:ascii="仿宋_GB2312" w:hAnsi="宋体" w:eastAsia="仿宋_GB2312" w:cs="仿宋_GB2312"/>
          <w:color w:val="auto"/>
          <w:kern w:val="0"/>
          <w:sz w:val="32"/>
          <w:szCs w:val="32"/>
          <w:lang w:bidi="ar"/>
        </w:rPr>
        <w:t>量的90%和中选产品未分配采购</w:t>
      </w:r>
      <w:r>
        <w:rPr>
          <w:rFonts w:hint="eastAsia" w:ascii="仿宋_GB2312" w:hAnsi="微软雅黑" w:eastAsia="仿宋_GB2312"/>
          <w:color w:val="auto"/>
          <w:sz w:val="32"/>
          <w:szCs w:val="32"/>
        </w:rPr>
        <w:t>需求</w:t>
      </w:r>
      <w:r>
        <w:rPr>
          <w:rFonts w:hint="eastAsia" w:ascii="仿宋_GB2312" w:hAnsi="宋体" w:eastAsia="仿宋_GB2312" w:cs="仿宋_GB2312"/>
          <w:color w:val="auto"/>
          <w:kern w:val="0"/>
          <w:sz w:val="32"/>
          <w:szCs w:val="32"/>
          <w:lang w:bidi="ar"/>
        </w:rPr>
        <w:t>量，作为医疗机构的二次协议采购量。在分配二次协议采购量时，医疗机构可自主分配给同品种同注册单位A组或B组</w:t>
      </w:r>
      <w:r>
        <w:rPr>
          <w:rFonts w:ascii="仿宋_GB2312" w:hAnsi="宋体" w:eastAsia="仿宋_GB2312" w:cs="仿宋_GB2312"/>
          <w:color w:val="auto"/>
          <w:kern w:val="0"/>
          <w:sz w:val="32"/>
          <w:szCs w:val="32"/>
          <w:lang w:val="en" w:bidi="ar"/>
        </w:rPr>
        <w:t>排名前</w:t>
      </w:r>
      <w:r>
        <w:rPr>
          <w:rFonts w:hint="eastAsia" w:ascii="仿宋_GB2312" w:hAnsi="宋体" w:eastAsia="仿宋_GB2312" w:cs="仿宋_GB2312"/>
          <w:color w:val="auto"/>
          <w:kern w:val="0"/>
          <w:sz w:val="32"/>
          <w:szCs w:val="32"/>
          <w:lang w:val="en-US" w:eastAsia="zh-CN" w:bidi="ar"/>
        </w:rPr>
        <w:t>8</w:t>
      </w:r>
      <w:r>
        <w:rPr>
          <w:rFonts w:ascii="仿宋_GB2312" w:hAnsi="宋体" w:eastAsia="仿宋_GB2312" w:cs="仿宋_GB2312"/>
          <w:color w:val="auto"/>
          <w:kern w:val="0"/>
          <w:sz w:val="32"/>
          <w:szCs w:val="32"/>
          <w:lang w:val="en" w:bidi="ar"/>
        </w:rPr>
        <w:t>0%（向下取整）的中选企业</w:t>
      </w:r>
      <w:r>
        <w:rPr>
          <w:rFonts w:hint="eastAsia" w:ascii="仿宋_GB2312" w:hAnsi="宋体" w:eastAsia="仿宋_GB2312" w:cs="仿宋_GB2312"/>
          <w:color w:val="auto"/>
          <w:kern w:val="0"/>
          <w:sz w:val="32"/>
          <w:szCs w:val="32"/>
          <w:lang w:val="en" w:bidi="ar"/>
        </w:rPr>
        <w:t>（除外复活企业）</w:t>
      </w:r>
      <w:r>
        <w:rPr>
          <w:rFonts w:ascii="仿宋_GB2312" w:hAnsi="宋体" w:eastAsia="仿宋_GB2312" w:cs="仿宋_GB2312"/>
          <w:color w:val="auto"/>
          <w:kern w:val="0"/>
          <w:sz w:val="32"/>
          <w:szCs w:val="32"/>
          <w:lang w:val="en" w:bidi="ar"/>
        </w:rPr>
        <w:t>的产品，</w:t>
      </w:r>
      <w:r>
        <w:rPr>
          <w:rFonts w:hint="eastAsia" w:ascii="仿宋_GB2312" w:hAnsi="宋体" w:eastAsia="仿宋_GB2312" w:cs="仿宋_GB2312"/>
          <w:color w:val="auto"/>
          <w:kern w:val="0"/>
          <w:sz w:val="32"/>
          <w:szCs w:val="32"/>
          <w:lang w:bidi="ar"/>
        </w:rPr>
        <w:t>或本医疗机构已填报采购需求量</w:t>
      </w:r>
      <w:r>
        <w:rPr>
          <w:rFonts w:ascii="仿宋_GB2312" w:hAnsi="宋体" w:eastAsia="仿宋_GB2312" w:cs="仿宋_GB2312"/>
          <w:color w:val="auto"/>
          <w:kern w:val="0"/>
          <w:sz w:val="32"/>
          <w:szCs w:val="32"/>
          <w:lang w:val="en" w:bidi="ar"/>
        </w:rPr>
        <w:t>的中选</w:t>
      </w:r>
      <w:r>
        <w:rPr>
          <w:rFonts w:hint="eastAsia" w:ascii="仿宋_GB2312" w:hAnsi="宋体" w:eastAsia="仿宋_GB2312" w:cs="仿宋_GB2312"/>
          <w:color w:val="auto"/>
          <w:kern w:val="0"/>
          <w:sz w:val="32"/>
          <w:szCs w:val="32"/>
          <w:lang w:bidi="ar"/>
        </w:rPr>
        <w:t>价格最低的企业的产品。医疗机构应按要求及时进行协议量分配；若医疗机构未分配，则自动分配给同品种同包装计量单位的最低价中选企业。</w:t>
      </w:r>
    </w:p>
    <w:p>
      <w:pPr>
        <w:pStyle w:val="2"/>
        <w:spacing w:line="600" w:lineRule="exact"/>
        <w:ind w:firstLine="640" w:firstLineChars="200"/>
        <w:jc w:val="both"/>
        <w:rPr>
          <w:rFonts w:hint="default" w:ascii="仿宋_GB2312" w:hAnsi="宋体" w:eastAsia="仿宋_GB2312" w:cs="仿宋_GB2312"/>
          <w:color w:val="auto"/>
          <w:sz w:val="32"/>
          <w:szCs w:val="32"/>
          <w:lang w:bidi="ar"/>
        </w:rPr>
      </w:pPr>
      <w:r>
        <w:rPr>
          <w:rFonts w:hint="default" w:ascii="仿宋_GB2312" w:hAnsi="宋体" w:eastAsia="仿宋_GB2312" w:cs="仿宋_GB2312"/>
          <w:color w:val="auto"/>
          <w:sz w:val="32"/>
          <w:szCs w:val="32"/>
          <w:lang w:bidi="ar"/>
        </w:rPr>
        <w:t>2.签订采购协议并执行</w:t>
      </w:r>
      <w:r>
        <w:rPr>
          <w:rFonts w:ascii="仿宋_GB2312" w:hAnsi="宋体" w:eastAsia="仿宋_GB2312" w:cs="仿宋_GB2312"/>
          <w:color w:val="auto"/>
          <w:sz w:val="32"/>
          <w:szCs w:val="32"/>
          <w:lang w:bidi="ar"/>
        </w:rPr>
        <w:t>时</w:t>
      </w:r>
      <w:r>
        <w:rPr>
          <w:rFonts w:hint="default" w:ascii="仿宋_GB2312" w:hAnsi="宋体" w:eastAsia="仿宋_GB2312" w:cs="仿宋_GB2312"/>
          <w:color w:val="auto"/>
          <w:sz w:val="32"/>
          <w:szCs w:val="32"/>
          <w:lang w:bidi="ar"/>
        </w:rPr>
        <w:t>，必须如实反映实际供应价格和采购量</w:t>
      </w:r>
      <w:r>
        <w:rPr>
          <w:rFonts w:ascii="仿宋_GB2312" w:hAnsi="宋体" w:eastAsia="仿宋_GB2312" w:cs="仿宋_GB2312"/>
          <w:color w:val="auto"/>
          <w:sz w:val="32"/>
          <w:szCs w:val="32"/>
          <w:lang w:bidi="ar"/>
        </w:rPr>
        <w:t>。</w:t>
      </w:r>
      <w:r>
        <w:rPr>
          <w:rFonts w:hint="default" w:ascii="仿宋_GB2312" w:hAnsi="宋体" w:eastAsia="仿宋_GB2312" w:cs="仿宋_GB2312"/>
          <w:color w:val="auto"/>
          <w:sz w:val="32"/>
          <w:szCs w:val="32"/>
          <w:lang w:bidi="ar"/>
        </w:rPr>
        <w:t>医疗机构应当根据采购协议的约定</w:t>
      </w:r>
      <w:r>
        <w:rPr>
          <w:rFonts w:ascii="仿宋_GB2312" w:hAnsi="宋体" w:eastAsia="仿宋_GB2312" w:cs="仿宋_GB2312"/>
          <w:color w:val="auto"/>
          <w:sz w:val="32"/>
          <w:szCs w:val="32"/>
          <w:lang w:bidi="ar"/>
        </w:rPr>
        <w:t>和有关政策要求</w:t>
      </w:r>
      <w:r>
        <w:rPr>
          <w:rFonts w:hint="default" w:ascii="仿宋_GB2312" w:hAnsi="宋体" w:eastAsia="仿宋_GB2312" w:cs="仿宋_GB2312"/>
          <w:color w:val="auto"/>
          <w:sz w:val="32"/>
          <w:szCs w:val="32"/>
          <w:lang w:bidi="ar"/>
        </w:rPr>
        <w:t>及时回款，不得拖欠。</w:t>
      </w:r>
    </w:p>
    <w:p>
      <w:pPr>
        <w:pStyle w:val="2"/>
        <w:spacing w:line="600" w:lineRule="exact"/>
        <w:ind w:firstLine="640" w:firstLineChars="200"/>
        <w:jc w:val="both"/>
        <w:rPr>
          <w:rFonts w:hint="default" w:ascii="仿宋_GB2312" w:hAnsi="宋体" w:eastAsia="仿宋_GB2312" w:cs="仿宋_GB2312"/>
          <w:color w:val="auto"/>
          <w:sz w:val="32"/>
          <w:szCs w:val="32"/>
          <w:lang w:bidi="ar"/>
        </w:rPr>
      </w:pPr>
      <w:r>
        <w:rPr>
          <w:rFonts w:ascii="仿宋_GB2312" w:hAnsi="宋体" w:eastAsia="仿宋_GB2312" w:cs="仿宋_GB2312"/>
          <w:color w:val="auto"/>
          <w:sz w:val="32"/>
          <w:szCs w:val="32"/>
          <w:lang w:bidi="ar"/>
        </w:rPr>
        <w:t>3.</w:t>
      </w:r>
      <w:r>
        <w:rPr>
          <w:rFonts w:hint="default" w:ascii="仿宋_GB2312" w:hAnsi="宋体" w:eastAsia="仿宋_GB2312" w:cs="仿宋_GB2312"/>
          <w:color w:val="auto"/>
          <w:sz w:val="32"/>
          <w:szCs w:val="32"/>
          <w:lang w:bidi="ar"/>
        </w:rPr>
        <w:t>采购协议签订后，双方不得再订立背离协议实质性内容的其他协议或提出除协议之外的任何利益性要求。</w:t>
      </w:r>
    </w:p>
    <w:p>
      <w:pPr>
        <w:spacing w:line="600" w:lineRule="exact"/>
        <w:ind w:firstLine="640" w:firstLineChars="200"/>
        <w:rPr>
          <w:rFonts w:ascii="仿宋_GB2312" w:hAnsi="宋体" w:eastAsia="仿宋_GB2312" w:cs="仿宋_GB2312"/>
          <w:color w:val="auto"/>
          <w:sz w:val="32"/>
          <w:szCs w:val="32"/>
          <w:lang w:bidi="ar"/>
        </w:rPr>
      </w:pPr>
      <w:r>
        <w:rPr>
          <w:rFonts w:ascii="仿宋_GB2312" w:hAnsi="宋体" w:eastAsia="仿宋_GB2312" w:cs="仿宋_GB2312"/>
          <w:color w:val="auto"/>
          <w:sz w:val="32"/>
          <w:szCs w:val="32"/>
          <w:lang w:bidi="ar"/>
        </w:rPr>
        <w:t>4.参与本次集中带量采购的医疗机构须严格执行中选价格，不得对中选产品进行二次议价。</w:t>
      </w:r>
    </w:p>
    <w:p>
      <w:pPr>
        <w:spacing w:line="600" w:lineRule="exact"/>
        <w:ind w:firstLine="640" w:firstLineChars="200"/>
        <w:outlineLvl w:val="1"/>
        <w:rPr>
          <w:rFonts w:hint="eastAsia" w:ascii="黑体" w:hAnsi="黑体" w:eastAsia="黑体" w:cs="黑体"/>
          <w:color w:val="auto"/>
          <w:kern w:val="0"/>
          <w:sz w:val="32"/>
          <w:szCs w:val="32"/>
          <w:lang w:bidi="ar"/>
        </w:rPr>
      </w:pPr>
      <w:r>
        <w:rPr>
          <w:rFonts w:hint="eastAsia" w:ascii="黑体" w:hAnsi="黑体" w:eastAsia="黑体" w:cs="黑体"/>
          <w:color w:val="auto"/>
          <w:kern w:val="0"/>
          <w:sz w:val="32"/>
          <w:szCs w:val="32"/>
          <w:lang w:bidi="ar"/>
        </w:rPr>
        <w:t>七</w:t>
      </w:r>
      <w:r>
        <w:rPr>
          <w:rFonts w:ascii="黑体" w:hAnsi="黑体" w:eastAsia="黑体" w:cs="黑体"/>
          <w:color w:val="auto"/>
          <w:kern w:val="0"/>
          <w:sz w:val="32"/>
          <w:szCs w:val="32"/>
          <w:lang w:bidi="ar"/>
        </w:rPr>
        <w:t>、</w:t>
      </w:r>
      <w:r>
        <w:rPr>
          <w:rFonts w:hint="eastAsia" w:ascii="黑体" w:hAnsi="黑体" w:eastAsia="黑体" w:cs="黑体"/>
          <w:color w:val="auto"/>
          <w:kern w:val="0"/>
          <w:sz w:val="32"/>
          <w:szCs w:val="32"/>
          <w:lang w:bidi="ar"/>
        </w:rPr>
        <w:t>非中选产品管理</w:t>
      </w:r>
    </w:p>
    <w:p>
      <w:pPr>
        <w:spacing w:line="600" w:lineRule="exact"/>
        <w:ind w:firstLine="640" w:firstLineChars="200"/>
        <w:rPr>
          <w:rFonts w:hint="eastAsia" w:ascii="仿宋_GB2312" w:hAnsi="微软雅黑" w:eastAsia="仿宋_GB2312"/>
          <w:color w:val="auto"/>
          <w:sz w:val="32"/>
          <w:szCs w:val="32"/>
        </w:rPr>
      </w:pPr>
      <w:r>
        <w:rPr>
          <w:rFonts w:hint="eastAsia" w:ascii="仿宋_GB2312" w:hAnsi="微软雅黑" w:eastAsia="仿宋_GB2312"/>
          <w:color w:val="auto"/>
          <w:sz w:val="32"/>
          <w:szCs w:val="32"/>
        </w:rPr>
        <w:t>申报信息公开之前，在采购范围内但未申报参加本次带量采购的产品、申报但未中选的产品和流标的产品，均视为非中选产品，采购周期内，每年度非中选产品的采购数量不得高于同品种同竞价组别采购总数量的30%。</w:t>
      </w:r>
    </w:p>
    <w:p>
      <w:pPr>
        <w:spacing w:line="600" w:lineRule="exact"/>
        <w:ind w:firstLine="640" w:firstLineChars="200"/>
        <w:outlineLvl w:val="1"/>
        <w:rPr>
          <w:rFonts w:ascii="黑体" w:hAnsi="黑体" w:eastAsia="黑体" w:cs="黑体"/>
          <w:color w:val="auto"/>
          <w:kern w:val="0"/>
          <w:sz w:val="32"/>
          <w:szCs w:val="32"/>
          <w:lang w:bidi="ar"/>
        </w:rPr>
      </w:pPr>
      <w:bookmarkStart w:id="21" w:name="_Toc89358224"/>
      <w:r>
        <w:rPr>
          <w:rFonts w:hint="eastAsia" w:ascii="黑体" w:hAnsi="黑体" w:eastAsia="黑体" w:cs="黑体"/>
          <w:color w:val="auto"/>
          <w:kern w:val="0"/>
          <w:sz w:val="32"/>
          <w:szCs w:val="32"/>
          <w:lang w:bidi="ar"/>
        </w:rPr>
        <w:t>八</w:t>
      </w:r>
      <w:r>
        <w:rPr>
          <w:rFonts w:ascii="黑体" w:hAnsi="黑体" w:eastAsia="黑体" w:cs="黑体"/>
          <w:color w:val="auto"/>
          <w:kern w:val="0"/>
          <w:sz w:val="32"/>
          <w:szCs w:val="32"/>
          <w:lang w:bidi="ar"/>
        </w:rPr>
        <w:t>、采购协议履行及有关问题处理</w:t>
      </w:r>
      <w:bookmarkEnd w:id="21"/>
    </w:p>
    <w:p>
      <w:pPr>
        <w:spacing w:line="600" w:lineRule="exact"/>
        <w:ind w:firstLine="642" w:firstLineChars="200"/>
        <w:rPr>
          <w:rFonts w:hint="eastAsia" w:ascii="楷体" w:hAnsi="楷体" w:eastAsia="楷体" w:cs="楷体"/>
          <w:b/>
          <w:bCs/>
          <w:color w:val="auto"/>
          <w:kern w:val="0"/>
          <w:sz w:val="32"/>
          <w:szCs w:val="32"/>
          <w:lang w:bidi="ar"/>
        </w:rPr>
      </w:pPr>
      <w:r>
        <w:rPr>
          <w:rFonts w:hint="eastAsia" w:ascii="楷体" w:hAnsi="楷体" w:eastAsia="楷体" w:cs="楷体"/>
          <w:b/>
          <w:bCs/>
          <w:color w:val="auto"/>
          <w:kern w:val="0"/>
          <w:sz w:val="32"/>
          <w:szCs w:val="32"/>
          <w:lang w:bidi="ar"/>
        </w:rPr>
        <w:t>（一）申报企业、中选企业、配送企业如有以下行为，经有关部门认定情节严重的将被视为有失信行为，纳入企业信用记录，列入“违规名单”</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1.申报产品不符合“申报产品资格要求”，涉嫌不如实提供材料。</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2.以低于成本的价格恶意申报，扰乱市场秩序。</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3.相互串通申报、协商报价，排斥其他申报企业的公平竞争，损害医疗机构或者其他申报企业的合法利益。</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4.以向医疗机构、联席会议办公室行贿等手段牟取中选。</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5.提供虚假证明文件及文献资料，或者以其他方式弄虚作假，骗取中选。</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6.在规定期限内不签订采购协议。</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7.中选企业、配送企业未按医疗机构及法律法规等要求实行配送。</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8.中选结果公布后放弃中选资格。</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9.不履行供货承诺，影响到临床使用。</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10.中选产品发生严重质量问题。</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11.中选企业严重违背在申报材料中作出的承诺。</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12.通过恶意投诉等不正当手段竞争。</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13.蓄意干扰集中带量采购相关工作秩序。</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14.其他违反法律法规的行为。</w:t>
      </w:r>
    </w:p>
    <w:p>
      <w:pPr>
        <w:spacing w:line="600" w:lineRule="exact"/>
        <w:ind w:firstLine="642" w:firstLineChars="200"/>
        <w:rPr>
          <w:rFonts w:hint="eastAsia" w:ascii="楷体" w:hAnsi="楷体" w:eastAsia="楷体" w:cs="楷体"/>
          <w:b/>
          <w:bCs/>
          <w:color w:val="auto"/>
          <w:kern w:val="0"/>
          <w:sz w:val="32"/>
          <w:szCs w:val="32"/>
          <w:lang w:bidi="ar"/>
        </w:rPr>
      </w:pPr>
      <w:r>
        <w:rPr>
          <w:rFonts w:hint="eastAsia" w:ascii="楷体" w:hAnsi="楷体" w:eastAsia="楷体" w:cs="楷体"/>
          <w:b/>
          <w:bCs/>
          <w:color w:val="auto"/>
          <w:kern w:val="0"/>
          <w:sz w:val="32"/>
          <w:szCs w:val="32"/>
          <w:lang w:bidi="ar"/>
        </w:rPr>
        <w:t>（二）列入“违规名单”的相关企业，按以下方式处理</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1.申报企业列入“违规名单”的，取消该企业的申报资格；中选企业列入“违规名单”的，取消该企业的中选资格。同时视情节轻重取消上述企业在列入“违规名单”之日起2年内参与联盟各地区医用耗材集中采购活动的资格。</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2.配送企业列入“违规名单”的，取消该企业自列入“违规名单”之日起2年内参与联盟各地区医用耗材集中采购配送的资格。</w:t>
      </w:r>
    </w:p>
    <w:p>
      <w:pPr>
        <w:spacing w:line="600" w:lineRule="exact"/>
        <w:ind w:firstLine="642" w:firstLineChars="200"/>
        <w:rPr>
          <w:rFonts w:ascii="楷体" w:hAnsi="楷体" w:eastAsia="楷体" w:cs="楷体"/>
          <w:b/>
          <w:bCs/>
          <w:color w:val="auto"/>
          <w:kern w:val="0"/>
          <w:sz w:val="32"/>
          <w:szCs w:val="32"/>
          <w:lang w:bidi="ar"/>
        </w:rPr>
      </w:pPr>
      <w:r>
        <w:rPr>
          <w:rFonts w:ascii="楷体" w:hAnsi="楷体" w:eastAsia="楷体" w:cs="楷体"/>
          <w:b/>
          <w:bCs/>
          <w:color w:val="auto"/>
          <w:kern w:val="0"/>
          <w:sz w:val="32"/>
          <w:szCs w:val="32"/>
          <w:lang w:bidi="ar"/>
        </w:rPr>
        <w:t>（</w:t>
      </w:r>
      <w:r>
        <w:rPr>
          <w:rFonts w:hint="eastAsia" w:ascii="楷体" w:hAnsi="楷体" w:eastAsia="楷体" w:cs="楷体"/>
          <w:b/>
          <w:bCs/>
          <w:color w:val="auto"/>
          <w:kern w:val="0"/>
          <w:sz w:val="32"/>
          <w:szCs w:val="32"/>
          <w:lang w:bidi="ar"/>
        </w:rPr>
        <w:t>三</w:t>
      </w:r>
      <w:r>
        <w:rPr>
          <w:rFonts w:ascii="楷体" w:hAnsi="楷体" w:eastAsia="楷体" w:cs="楷体"/>
          <w:b/>
          <w:bCs/>
          <w:color w:val="auto"/>
          <w:kern w:val="0"/>
          <w:sz w:val="32"/>
          <w:szCs w:val="32"/>
          <w:lang w:bidi="ar"/>
        </w:rPr>
        <w:t xml:space="preserve">）其他事项 </w:t>
      </w:r>
    </w:p>
    <w:p>
      <w:pPr>
        <w:spacing w:line="600" w:lineRule="exact"/>
        <w:ind w:firstLine="640" w:firstLineChars="200"/>
        <w:rPr>
          <w:rFonts w:ascii="仿宋_GB2312" w:hAnsi="宋体" w:eastAsia="仿宋_GB2312" w:cs="仿宋_GB2312"/>
          <w:color w:val="auto"/>
          <w:kern w:val="0"/>
          <w:sz w:val="32"/>
          <w:szCs w:val="32"/>
          <w:lang w:bidi="ar"/>
        </w:rPr>
      </w:pPr>
      <w:r>
        <w:rPr>
          <w:rFonts w:ascii="仿宋_GB2312" w:hAnsi="宋体" w:eastAsia="仿宋_GB2312" w:cs="仿宋_GB2312"/>
          <w:color w:val="auto"/>
          <w:kern w:val="0"/>
          <w:sz w:val="32"/>
          <w:szCs w:val="32"/>
          <w:lang w:bidi="ar"/>
        </w:rPr>
        <w:t>1.中选产品出现被药品监督管理部门暂停生产、销售、使用、</w:t>
      </w:r>
      <w:r>
        <w:rPr>
          <w:rFonts w:hint="eastAsia" w:ascii="仿宋_GB2312" w:hAnsi="宋体" w:eastAsia="仿宋_GB2312" w:cs="仿宋_GB2312"/>
          <w:color w:val="auto"/>
          <w:kern w:val="0"/>
          <w:sz w:val="32"/>
          <w:szCs w:val="32"/>
          <w:lang w:bidi="ar"/>
        </w:rPr>
        <w:t>进口等情况，取消中选资格。</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ascii="仿宋_GB2312" w:hAnsi="宋体" w:eastAsia="仿宋_GB2312" w:cs="仿宋_GB2312"/>
          <w:color w:val="auto"/>
          <w:kern w:val="0"/>
          <w:sz w:val="32"/>
          <w:szCs w:val="32"/>
          <w:lang w:bidi="ar"/>
        </w:rPr>
        <w:t>2.</w:t>
      </w:r>
      <w:r>
        <w:rPr>
          <w:rFonts w:hint="eastAsia" w:ascii="仿宋_GB2312" w:hAnsi="宋体" w:eastAsia="仿宋_GB2312" w:cs="仿宋_GB2312"/>
          <w:color w:val="auto"/>
          <w:kern w:val="0"/>
          <w:sz w:val="32"/>
          <w:szCs w:val="32"/>
          <w:lang w:bidi="ar"/>
        </w:rPr>
        <w:t>采购周期内，中选企业出现无法保证供应等情况，致使采购协议无法继续履行时，由医疗机构自主选择价格适宜的中选产品。因保障供应产生的额外支出由无法履行采购协议的原中选企业承担。</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3</w:t>
      </w:r>
      <w:r>
        <w:rPr>
          <w:rFonts w:ascii="仿宋_GB2312" w:hAnsi="宋体" w:eastAsia="仿宋_GB2312" w:cs="仿宋_GB2312"/>
          <w:color w:val="auto"/>
          <w:kern w:val="0"/>
          <w:sz w:val="32"/>
          <w:szCs w:val="32"/>
          <w:lang w:bidi="ar"/>
        </w:rPr>
        <w:t>.</w:t>
      </w:r>
      <w:r>
        <w:rPr>
          <w:rFonts w:hint="eastAsia" w:ascii="仿宋_GB2312" w:hAnsi="宋体" w:eastAsia="仿宋_GB2312" w:cs="仿宋_GB2312"/>
          <w:color w:val="auto"/>
          <w:kern w:val="0"/>
          <w:sz w:val="32"/>
          <w:szCs w:val="32"/>
          <w:lang w:bidi="ar"/>
        </w:rPr>
        <w:t>因中选产品存在生产质量问题，给患者造成损失的，按照相关规定，由中选企业承担全部赔偿责任。</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ascii="仿宋_GB2312" w:hAnsi="宋体" w:eastAsia="仿宋_GB2312" w:cs="仿宋_GB2312"/>
          <w:color w:val="auto"/>
          <w:kern w:val="0"/>
          <w:sz w:val="32"/>
          <w:szCs w:val="32"/>
          <w:lang w:bidi="ar"/>
        </w:rPr>
        <w:t>4.采购周期内，若中选产品的配送企业被列入“违规名单”，联盟各地区应及时处理，组织中选企业选择其他配送企业，确保中选产品及时配送。</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5.</w:t>
      </w:r>
      <w:r>
        <w:rPr>
          <w:rFonts w:ascii="仿宋_GB2312" w:hAnsi="宋体" w:eastAsia="仿宋_GB2312" w:cs="仿宋_GB2312"/>
          <w:color w:val="auto"/>
          <w:kern w:val="0"/>
          <w:sz w:val="32"/>
          <w:szCs w:val="32"/>
          <w:lang w:bidi="ar"/>
        </w:rPr>
        <w:t>采购周期内</w:t>
      </w:r>
      <w:r>
        <w:rPr>
          <w:rFonts w:hint="eastAsia" w:ascii="仿宋_GB2312" w:hAnsi="宋体" w:eastAsia="仿宋_GB2312" w:cs="仿宋_GB2312"/>
          <w:color w:val="auto"/>
          <w:kern w:val="0"/>
          <w:sz w:val="32"/>
          <w:szCs w:val="32"/>
          <w:lang w:bidi="ar"/>
        </w:rPr>
        <w:t>，当全国其他省（自治区、直辖市）出现更低的带量采购中选价时，企业应在1个月内主动申报，全联盟联动调价。</w:t>
      </w:r>
    </w:p>
    <w:p>
      <w:pPr>
        <w:spacing w:line="600" w:lineRule="exact"/>
        <w:ind w:firstLine="640" w:firstLineChars="200"/>
        <w:rPr>
          <w:rFonts w:hint="eastAsia" w:ascii="仿宋_GB2312" w:hAnsi="宋体" w:eastAsia="仿宋_GB2312" w:cs="仿宋_GB2312"/>
          <w:color w:val="auto"/>
          <w:kern w:val="0"/>
          <w:sz w:val="32"/>
          <w:szCs w:val="32"/>
          <w:lang w:bidi="ar"/>
        </w:rPr>
      </w:pPr>
      <w:r>
        <w:rPr>
          <w:rFonts w:hint="eastAsia" w:ascii="仿宋_GB2312" w:hAnsi="宋体" w:eastAsia="仿宋_GB2312" w:cs="仿宋_GB2312"/>
          <w:color w:val="auto"/>
          <w:kern w:val="0"/>
          <w:sz w:val="32"/>
          <w:szCs w:val="32"/>
          <w:lang w:bidi="ar"/>
        </w:rPr>
        <w:t>6.中选企业选择配送能力强的经营企业做好配送工作。按照招采信用评价制度对于配送率低企业采取通报、整改直至取消中选资格的处理。</w:t>
      </w:r>
    </w:p>
    <w:p>
      <w:pPr>
        <w:spacing w:line="600" w:lineRule="exact"/>
        <w:ind w:firstLine="642" w:firstLineChars="200"/>
        <w:rPr>
          <w:rFonts w:hint="eastAsia" w:ascii="楷体" w:hAnsi="楷体" w:eastAsia="楷体" w:cs="楷体"/>
          <w:b/>
          <w:bCs/>
          <w:color w:val="auto"/>
          <w:kern w:val="0"/>
          <w:sz w:val="32"/>
          <w:szCs w:val="32"/>
          <w:lang w:bidi="ar"/>
        </w:rPr>
      </w:pPr>
      <w:r>
        <w:rPr>
          <w:rFonts w:hint="eastAsia" w:ascii="楷体" w:hAnsi="楷体" w:eastAsia="楷体" w:cs="楷体"/>
          <w:b/>
          <w:bCs/>
          <w:color w:val="auto"/>
          <w:kern w:val="0"/>
          <w:sz w:val="32"/>
          <w:szCs w:val="32"/>
          <w:lang w:bidi="ar"/>
        </w:rPr>
        <w:t>（四）本采购文件仅适用于本次集中带量采购所述项目的医用耗材及相关服务，最终解释权归联席会议办公室。</w:t>
      </w:r>
    </w:p>
    <w:p>
      <w:pPr>
        <w:pStyle w:val="4"/>
        <w:spacing w:line="600" w:lineRule="exact"/>
        <w:rPr>
          <w:rFonts w:ascii="方正小标宋简体" w:hAnsi="方正小标宋简体" w:eastAsia="方正小标宋简体" w:cs="方正小标宋简体"/>
          <w:bCs/>
          <w:color w:val="auto"/>
          <w:sz w:val="56"/>
          <w:szCs w:val="56"/>
        </w:rPr>
      </w:pPr>
      <w:r>
        <w:rPr>
          <w:rFonts w:ascii="楷体" w:hAnsi="楷体" w:eastAsia="楷体" w:cs="楷体"/>
          <w:b/>
          <w:bCs/>
          <w:color w:val="auto"/>
          <w:kern w:val="0"/>
          <w:sz w:val="32"/>
          <w:szCs w:val="32"/>
          <w:lang w:bidi="ar"/>
        </w:rPr>
        <w:br w:type="page"/>
      </w:r>
      <w:bookmarkStart w:id="22" w:name="_Toc89358225"/>
    </w:p>
    <w:bookmarkEnd w:id="22"/>
    <w:p>
      <w:pPr>
        <w:spacing w:before="4680" w:beforeLines="1500" w:line="600" w:lineRule="exact"/>
        <w:jc w:val="center"/>
        <w:outlineLvl w:val="0"/>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第三部分 附件</w:t>
      </w:r>
    </w:p>
    <w:p>
      <w:pPr>
        <w:pStyle w:val="2"/>
        <w:spacing w:line="600" w:lineRule="exact"/>
        <w:jc w:val="center"/>
        <w:rPr>
          <w:rFonts w:ascii="方正小标宋简体" w:hAnsi="方正小标宋简体" w:eastAsia="方正小标宋简体" w:cs="方正小标宋简体"/>
          <w:color w:val="auto"/>
          <w:sz w:val="56"/>
          <w:szCs w:val="56"/>
          <w:lang w:bidi="ar"/>
        </w:rPr>
      </w:pPr>
    </w:p>
    <w:p>
      <w:pPr>
        <w:pStyle w:val="2"/>
        <w:spacing w:line="600" w:lineRule="exact"/>
        <w:jc w:val="center"/>
        <w:rPr>
          <w:rFonts w:ascii="方正小标宋简体" w:hAnsi="方正小标宋简体" w:eastAsia="方正小标宋简体" w:cs="方正小标宋简体"/>
          <w:color w:val="auto"/>
          <w:sz w:val="56"/>
          <w:szCs w:val="56"/>
          <w:lang w:bidi="ar"/>
        </w:rPr>
      </w:pPr>
    </w:p>
    <w:p>
      <w:pPr>
        <w:pStyle w:val="2"/>
        <w:spacing w:line="600" w:lineRule="exact"/>
        <w:jc w:val="center"/>
        <w:rPr>
          <w:rFonts w:ascii="方正小标宋简体" w:hAnsi="方正小标宋简体" w:eastAsia="方正小标宋简体" w:cs="方正小标宋简体"/>
          <w:color w:val="auto"/>
          <w:sz w:val="56"/>
          <w:szCs w:val="56"/>
          <w:lang w:bidi="ar"/>
        </w:rPr>
        <w:sectPr>
          <w:pgSz w:w="11906" w:h="16838"/>
          <w:pgMar w:top="1440" w:right="1906" w:bottom="1440" w:left="1800" w:header="851" w:footer="992" w:gutter="0"/>
          <w:cols w:space="720" w:num="1"/>
          <w:docGrid w:type="lines" w:linePitch="312" w:charSpace="0"/>
        </w:sectPr>
      </w:pPr>
    </w:p>
    <w:p>
      <w:pPr>
        <w:spacing w:line="600" w:lineRule="exact"/>
        <w:outlineLvl w:val="1"/>
        <w:rPr>
          <w:rFonts w:hint="eastAsia" w:ascii="黑体" w:hAnsi="黑体" w:eastAsia="黑体" w:cs="黑体"/>
          <w:color w:val="auto"/>
          <w:kern w:val="0"/>
          <w:sz w:val="32"/>
          <w:szCs w:val="32"/>
          <w:lang w:bidi="ar"/>
        </w:rPr>
      </w:pPr>
      <w:bookmarkStart w:id="23" w:name="_Toc89358226"/>
      <w:r>
        <w:rPr>
          <w:rFonts w:hint="eastAsia" w:ascii="黑体" w:hAnsi="黑体" w:eastAsia="黑体" w:cs="黑体"/>
          <w:color w:val="auto"/>
          <w:kern w:val="0"/>
          <w:sz w:val="32"/>
          <w:szCs w:val="32"/>
          <w:lang w:bidi="ar"/>
        </w:rPr>
        <w:t>附件1</w:t>
      </w:r>
      <w:bookmarkEnd w:id="23"/>
    </w:p>
    <w:p>
      <w:pPr>
        <w:spacing w:line="600" w:lineRule="exact"/>
        <w:jc w:val="center"/>
        <w:rPr>
          <w:rFonts w:hint="eastAsia" w:ascii="方正小标宋简体" w:hAnsi="方正小标宋简体" w:eastAsia="方正小标宋简体" w:cs="方正小标宋简体"/>
          <w:b/>
          <w:bCs/>
          <w:color w:val="auto"/>
          <w:kern w:val="0"/>
          <w:sz w:val="44"/>
          <w:szCs w:val="44"/>
          <w:lang w:bidi="ar"/>
        </w:rPr>
      </w:pPr>
    </w:p>
    <w:p>
      <w:pPr>
        <w:spacing w:line="600" w:lineRule="exact"/>
        <w:jc w:val="center"/>
        <w:rPr>
          <w:rFonts w:hint="eastAsia" w:ascii="方正小标宋简体" w:hAnsi="方正小标宋简体" w:eastAsia="方正小标宋简体" w:cs="方正小标宋简体"/>
          <w:color w:val="auto"/>
          <w:kern w:val="0"/>
          <w:sz w:val="44"/>
          <w:szCs w:val="44"/>
          <w:lang w:bidi="ar"/>
        </w:rPr>
      </w:pPr>
      <w:r>
        <w:rPr>
          <w:rFonts w:hint="eastAsia" w:ascii="方正小标宋简体" w:hAnsi="方正小标宋简体" w:eastAsia="方正小标宋简体" w:cs="方正小标宋简体"/>
          <w:color w:val="auto"/>
          <w:kern w:val="0"/>
          <w:sz w:val="44"/>
          <w:szCs w:val="44"/>
          <w:lang w:bidi="ar"/>
        </w:rPr>
        <w:t>联盟地区医用耗材带量采购申报承诺函</w:t>
      </w:r>
    </w:p>
    <w:p>
      <w:pPr>
        <w:spacing w:before="156" w:beforeLines="50" w:line="600" w:lineRule="exact"/>
        <w:jc w:val="left"/>
        <w:rPr>
          <w:rFonts w:hint="eastAsia" w:ascii="仿宋_GB2312" w:hAnsi="仿宋_GB2312" w:eastAsia="仿宋_GB2312" w:cs="仿宋_GB2312"/>
          <w:color w:val="auto"/>
          <w:kern w:val="0"/>
          <w:sz w:val="28"/>
          <w:szCs w:val="28"/>
          <w:lang w:bidi="ar"/>
        </w:rPr>
      </w:pPr>
    </w:p>
    <w:p>
      <w:pPr>
        <w:spacing w:before="156" w:beforeLines="50" w:line="600" w:lineRule="exact"/>
        <w:rPr>
          <w:color w:val="auto"/>
          <w:sz w:val="32"/>
          <w:szCs w:val="28"/>
        </w:rPr>
      </w:pPr>
      <w:r>
        <w:rPr>
          <w:rFonts w:hint="eastAsia" w:ascii="仿宋_GB2312" w:hAnsi="仿宋_GB2312" w:eastAsia="仿宋_GB2312" w:cs="仿宋_GB2312"/>
          <w:color w:val="auto"/>
          <w:kern w:val="0"/>
          <w:sz w:val="32"/>
          <w:szCs w:val="28"/>
          <w:lang w:bidi="ar"/>
        </w:rPr>
        <w:t>江西省药品医用耗材集中采购联席会议办公室</w:t>
      </w:r>
      <w:r>
        <w:rPr>
          <w:rFonts w:ascii="仿宋_GB2312" w:hAnsi="宋体" w:eastAsia="仿宋_GB2312" w:cs="仿宋_GB2312"/>
          <w:color w:val="auto"/>
          <w:kern w:val="0"/>
          <w:sz w:val="32"/>
          <w:szCs w:val="28"/>
          <w:lang w:bidi="ar"/>
        </w:rPr>
        <w:t>：</w:t>
      </w:r>
    </w:p>
    <w:p>
      <w:pPr>
        <w:spacing w:line="600" w:lineRule="exact"/>
        <w:ind w:firstLine="640" w:firstLineChars="200"/>
        <w:rPr>
          <w:color w:val="auto"/>
          <w:sz w:val="32"/>
          <w:szCs w:val="28"/>
        </w:rPr>
      </w:pPr>
      <w:r>
        <w:rPr>
          <w:rFonts w:hint="eastAsia" w:ascii="仿宋_GB2312" w:hAnsi="宋体" w:eastAsia="仿宋_GB2312" w:cs="仿宋_GB2312"/>
          <w:color w:val="auto"/>
          <w:kern w:val="0"/>
          <w:sz w:val="32"/>
          <w:szCs w:val="28"/>
          <w:lang w:bidi="ar"/>
        </w:rPr>
        <w:t>在充分理解《肾功和心肌酶生化类检测试剂省际联盟集中带量采购文件》后，我方决定按照采购文件的规定申报参与，并保证申报的价格及其他证明材料的真实性、合法性、有效性。</w:t>
      </w:r>
    </w:p>
    <w:p>
      <w:pPr>
        <w:spacing w:line="600" w:lineRule="exact"/>
        <w:ind w:firstLine="640" w:firstLineChars="200"/>
        <w:rPr>
          <w:color w:val="auto"/>
          <w:sz w:val="32"/>
          <w:szCs w:val="28"/>
        </w:rPr>
      </w:pPr>
      <w:r>
        <w:rPr>
          <w:rFonts w:hint="eastAsia" w:ascii="仿宋_GB2312" w:hAnsi="宋体" w:eastAsia="仿宋_GB2312" w:cs="仿宋_GB2312"/>
          <w:color w:val="auto"/>
          <w:kern w:val="0"/>
          <w:sz w:val="32"/>
          <w:szCs w:val="28"/>
          <w:lang w:bidi="ar"/>
        </w:rPr>
        <w:t>我方已充分考虑原材料价格、配送、税费、服务等因素，并以此申报。我方承诺申报价格不低于本企业该产品成本价与伴随服务成本价之和。我方完全理解及遵守采购文件中的中选产品确认准则，理解贵方不一定要接受最低申报价格的申报。</w:t>
      </w:r>
    </w:p>
    <w:p>
      <w:pPr>
        <w:spacing w:line="600" w:lineRule="exact"/>
        <w:ind w:firstLine="640" w:firstLineChars="200"/>
        <w:rPr>
          <w:color w:val="auto"/>
          <w:sz w:val="32"/>
          <w:szCs w:val="28"/>
        </w:rPr>
      </w:pPr>
      <w:r>
        <w:rPr>
          <w:rFonts w:hint="eastAsia" w:ascii="仿宋_GB2312" w:hAnsi="宋体" w:eastAsia="仿宋_GB2312" w:cs="仿宋_GB2312"/>
          <w:color w:val="auto"/>
          <w:kern w:val="0"/>
          <w:sz w:val="32"/>
          <w:szCs w:val="28"/>
          <w:lang w:bidi="ar"/>
        </w:rPr>
        <w:t>我方承诺确保在采购周期内满足全联盟各地区医疗机构的中选产品采购需求，具有履行采购协议必须具备的中选产品供应能力，对产品的质量和供应负责。如我方产品中选，将按要求及时足量组织生产，及时向配送企业发送中选产品，按协议要求向医疗机构提供伴随服务，满足医疗机构临床使用需要，确保中选产品的价格、质量及数量等一切要素按照采购协议履行。如有违约行为，按照采购文件有关规定接受处置。</w:t>
      </w:r>
    </w:p>
    <w:p>
      <w:pPr>
        <w:spacing w:line="600" w:lineRule="exact"/>
        <w:ind w:firstLine="640" w:firstLineChars="200"/>
        <w:rPr>
          <w:color w:val="auto"/>
          <w:sz w:val="32"/>
          <w:szCs w:val="28"/>
        </w:rPr>
      </w:pPr>
      <w:r>
        <w:rPr>
          <w:rFonts w:hint="eastAsia" w:ascii="仿宋_GB2312" w:hAnsi="宋体" w:eastAsia="仿宋_GB2312" w:cs="仿宋_GB2312"/>
          <w:color w:val="auto"/>
          <w:kern w:val="0"/>
          <w:sz w:val="32"/>
          <w:szCs w:val="28"/>
          <w:lang w:bidi="ar"/>
        </w:rPr>
        <w:t>我方承诺申报产品不存在违反《中华人民共和国专利法》《中华人民共和国反不正当竞争法》等相关法律法规的情形，该承诺在采购周期内持续有效，若产生相关纠纷，给医疗机构造成的损失由我方承担。</w:t>
      </w:r>
    </w:p>
    <w:p>
      <w:pPr>
        <w:spacing w:line="600" w:lineRule="exact"/>
        <w:ind w:firstLine="640" w:firstLineChars="200"/>
        <w:jc w:val="left"/>
        <w:rPr>
          <w:rFonts w:hint="eastAsia" w:ascii="仿宋_GB2312" w:hAnsi="宋体" w:eastAsia="仿宋_GB2312" w:cs="仿宋_GB2312"/>
          <w:color w:val="auto"/>
          <w:kern w:val="0"/>
          <w:sz w:val="32"/>
          <w:szCs w:val="28"/>
          <w:lang w:bidi="ar"/>
        </w:rPr>
      </w:pPr>
      <w:r>
        <w:rPr>
          <w:rFonts w:hint="eastAsia" w:ascii="仿宋_GB2312" w:hAnsi="宋体" w:eastAsia="仿宋_GB2312" w:cs="仿宋_GB2312"/>
          <w:color w:val="auto"/>
          <w:kern w:val="0"/>
          <w:sz w:val="32"/>
          <w:szCs w:val="28"/>
          <w:lang w:bidi="ar"/>
        </w:rPr>
        <w:t>我方承诺同</w:t>
      </w:r>
      <w:r>
        <w:rPr>
          <w:rFonts w:hint="eastAsia" w:ascii="仿宋_GB2312" w:hAnsi="仿宋_GB2312" w:eastAsia="仿宋_GB2312" w:cs="仿宋_GB2312"/>
          <w:color w:val="auto"/>
          <w:kern w:val="0"/>
          <w:sz w:val="32"/>
          <w:szCs w:val="28"/>
          <w:lang w:bidi="ar"/>
        </w:rPr>
        <w:t>联席会议办公室</w:t>
      </w:r>
      <w:r>
        <w:rPr>
          <w:rFonts w:hint="eastAsia" w:ascii="仿宋_GB2312" w:hAnsi="宋体" w:eastAsia="仿宋_GB2312" w:cs="仿宋_GB2312"/>
          <w:color w:val="auto"/>
          <w:kern w:val="0"/>
          <w:sz w:val="32"/>
          <w:szCs w:val="28"/>
          <w:lang w:bidi="ar"/>
        </w:rPr>
        <w:t>无利益关系，不会为达成此项目与医疗机构进行任何不正当联系，不会在申报过程中有任何违法违规行为。在正式采购协议签订前，本申报函和中选结果通知将构成约束双方的协议。</w:t>
      </w:r>
    </w:p>
    <w:p>
      <w:pPr>
        <w:pStyle w:val="2"/>
        <w:spacing w:line="600" w:lineRule="exact"/>
        <w:rPr>
          <w:color w:val="auto"/>
          <w:sz w:val="28"/>
          <w:lang w:bidi="ar"/>
        </w:rPr>
      </w:pPr>
    </w:p>
    <w:p>
      <w:pPr>
        <w:spacing w:line="600" w:lineRule="exact"/>
        <w:ind w:left="139" w:leftChars="66" w:firstLine="4112" w:firstLineChars="1285"/>
        <w:jc w:val="left"/>
        <w:rPr>
          <w:color w:val="auto"/>
          <w:sz w:val="32"/>
          <w:szCs w:val="28"/>
        </w:rPr>
      </w:pPr>
      <w:r>
        <w:rPr>
          <w:rFonts w:hint="eastAsia" w:ascii="仿宋_GB2312" w:hAnsi="宋体" w:eastAsia="仿宋_GB2312" w:cs="仿宋_GB2312"/>
          <w:color w:val="auto"/>
          <w:kern w:val="0"/>
          <w:sz w:val="32"/>
          <w:szCs w:val="28"/>
          <w:lang w:bidi="ar"/>
        </w:rPr>
        <w:t>申报企业（盖章）：</w:t>
      </w:r>
    </w:p>
    <w:p>
      <w:pPr>
        <w:spacing w:line="600" w:lineRule="exact"/>
        <w:ind w:firstLine="4252" w:firstLineChars="1329"/>
        <w:jc w:val="left"/>
        <w:rPr>
          <w:color w:val="auto"/>
          <w:sz w:val="32"/>
          <w:szCs w:val="28"/>
        </w:rPr>
      </w:pPr>
      <w:r>
        <w:rPr>
          <w:rFonts w:hint="eastAsia" w:ascii="仿宋_GB2312" w:hAnsi="宋体" w:eastAsia="仿宋_GB2312" w:cs="仿宋_GB2312"/>
          <w:color w:val="auto"/>
          <w:kern w:val="0"/>
          <w:sz w:val="32"/>
          <w:szCs w:val="28"/>
          <w:lang w:bidi="ar"/>
        </w:rPr>
        <w:t>日期：</w:t>
      </w:r>
      <w:r>
        <w:rPr>
          <w:rFonts w:hint="eastAsia" w:ascii="仿宋_GB2312" w:hAnsi="宋体" w:eastAsia="仿宋_GB2312" w:cs="仿宋_GB2312"/>
          <w:color w:val="auto"/>
          <w:kern w:val="0"/>
          <w:sz w:val="32"/>
          <w:szCs w:val="28"/>
          <w:u w:val="single"/>
          <w:lang w:bidi="ar"/>
        </w:rPr>
        <w:t xml:space="preserve">    </w:t>
      </w:r>
      <w:r>
        <w:rPr>
          <w:rFonts w:hint="eastAsia" w:ascii="仿宋_GB2312" w:hAnsi="宋体" w:eastAsia="仿宋_GB2312" w:cs="仿宋_GB2312"/>
          <w:color w:val="auto"/>
          <w:kern w:val="0"/>
          <w:sz w:val="32"/>
          <w:szCs w:val="28"/>
          <w:lang w:bidi="ar"/>
        </w:rPr>
        <w:t>年</w:t>
      </w:r>
      <w:r>
        <w:rPr>
          <w:rFonts w:hint="eastAsia" w:ascii="仿宋_GB2312" w:hAnsi="宋体" w:eastAsia="仿宋_GB2312" w:cs="仿宋_GB2312"/>
          <w:color w:val="auto"/>
          <w:kern w:val="0"/>
          <w:sz w:val="32"/>
          <w:szCs w:val="28"/>
          <w:u w:val="single"/>
          <w:lang w:bidi="ar"/>
        </w:rPr>
        <w:t xml:space="preserve">    </w:t>
      </w:r>
      <w:r>
        <w:rPr>
          <w:rFonts w:hint="eastAsia" w:ascii="仿宋_GB2312" w:hAnsi="宋体" w:eastAsia="仿宋_GB2312" w:cs="仿宋_GB2312"/>
          <w:color w:val="auto"/>
          <w:kern w:val="0"/>
          <w:sz w:val="32"/>
          <w:szCs w:val="28"/>
          <w:lang w:bidi="ar"/>
        </w:rPr>
        <w:t>月</w:t>
      </w:r>
      <w:r>
        <w:rPr>
          <w:rFonts w:hint="eastAsia" w:ascii="仿宋_GB2312" w:hAnsi="宋体" w:eastAsia="仿宋_GB2312" w:cs="仿宋_GB2312"/>
          <w:color w:val="auto"/>
          <w:kern w:val="0"/>
          <w:sz w:val="32"/>
          <w:szCs w:val="28"/>
          <w:u w:val="single"/>
          <w:lang w:bidi="ar"/>
        </w:rPr>
        <w:t xml:space="preserve">    </w:t>
      </w:r>
      <w:r>
        <w:rPr>
          <w:rFonts w:hint="eastAsia" w:ascii="仿宋_GB2312" w:hAnsi="宋体" w:eastAsia="仿宋_GB2312" w:cs="仿宋_GB2312"/>
          <w:color w:val="auto"/>
          <w:kern w:val="0"/>
          <w:sz w:val="32"/>
          <w:szCs w:val="28"/>
          <w:lang w:bidi="ar"/>
        </w:rPr>
        <w:t>日</w:t>
      </w:r>
    </w:p>
    <w:p>
      <w:pPr>
        <w:pStyle w:val="2"/>
        <w:spacing w:line="600" w:lineRule="exact"/>
        <w:rPr>
          <w:rFonts w:ascii="仿宋_GB2312" w:hAnsi="宋体" w:eastAsia="仿宋_GB2312" w:cs="仿宋_GB2312"/>
          <w:color w:val="auto"/>
          <w:sz w:val="32"/>
          <w:szCs w:val="32"/>
          <w:lang w:bidi="ar"/>
        </w:rPr>
      </w:pPr>
    </w:p>
    <w:p>
      <w:pPr>
        <w:pStyle w:val="2"/>
        <w:spacing w:line="600" w:lineRule="exact"/>
        <w:rPr>
          <w:rFonts w:hint="default" w:ascii="仿宋_GB2312" w:hAnsi="宋体" w:eastAsia="仿宋_GB2312" w:cs="仿宋_GB2312"/>
          <w:color w:val="auto"/>
          <w:sz w:val="32"/>
          <w:szCs w:val="32"/>
          <w:lang w:bidi="ar"/>
        </w:rPr>
        <w:sectPr>
          <w:pgSz w:w="11906" w:h="16838"/>
          <w:pgMar w:top="1440" w:right="1906" w:bottom="1440" w:left="1800" w:header="851" w:footer="992" w:gutter="0"/>
          <w:cols w:space="720" w:num="1"/>
          <w:docGrid w:type="lines" w:linePitch="312" w:charSpace="0"/>
        </w:sectPr>
      </w:pPr>
    </w:p>
    <w:p>
      <w:pPr>
        <w:spacing w:line="600" w:lineRule="exact"/>
        <w:outlineLvl w:val="1"/>
        <w:rPr>
          <w:rFonts w:hint="eastAsia" w:ascii="黑体" w:hAnsi="黑体" w:eastAsia="黑体" w:cs="黑体"/>
          <w:color w:val="auto"/>
          <w:kern w:val="0"/>
          <w:sz w:val="32"/>
          <w:szCs w:val="32"/>
          <w:lang w:bidi="ar"/>
        </w:rPr>
      </w:pPr>
      <w:bookmarkStart w:id="24" w:name="_Toc89358227"/>
      <w:r>
        <w:rPr>
          <w:rFonts w:hint="eastAsia" w:ascii="黑体" w:hAnsi="黑体" w:eastAsia="黑体" w:cs="黑体"/>
          <w:color w:val="auto"/>
          <w:kern w:val="0"/>
          <w:sz w:val="32"/>
          <w:szCs w:val="32"/>
          <w:lang w:bidi="ar"/>
        </w:rPr>
        <w:t>附件2</w:t>
      </w:r>
      <w:bookmarkEnd w:id="24"/>
    </w:p>
    <w:p>
      <w:pPr>
        <w:spacing w:line="600" w:lineRule="exact"/>
        <w:jc w:val="center"/>
        <w:rPr>
          <w:rFonts w:hint="eastAsia" w:ascii="仿宋" w:hAnsi="仿宋" w:eastAsia="仿宋"/>
          <w:color w:val="auto"/>
          <w:sz w:val="44"/>
          <w:szCs w:val="44"/>
        </w:rPr>
      </w:pPr>
      <w:r>
        <w:rPr>
          <w:rFonts w:hint="eastAsia" w:ascii="方正小标宋简体" w:hAnsi="方正小标宋简体" w:eastAsia="方正小标宋简体" w:cs="方正小标宋简体"/>
          <w:color w:val="auto"/>
          <w:kern w:val="0"/>
          <w:sz w:val="44"/>
          <w:szCs w:val="44"/>
          <w:lang w:bidi="ar"/>
        </w:rPr>
        <w:t>法定代表人授权书</w:t>
      </w:r>
    </w:p>
    <w:p>
      <w:pPr>
        <w:spacing w:before="156" w:beforeLines="50" w:line="600" w:lineRule="exact"/>
        <w:ind w:firstLine="640" w:firstLineChars="200"/>
        <w:rPr>
          <w:rFonts w:hint="eastAsia" w:ascii="仿宋_GB2312" w:hAnsi="仿宋_GB2312" w:eastAsia="仿宋_GB2312" w:cs="仿宋_GB2312"/>
          <w:color w:val="auto"/>
          <w:sz w:val="32"/>
          <w:szCs w:val="28"/>
        </w:rPr>
      </w:pPr>
      <w:r>
        <w:rPr>
          <w:rFonts w:hint="eastAsia" w:ascii="仿宋_GB2312" w:hAnsi="仿宋_GB2312" w:eastAsia="仿宋_GB2312" w:cs="仿宋_GB2312"/>
          <w:color w:val="auto"/>
          <w:kern w:val="0"/>
          <w:sz w:val="32"/>
          <w:szCs w:val="28"/>
          <w:lang w:bidi="ar"/>
        </w:rPr>
        <w:t>本授权书声明：注册于</w:t>
      </w:r>
      <w:r>
        <w:rPr>
          <w:rFonts w:hint="eastAsia" w:ascii="仿宋_GB2312" w:hAnsi="仿宋_GB2312" w:eastAsia="仿宋_GB2312" w:cs="仿宋_GB2312"/>
          <w:color w:val="auto"/>
          <w:kern w:val="0"/>
          <w:sz w:val="32"/>
          <w:szCs w:val="28"/>
          <w:u w:val="single"/>
          <w:lang w:bidi="ar"/>
        </w:rPr>
        <w:t xml:space="preserve">                        </w:t>
      </w:r>
      <w:r>
        <w:rPr>
          <w:rFonts w:hint="eastAsia" w:ascii="仿宋_GB2312" w:hAnsi="仿宋_GB2312" w:eastAsia="仿宋_GB2312" w:cs="仿宋_GB2312"/>
          <w:color w:val="auto"/>
          <w:kern w:val="0"/>
          <w:sz w:val="32"/>
          <w:szCs w:val="28"/>
          <w:lang w:bidi="ar"/>
        </w:rPr>
        <w:t>（地址） 的</w:t>
      </w:r>
      <w:r>
        <w:rPr>
          <w:rFonts w:hint="eastAsia" w:ascii="仿宋_GB2312" w:hAnsi="仿宋_GB2312" w:eastAsia="仿宋_GB2312" w:cs="仿宋_GB2312"/>
          <w:color w:val="auto"/>
          <w:kern w:val="0"/>
          <w:sz w:val="32"/>
          <w:szCs w:val="28"/>
          <w:u w:val="single"/>
          <w:lang w:bidi="ar"/>
        </w:rPr>
        <w:t xml:space="preserve">                       </w:t>
      </w:r>
      <w:r>
        <w:rPr>
          <w:rFonts w:hint="eastAsia" w:ascii="仿宋_GB2312" w:hAnsi="仿宋_GB2312" w:eastAsia="仿宋_GB2312" w:cs="仿宋_GB2312"/>
          <w:color w:val="auto"/>
          <w:kern w:val="0"/>
          <w:sz w:val="32"/>
          <w:szCs w:val="28"/>
          <w:lang w:bidi="ar"/>
        </w:rPr>
        <w:t xml:space="preserve">（公司）的 </w:t>
      </w:r>
      <w:r>
        <w:rPr>
          <w:rFonts w:hint="eastAsia" w:ascii="仿宋_GB2312" w:hAnsi="仿宋_GB2312" w:eastAsia="仿宋_GB2312" w:cs="仿宋_GB2312"/>
          <w:color w:val="auto"/>
          <w:kern w:val="0"/>
          <w:sz w:val="32"/>
          <w:szCs w:val="28"/>
          <w:u w:val="single"/>
          <w:lang w:bidi="ar"/>
        </w:rPr>
        <w:t xml:space="preserve">         </w:t>
      </w:r>
      <w:r>
        <w:rPr>
          <w:rFonts w:hint="eastAsia" w:ascii="仿宋_GB2312" w:hAnsi="仿宋_GB2312" w:eastAsia="仿宋_GB2312" w:cs="仿宋_GB2312"/>
          <w:color w:val="auto"/>
          <w:kern w:val="0"/>
          <w:sz w:val="32"/>
          <w:szCs w:val="28"/>
          <w:lang w:bidi="ar"/>
        </w:rPr>
        <w:t xml:space="preserve">（法定代表人姓名）授权 </w:t>
      </w:r>
      <w:r>
        <w:rPr>
          <w:rFonts w:hint="eastAsia" w:ascii="仿宋_GB2312" w:hAnsi="仿宋_GB2312" w:eastAsia="仿宋_GB2312" w:cs="仿宋_GB2312"/>
          <w:color w:val="auto"/>
          <w:kern w:val="0"/>
          <w:sz w:val="32"/>
          <w:szCs w:val="28"/>
          <w:u w:val="single"/>
          <w:lang w:bidi="ar"/>
        </w:rPr>
        <w:t xml:space="preserve">            </w:t>
      </w:r>
      <w:r>
        <w:rPr>
          <w:rFonts w:hint="eastAsia" w:ascii="仿宋_GB2312" w:hAnsi="仿宋_GB2312" w:eastAsia="仿宋_GB2312" w:cs="仿宋_GB2312"/>
          <w:color w:val="auto"/>
          <w:kern w:val="0"/>
          <w:sz w:val="32"/>
          <w:szCs w:val="28"/>
          <w:lang w:bidi="ar"/>
        </w:rPr>
        <w:t xml:space="preserve"> （被授权人的姓名、身份证号）为公司的合法代理人，就</w:t>
      </w:r>
      <w:r>
        <w:rPr>
          <w:rFonts w:hint="eastAsia" w:ascii="仿宋_GB2312" w:hAnsi="宋体" w:eastAsia="仿宋_GB2312" w:cs="仿宋_GB2312"/>
          <w:color w:val="auto"/>
          <w:kern w:val="0"/>
          <w:sz w:val="32"/>
          <w:szCs w:val="28"/>
          <w:lang w:bidi="ar"/>
        </w:rPr>
        <w:t>肾功和心肌酶生化类检测试剂省际联盟</w:t>
      </w:r>
      <w:r>
        <w:rPr>
          <w:rFonts w:hint="eastAsia" w:ascii="仿宋_GB2312" w:hAnsi="仿宋_GB2312" w:eastAsia="仿宋_GB2312" w:cs="仿宋_GB2312"/>
          <w:color w:val="auto"/>
          <w:kern w:val="0"/>
          <w:sz w:val="32"/>
          <w:szCs w:val="28"/>
          <w:lang w:bidi="ar"/>
        </w:rPr>
        <w:t>集中带量采购项目，以本公司名义处理递交申报材料等一切与之相关的事务，本公司认可被授权人在</w:t>
      </w:r>
      <w:r>
        <w:rPr>
          <w:rFonts w:hint="eastAsia" w:ascii="仿宋_GB2312" w:hAnsi="宋体" w:eastAsia="仿宋_GB2312" w:cs="仿宋_GB2312"/>
          <w:color w:val="auto"/>
          <w:kern w:val="0"/>
          <w:sz w:val="32"/>
          <w:szCs w:val="28"/>
          <w:lang w:bidi="ar"/>
        </w:rPr>
        <w:t>《肾功和心肌酶生化类检测试剂省际联盟集中带量采购文件》</w:t>
      </w:r>
      <w:r>
        <w:rPr>
          <w:rFonts w:hint="eastAsia" w:ascii="仿宋_GB2312" w:hAnsi="仿宋_GB2312" w:eastAsia="仿宋_GB2312" w:cs="仿宋_GB2312"/>
          <w:color w:val="auto"/>
          <w:kern w:val="0"/>
          <w:sz w:val="32"/>
          <w:szCs w:val="28"/>
          <w:lang w:bidi="ar"/>
        </w:rPr>
        <w:t xml:space="preserve">项目中签署的相关说明、采购协议等法律文书的效力以及其作出的相关行为。本公司与被授权人共同承诺本次申报的真实性、合法性、有效性。 </w:t>
      </w:r>
    </w:p>
    <w:p>
      <w:pPr>
        <w:spacing w:line="600" w:lineRule="exact"/>
        <w:ind w:firstLine="640" w:firstLineChars="200"/>
        <w:jc w:val="left"/>
        <w:rPr>
          <w:rFonts w:hint="eastAsia" w:ascii="仿宋_GB2312" w:hAnsi="仿宋_GB2312" w:eastAsia="仿宋_GB2312" w:cs="仿宋_GB2312"/>
          <w:color w:val="auto"/>
          <w:sz w:val="32"/>
          <w:szCs w:val="28"/>
        </w:rPr>
      </w:pPr>
      <w:r>
        <w:rPr>
          <w:rFonts w:hint="eastAsia" w:ascii="仿宋_GB2312" w:hAnsi="仿宋_GB2312" w:eastAsia="仿宋_GB2312" w:cs="仿宋_GB2312"/>
          <w:color w:val="auto"/>
          <w:kern w:val="0"/>
          <w:sz w:val="32"/>
          <w:szCs w:val="28"/>
          <w:lang w:bidi="ar"/>
        </w:rPr>
        <w:t>本授权书于</w:t>
      </w:r>
      <w:r>
        <w:rPr>
          <w:rFonts w:hint="eastAsia" w:ascii="仿宋_GB2312" w:hAnsi="仿宋_GB2312" w:eastAsia="仿宋_GB2312" w:cs="仿宋_GB2312"/>
          <w:color w:val="auto"/>
          <w:kern w:val="0"/>
          <w:sz w:val="32"/>
          <w:szCs w:val="28"/>
          <w:u w:val="single"/>
          <w:lang w:bidi="ar"/>
        </w:rPr>
        <w:t xml:space="preserve">    </w:t>
      </w:r>
      <w:r>
        <w:rPr>
          <w:rFonts w:hint="eastAsia" w:ascii="仿宋_GB2312" w:hAnsi="仿宋_GB2312" w:eastAsia="仿宋_GB2312" w:cs="仿宋_GB2312"/>
          <w:color w:val="auto"/>
          <w:kern w:val="0"/>
          <w:sz w:val="32"/>
          <w:szCs w:val="28"/>
          <w:lang w:bidi="ar"/>
        </w:rPr>
        <w:t xml:space="preserve">年 </w:t>
      </w:r>
      <w:r>
        <w:rPr>
          <w:rFonts w:hint="eastAsia" w:ascii="仿宋_GB2312" w:hAnsi="仿宋_GB2312" w:eastAsia="仿宋_GB2312" w:cs="仿宋_GB2312"/>
          <w:color w:val="auto"/>
          <w:kern w:val="0"/>
          <w:sz w:val="32"/>
          <w:szCs w:val="28"/>
          <w:u w:val="single"/>
          <w:lang w:bidi="ar"/>
        </w:rPr>
        <w:t xml:space="preserve">   </w:t>
      </w:r>
      <w:r>
        <w:rPr>
          <w:rFonts w:hint="eastAsia" w:ascii="仿宋_GB2312" w:hAnsi="仿宋_GB2312" w:eastAsia="仿宋_GB2312" w:cs="仿宋_GB2312"/>
          <w:color w:val="auto"/>
          <w:kern w:val="0"/>
          <w:sz w:val="32"/>
          <w:szCs w:val="28"/>
          <w:lang w:bidi="ar"/>
        </w:rPr>
        <w:t xml:space="preserve">月 </w:t>
      </w:r>
      <w:r>
        <w:rPr>
          <w:rFonts w:hint="eastAsia" w:ascii="仿宋_GB2312" w:hAnsi="仿宋_GB2312" w:eastAsia="仿宋_GB2312" w:cs="仿宋_GB2312"/>
          <w:color w:val="auto"/>
          <w:kern w:val="0"/>
          <w:sz w:val="32"/>
          <w:szCs w:val="28"/>
          <w:u w:val="single"/>
          <w:lang w:bidi="ar"/>
        </w:rPr>
        <w:t xml:space="preserve">   </w:t>
      </w:r>
      <w:r>
        <w:rPr>
          <w:rFonts w:hint="eastAsia" w:ascii="仿宋_GB2312" w:hAnsi="仿宋_GB2312" w:eastAsia="仿宋_GB2312" w:cs="仿宋_GB2312"/>
          <w:color w:val="auto"/>
          <w:kern w:val="0"/>
          <w:sz w:val="32"/>
          <w:szCs w:val="28"/>
          <w:lang w:bidi="ar"/>
        </w:rPr>
        <w:t>日签字生效，有效期至本次集中带量采购工作截止日止。特此声明。</w:t>
      </w:r>
    </w:p>
    <w:p>
      <w:pPr>
        <w:spacing w:line="600" w:lineRule="exact"/>
        <w:ind w:firstLine="640" w:firstLineChars="200"/>
        <w:jc w:val="left"/>
        <w:rPr>
          <w:rFonts w:hint="eastAsia" w:ascii="仿宋_GB2312" w:hAnsi="仿宋_GB2312" w:eastAsia="仿宋_GB2312" w:cs="仿宋_GB2312"/>
          <w:color w:val="auto"/>
          <w:sz w:val="32"/>
          <w:szCs w:val="28"/>
        </w:rPr>
      </w:pPr>
      <w:r>
        <w:rPr>
          <w:rFonts w:hint="eastAsia" w:ascii="仿宋_GB2312" w:hAnsi="仿宋_GB2312" w:eastAsia="仿宋_GB2312" w:cs="仿宋_GB2312"/>
          <w:color w:val="auto"/>
          <w:kern w:val="0"/>
          <w:sz w:val="32"/>
          <w:szCs w:val="28"/>
          <w:lang w:bidi="ar"/>
        </w:rPr>
        <w:t>授权企业法定代表人签字或盖章：</w:t>
      </w:r>
      <w:r>
        <w:rPr>
          <w:rFonts w:hint="eastAsia" w:ascii="仿宋_GB2312" w:hAnsi="仿宋_GB2312" w:eastAsia="仿宋_GB2312" w:cs="仿宋_GB2312"/>
          <w:color w:val="auto"/>
          <w:kern w:val="0"/>
          <w:sz w:val="32"/>
          <w:szCs w:val="28"/>
          <w:u w:val="single"/>
          <w:lang w:bidi="ar"/>
        </w:rPr>
        <w:t xml:space="preserve">                   </w:t>
      </w:r>
    </w:p>
    <w:p>
      <w:pPr>
        <w:spacing w:line="600" w:lineRule="exact"/>
        <w:ind w:firstLine="640" w:firstLineChars="200"/>
        <w:jc w:val="left"/>
        <w:rPr>
          <w:rFonts w:hint="eastAsia" w:ascii="仿宋_GB2312" w:hAnsi="仿宋_GB2312" w:eastAsia="仿宋_GB2312" w:cs="仿宋_GB2312"/>
          <w:color w:val="auto"/>
          <w:sz w:val="32"/>
          <w:szCs w:val="28"/>
        </w:rPr>
      </w:pPr>
      <w:r>
        <w:rPr>
          <w:rFonts w:hint="eastAsia" w:ascii="仿宋_GB2312" w:hAnsi="仿宋_GB2312" w:eastAsia="仿宋_GB2312" w:cs="仿宋_GB2312"/>
          <w:color w:val="auto"/>
          <w:kern w:val="0"/>
          <w:sz w:val="32"/>
          <w:szCs w:val="28"/>
          <w:lang w:bidi="ar"/>
        </w:rPr>
        <w:t>被授权人签字或盖章：</w:t>
      </w:r>
      <w:r>
        <w:rPr>
          <w:rFonts w:hint="eastAsia" w:ascii="仿宋_GB2312" w:hAnsi="仿宋_GB2312" w:eastAsia="仿宋_GB2312" w:cs="仿宋_GB2312"/>
          <w:color w:val="auto"/>
          <w:kern w:val="0"/>
          <w:sz w:val="32"/>
          <w:szCs w:val="28"/>
          <w:u w:val="single"/>
          <w:lang w:bidi="ar"/>
        </w:rPr>
        <w:t xml:space="preserve">           </w:t>
      </w:r>
      <w:r>
        <w:rPr>
          <w:rFonts w:hint="eastAsia" w:ascii="仿宋_GB2312" w:hAnsi="仿宋_GB2312" w:eastAsia="仿宋_GB2312" w:cs="仿宋_GB2312"/>
          <w:color w:val="auto"/>
          <w:kern w:val="0"/>
          <w:sz w:val="32"/>
          <w:szCs w:val="28"/>
          <w:lang w:bidi="ar"/>
        </w:rPr>
        <w:t>手机：</w:t>
      </w:r>
      <w:r>
        <w:rPr>
          <w:rFonts w:hint="eastAsia" w:ascii="仿宋_GB2312" w:hAnsi="仿宋_GB2312" w:eastAsia="仿宋_GB2312" w:cs="仿宋_GB2312"/>
          <w:color w:val="auto"/>
          <w:kern w:val="0"/>
          <w:sz w:val="32"/>
          <w:szCs w:val="28"/>
          <w:u w:val="single"/>
          <w:lang w:bidi="ar"/>
        </w:rPr>
        <w:t xml:space="preserve">            </w:t>
      </w:r>
    </w:p>
    <w:p>
      <w:pPr>
        <w:snapToGrid w:val="0"/>
        <w:spacing w:line="600" w:lineRule="exact"/>
        <w:rPr>
          <w:rFonts w:hint="eastAsia" w:ascii="宋体" w:hAnsi="宋体"/>
          <w:color w:val="auto"/>
          <w:sz w:val="24"/>
        </w:rPr>
      </w:pPr>
      <w:r>
        <w:rPr>
          <w:rFonts w:ascii="宋体" w:hAnsi="宋体"/>
          <w:color w:val="auto"/>
          <w:sz w:val="24"/>
        </w:rPr>
        <mc:AlternateContent>
          <mc:Choice Requires="wps">
            <w:drawing>
              <wp:anchor distT="0" distB="0" distL="114300" distR="114300" simplePos="0" relativeHeight="251659264" behindDoc="0" locked="0" layoutInCell="1" allowOverlap="1">
                <wp:simplePos x="0" y="0"/>
                <wp:positionH relativeFrom="column">
                  <wp:posOffset>-152400</wp:posOffset>
                </wp:positionH>
                <wp:positionV relativeFrom="paragraph">
                  <wp:posOffset>144780</wp:posOffset>
                </wp:positionV>
                <wp:extent cx="2828290" cy="1732280"/>
                <wp:effectExtent l="4445" t="4445" r="12065" b="15875"/>
                <wp:wrapNone/>
                <wp:docPr id="2" name="矩形 2"/>
                <wp:cNvGraphicFramePr/>
                <a:graphic xmlns:a="http://schemas.openxmlformats.org/drawingml/2006/main">
                  <a:graphicData uri="http://schemas.microsoft.com/office/word/2010/wordprocessingShape">
                    <wps:wsp>
                      <wps:cNvSpPr/>
                      <wps:spPr>
                        <a:xfrm>
                          <a:off x="0" y="0"/>
                          <a:ext cx="2828290" cy="17322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eastAsia="华文中宋"/>
                                <w:b/>
                                <w:sz w:val="28"/>
                              </w:rPr>
                            </w:pPr>
                          </w:p>
                          <w:p>
                            <w:pPr>
                              <w:jc w:val="center"/>
                              <w:rPr>
                                <w:rFonts w:hint="eastAsia" w:ascii="宋体" w:hAnsi="宋体"/>
                                <w:b/>
                                <w:sz w:val="28"/>
                              </w:rPr>
                            </w:pPr>
                            <w:r>
                              <w:rPr>
                                <w:rFonts w:hint="eastAsia" w:ascii="宋体" w:hAnsi="宋体"/>
                                <w:b/>
                                <w:sz w:val="28"/>
                              </w:rPr>
                              <w:t>代理人（被授权人）</w:t>
                            </w:r>
                          </w:p>
                          <w:p>
                            <w:pPr>
                              <w:jc w:val="center"/>
                              <w:rPr>
                                <w:rFonts w:hint="eastAsia" w:ascii="宋体" w:hAnsi="宋体"/>
                                <w:b/>
                                <w:sz w:val="28"/>
                              </w:rPr>
                            </w:pPr>
                            <w:r>
                              <w:rPr>
                                <w:rFonts w:hint="eastAsia" w:ascii="宋体" w:hAnsi="宋体"/>
                                <w:b/>
                                <w:sz w:val="28"/>
                              </w:rPr>
                              <w:t>居民身份证正面复印件粘贴处</w:t>
                            </w:r>
                          </w:p>
                          <w:p>
                            <w:pPr>
                              <w:jc w:val="center"/>
                              <w:rPr>
                                <w:rFonts w:ascii="宋体" w:hAnsi="宋体"/>
                                <w:sz w:val="28"/>
                              </w:rPr>
                            </w:pPr>
                            <w:r>
                              <w:rPr>
                                <w:rFonts w:hint="eastAsia" w:ascii="仿宋_GB2312" w:hAnsi="仿宋_GB2312" w:eastAsia="仿宋_GB2312" w:cs="仿宋_GB2312"/>
                                <w:kern w:val="0"/>
                                <w:sz w:val="28"/>
                                <w:szCs w:val="28"/>
                                <w:lang w:bidi="ar"/>
                              </w:rPr>
                              <w:t>加盖单位鲜章</w:t>
                            </w:r>
                          </w:p>
                        </w:txbxContent>
                      </wps:txbx>
                      <wps:bodyPr upright="1"/>
                    </wps:wsp>
                  </a:graphicData>
                </a:graphic>
              </wp:anchor>
            </w:drawing>
          </mc:Choice>
          <mc:Fallback>
            <w:pict>
              <v:rect id="_x0000_s1026" o:spid="_x0000_s1026" o:spt="1" style="position:absolute;left:0pt;margin-left:-12pt;margin-top:11.4pt;height:136.4pt;width:222.7pt;z-index:251659264;mso-width-relative:page;mso-height-relative:page;" fillcolor="#FFFFFF" filled="t" stroked="t" coordsize="21600,21600" o:gfxdata="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FgAAAGRycy9QSwECFAAUAAAACACHTuJABuFWY9gAAAAKAQAA&#10;DwAAAAAAAAABACAAAAA4AAAAZHJzL2Rvd25yZXYueG1sUEsBAhQAFAAAAAgAh07iQIT1dHMDAgAA&#10;KgQAAA4AAAAAAAAAAQAgAAAAPQEAAGRycy9lMm9Eb2MueG1sUEsFBgAAAAAGAAYAWQEAALIFAAAA&#10;AA==&#10;">
                <v:fill on="t" focussize="0,0"/>
                <v:stroke color="#000000" joinstyle="miter"/>
                <v:imagedata o:title=""/>
                <o:lock v:ext="edit" aspectratio="f"/>
                <v:textbox>
                  <w:txbxContent>
                    <w:p>
                      <w:pPr>
                        <w:jc w:val="center"/>
                        <w:rPr>
                          <w:rFonts w:hint="eastAsia" w:eastAsia="华文中宋"/>
                          <w:b/>
                          <w:sz w:val="28"/>
                        </w:rPr>
                      </w:pPr>
                    </w:p>
                    <w:p>
                      <w:pPr>
                        <w:jc w:val="center"/>
                        <w:rPr>
                          <w:rFonts w:hint="eastAsia" w:ascii="宋体" w:hAnsi="宋体"/>
                          <w:b/>
                          <w:sz w:val="28"/>
                        </w:rPr>
                      </w:pPr>
                      <w:r>
                        <w:rPr>
                          <w:rFonts w:hint="eastAsia" w:ascii="宋体" w:hAnsi="宋体"/>
                          <w:b/>
                          <w:sz w:val="28"/>
                        </w:rPr>
                        <w:t>代理人（被授权人）</w:t>
                      </w:r>
                    </w:p>
                    <w:p>
                      <w:pPr>
                        <w:jc w:val="center"/>
                        <w:rPr>
                          <w:rFonts w:hint="eastAsia" w:ascii="宋体" w:hAnsi="宋体"/>
                          <w:b/>
                          <w:sz w:val="28"/>
                        </w:rPr>
                      </w:pPr>
                      <w:r>
                        <w:rPr>
                          <w:rFonts w:hint="eastAsia" w:ascii="宋体" w:hAnsi="宋体"/>
                          <w:b/>
                          <w:sz w:val="28"/>
                        </w:rPr>
                        <w:t>居民身份证正面复印件粘贴处</w:t>
                      </w:r>
                    </w:p>
                    <w:p>
                      <w:pPr>
                        <w:jc w:val="center"/>
                        <w:rPr>
                          <w:rFonts w:ascii="宋体" w:hAnsi="宋体"/>
                          <w:sz w:val="28"/>
                        </w:rPr>
                      </w:pPr>
                      <w:r>
                        <w:rPr>
                          <w:rFonts w:hint="eastAsia" w:ascii="仿宋_GB2312" w:hAnsi="仿宋_GB2312" w:eastAsia="仿宋_GB2312" w:cs="仿宋_GB2312"/>
                          <w:kern w:val="0"/>
                          <w:sz w:val="28"/>
                          <w:szCs w:val="28"/>
                          <w:lang w:bidi="ar"/>
                        </w:rPr>
                        <w:t>加盖单位鲜章</w:t>
                      </w:r>
                    </w:p>
                  </w:txbxContent>
                </v:textbox>
              </v:rect>
            </w:pict>
          </mc:Fallback>
        </mc:AlternateContent>
      </w:r>
      <w:r>
        <w:rPr>
          <w:rFonts w:ascii="宋体" w:hAnsi="宋体"/>
          <w:color w:val="auto"/>
          <w:sz w:val="24"/>
        </w:rPr>
        <mc:AlternateContent>
          <mc:Choice Requires="wps">
            <w:drawing>
              <wp:anchor distT="0" distB="0" distL="114300" distR="114300" simplePos="0" relativeHeight="251660288" behindDoc="0" locked="0" layoutInCell="1" allowOverlap="1">
                <wp:simplePos x="0" y="0"/>
                <wp:positionH relativeFrom="column">
                  <wp:posOffset>2771775</wp:posOffset>
                </wp:positionH>
                <wp:positionV relativeFrom="paragraph">
                  <wp:posOffset>147320</wp:posOffset>
                </wp:positionV>
                <wp:extent cx="2828290" cy="1732280"/>
                <wp:effectExtent l="4445" t="4445" r="12065" b="15875"/>
                <wp:wrapNone/>
                <wp:docPr id="3" name="矩形 3"/>
                <wp:cNvGraphicFramePr/>
                <a:graphic xmlns:a="http://schemas.openxmlformats.org/drawingml/2006/main">
                  <a:graphicData uri="http://schemas.microsoft.com/office/word/2010/wordprocessingShape">
                    <wps:wsp>
                      <wps:cNvSpPr/>
                      <wps:spPr>
                        <a:xfrm>
                          <a:off x="0" y="0"/>
                          <a:ext cx="2828290" cy="17322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eastAsia="华文中宋"/>
                                <w:b/>
                                <w:sz w:val="28"/>
                              </w:rPr>
                            </w:pPr>
                          </w:p>
                          <w:p>
                            <w:pPr>
                              <w:jc w:val="center"/>
                              <w:rPr>
                                <w:rFonts w:hint="eastAsia" w:ascii="宋体" w:hAnsi="宋体"/>
                                <w:b/>
                                <w:sz w:val="28"/>
                              </w:rPr>
                            </w:pPr>
                            <w:r>
                              <w:rPr>
                                <w:rFonts w:hint="eastAsia" w:ascii="宋体" w:hAnsi="宋体"/>
                                <w:b/>
                                <w:sz w:val="28"/>
                              </w:rPr>
                              <w:t>代理人（被授权人）</w:t>
                            </w:r>
                          </w:p>
                          <w:p>
                            <w:pPr>
                              <w:jc w:val="center"/>
                              <w:rPr>
                                <w:rFonts w:hint="eastAsia" w:ascii="宋体" w:hAnsi="宋体"/>
                                <w:b/>
                                <w:sz w:val="28"/>
                              </w:rPr>
                            </w:pPr>
                            <w:r>
                              <w:rPr>
                                <w:rFonts w:hint="eastAsia" w:ascii="宋体" w:hAnsi="宋体"/>
                                <w:b/>
                                <w:sz w:val="28"/>
                              </w:rPr>
                              <w:t>居民身份证反面复印件粘贴处</w:t>
                            </w:r>
                          </w:p>
                          <w:p>
                            <w:pPr>
                              <w:jc w:val="center"/>
                              <w:rPr>
                                <w:rFonts w:ascii="宋体" w:hAnsi="宋体"/>
                                <w:sz w:val="28"/>
                              </w:rPr>
                            </w:pPr>
                            <w:r>
                              <w:rPr>
                                <w:rFonts w:hint="eastAsia" w:ascii="仿宋_GB2312" w:hAnsi="仿宋_GB2312" w:eastAsia="仿宋_GB2312" w:cs="仿宋_GB2312"/>
                                <w:kern w:val="0"/>
                                <w:sz w:val="28"/>
                                <w:szCs w:val="28"/>
                                <w:lang w:bidi="ar"/>
                              </w:rPr>
                              <w:t>加盖单位鲜章</w:t>
                            </w:r>
                          </w:p>
                        </w:txbxContent>
                      </wps:txbx>
                      <wps:bodyPr upright="1"/>
                    </wps:wsp>
                  </a:graphicData>
                </a:graphic>
              </wp:anchor>
            </w:drawing>
          </mc:Choice>
          <mc:Fallback>
            <w:pict>
              <v:rect id="_x0000_s1026" o:spid="_x0000_s1026" o:spt="1" style="position:absolute;left:0pt;margin-left:218.25pt;margin-top:11.6pt;height:136.4pt;width:222.7pt;z-index:251660288;mso-width-relative:page;mso-height-relative:page;" fillcolor="#FFFFFF" filled="t" stroked="t" coordsize="21600,21600" o:gfxdata="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BYAAABkcnMvUEsBAhQAFAAAAAgAh07iQKPxQmzYAAAACgEA&#10;AA8AAAAAAAAAAQAgAAAAOAAAAGRycy9kb3ducmV2LnhtbFBLAQIUABQAAAAIAIdO4kC9C3WIBAIA&#10;ACoEAAAOAAAAAAAAAAEAIAAAAD0BAABkcnMvZTJvRG9jLnhtbFBLBQYAAAAABgAGAFkBAACzBQAA&#10;AAA=&#10;">
                <v:fill on="t" focussize="0,0"/>
                <v:stroke color="#000000" joinstyle="miter"/>
                <v:imagedata o:title=""/>
                <o:lock v:ext="edit" aspectratio="f"/>
                <v:textbox>
                  <w:txbxContent>
                    <w:p>
                      <w:pPr>
                        <w:jc w:val="center"/>
                        <w:rPr>
                          <w:rFonts w:hint="eastAsia" w:eastAsia="华文中宋"/>
                          <w:b/>
                          <w:sz w:val="28"/>
                        </w:rPr>
                      </w:pPr>
                    </w:p>
                    <w:p>
                      <w:pPr>
                        <w:jc w:val="center"/>
                        <w:rPr>
                          <w:rFonts w:hint="eastAsia" w:ascii="宋体" w:hAnsi="宋体"/>
                          <w:b/>
                          <w:sz w:val="28"/>
                        </w:rPr>
                      </w:pPr>
                      <w:r>
                        <w:rPr>
                          <w:rFonts w:hint="eastAsia" w:ascii="宋体" w:hAnsi="宋体"/>
                          <w:b/>
                          <w:sz w:val="28"/>
                        </w:rPr>
                        <w:t>代理人（被授权人）</w:t>
                      </w:r>
                    </w:p>
                    <w:p>
                      <w:pPr>
                        <w:jc w:val="center"/>
                        <w:rPr>
                          <w:rFonts w:hint="eastAsia" w:ascii="宋体" w:hAnsi="宋体"/>
                          <w:b/>
                          <w:sz w:val="28"/>
                        </w:rPr>
                      </w:pPr>
                      <w:r>
                        <w:rPr>
                          <w:rFonts w:hint="eastAsia" w:ascii="宋体" w:hAnsi="宋体"/>
                          <w:b/>
                          <w:sz w:val="28"/>
                        </w:rPr>
                        <w:t>居民身份证反面复印件粘贴处</w:t>
                      </w:r>
                    </w:p>
                    <w:p>
                      <w:pPr>
                        <w:jc w:val="center"/>
                        <w:rPr>
                          <w:rFonts w:ascii="宋体" w:hAnsi="宋体"/>
                          <w:sz w:val="28"/>
                        </w:rPr>
                      </w:pPr>
                      <w:r>
                        <w:rPr>
                          <w:rFonts w:hint="eastAsia" w:ascii="仿宋_GB2312" w:hAnsi="仿宋_GB2312" w:eastAsia="仿宋_GB2312" w:cs="仿宋_GB2312"/>
                          <w:kern w:val="0"/>
                          <w:sz w:val="28"/>
                          <w:szCs w:val="28"/>
                          <w:lang w:bidi="ar"/>
                        </w:rPr>
                        <w:t>加盖单位鲜章</w:t>
                      </w:r>
                    </w:p>
                  </w:txbxContent>
                </v:textbox>
              </v:rect>
            </w:pict>
          </mc:Fallback>
        </mc:AlternateContent>
      </w:r>
    </w:p>
    <w:p>
      <w:pPr>
        <w:snapToGrid w:val="0"/>
        <w:spacing w:line="600" w:lineRule="exact"/>
        <w:rPr>
          <w:rFonts w:hint="eastAsia" w:ascii="宋体" w:hAnsi="宋体"/>
          <w:color w:val="auto"/>
          <w:sz w:val="24"/>
        </w:rPr>
      </w:pPr>
    </w:p>
    <w:p>
      <w:pPr>
        <w:pStyle w:val="2"/>
        <w:spacing w:line="600" w:lineRule="exact"/>
        <w:jc w:val="both"/>
        <w:rPr>
          <w:rFonts w:hint="default" w:ascii="仿宋_GB2312" w:hAnsi="宋体" w:eastAsia="仿宋_GB2312" w:cs="仿宋_GB2312"/>
          <w:color w:val="auto"/>
          <w:sz w:val="32"/>
          <w:szCs w:val="32"/>
          <w:lang w:bidi="ar"/>
        </w:rPr>
      </w:pPr>
    </w:p>
    <w:p>
      <w:pPr>
        <w:spacing w:line="600" w:lineRule="exact"/>
        <w:rPr>
          <w:color w:val="auto"/>
        </w:rPr>
      </w:pPr>
    </w:p>
    <w:p>
      <w:pPr>
        <w:spacing w:line="600" w:lineRule="exact"/>
        <w:rPr>
          <w:color w:val="auto"/>
        </w:rPr>
      </w:pPr>
    </w:p>
    <w:p>
      <w:pPr>
        <w:spacing w:line="600" w:lineRule="exact"/>
        <w:jc w:val="left"/>
        <w:rPr>
          <w:rFonts w:hint="eastAsia"/>
          <w:color w:val="auto"/>
          <w:sz w:val="22"/>
        </w:rPr>
        <w:sectPr>
          <w:pgSz w:w="11906" w:h="16838"/>
          <w:pgMar w:top="1440" w:right="1906" w:bottom="1440" w:left="1800" w:header="851" w:footer="992" w:gutter="0"/>
          <w:cols w:space="720" w:num="1"/>
          <w:docGrid w:type="lines" w:linePitch="312" w:charSpace="0"/>
        </w:sectPr>
      </w:pPr>
      <w:r>
        <w:rPr>
          <w:rFonts w:hint="eastAsia" w:ascii="仿宋_GB2312" w:hAnsi="仿宋_GB2312" w:eastAsia="仿宋_GB2312" w:cs="仿宋_GB2312"/>
          <w:color w:val="auto"/>
          <w:kern w:val="0"/>
          <w:sz w:val="32"/>
          <w:szCs w:val="28"/>
          <w:lang w:bidi="ar"/>
        </w:rPr>
        <w:t>注：身份证复印件要加盖单位鲜章</w:t>
      </w:r>
      <w:r>
        <w:rPr>
          <w:rFonts w:hint="eastAsia"/>
          <w:color w:val="auto"/>
          <w:sz w:val="22"/>
        </w:rPr>
        <w:tab/>
      </w:r>
    </w:p>
    <w:p>
      <w:pPr>
        <w:spacing w:line="600" w:lineRule="exact"/>
        <w:outlineLvl w:val="1"/>
        <w:rPr>
          <w:rFonts w:hint="eastAsia" w:ascii="黑体" w:hAnsi="黑体" w:eastAsia="黑体" w:cs="黑体"/>
          <w:color w:val="auto"/>
          <w:kern w:val="0"/>
          <w:sz w:val="32"/>
          <w:szCs w:val="32"/>
          <w:lang w:bidi="ar"/>
        </w:rPr>
      </w:pPr>
      <w:bookmarkStart w:id="25" w:name="_Toc89358228"/>
      <w:r>
        <w:rPr>
          <w:rFonts w:ascii="黑体" w:hAnsi="黑体" w:eastAsia="黑体" w:cs="黑体"/>
          <w:color w:val="auto"/>
          <w:kern w:val="0"/>
          <w:sz w:val="32"/>
          <w:szCs w:val="32"/>
          <w:lang w:bidi="ar"/>
        </w:rPr>
        <w:t>附件3</w:t>
      </w:r>
      <w:bookmarkEnd w:id="25"/>
    </w:p>
    <w:p>
      <w:pPr>
        <w:pStyle w:val="2"/>
        <w:spacing w:line="600" w:lineRule="exact"/>
        <w:jc w:val="center"/>
        <w:rPr>
          <w:rFonts w:ascii="方正小标宋简体" w:hAnsi="方正小标宋简体" w:eastAsia="方正小标宋简体" w:cs="方正小标宋简体"/>
          <w:b/>
          <w:bCs/>
          <w:color w:val="auto"/>
          <w:sz w:val="44"/>
          <w:szCs w:val="44"/>
          <w:lang w:bidi="ar"/>
        </w:rPr>
      </w:pPr>
    </w:p>
    <w:p>
      <w:pPr>
        <w:pStyle w:val="2"/>
        <w:spacing w:line="600" w:lineRule="exact"/>
        <w:jc w:val="center"/>
        <w:rPr>
          <w:rFonts w:ascii="方正小标宋简体" w:hAnsi="方正小标宋简体" w:eastAsia="方正小标宋简体" w:cs="方正小标宋简体"/>
          <w:color w:val="auto"/>
          <w:sz w:val="44"/>
          <w:szCs w:val="44"/>
          <w:lang w:bidi="ar"/>
        </w:rPr>
      </w:pPr>
      <w:r>
        <w:rPr>
          <w:rFonts w:ascii="方正小标宋简体" w:hAnsi="方正小标宋简体" w:eastAsia="方正小标宋简体" w:cs="方正小标宋简体"/>
          <w:color w:val="auto"/>
          <w:sz w:val="44"/>
          <w:szCs w:val="44"/>
          <w:lang w:bidi="ar"/>
        </w:rPr>
        <w:t>医药企业价格和营销行为信用承诺书</w:t>
      </w:r>
    </w:p>
    <w:p>
      <w:pPr>
        <w:pStyle w:val="9"/>
        <w:spacing w:before="156" w:beforeLines="50" w:line="600" w:lineRule="exact"/>
        <w:jc w:val="both"/>
        <w:rPr>
          <w:rFonts w:ascii="仿宋_GB2312" w:eastAsia="仿宋_GB2312"/>
          <w:color w:val="auto"/>
          <w:sz w:val="32"/>
        </w:rPr>
      </w:pPr>
    </w:p>
    <w:p>
      <w:pPr>
        <w:pStyle w:val="9"/>
        <w:spacing w:before="156" w:beforeLines="50" w:line="600" w:lineRule="exact"/>
        <w:jc w:val="both"/>
        <w:rPr>
          <w:rFonts w:ascii="仿宋_GB2312" w:eastAsia="仿宋_GB2312"/>
          <w:color w:val="auto"/>
          <w:sz w:val="32"/>
        </w:rPr>
      </w:pPr>
      <w:r>
        <w:rPr>
          <w:rFonts w:ascii="仿宋_GB2312" w:eastAsia="仿宋_GB2312"/>
          <w:color w:val="auto"/>
          <w:sz w:val="32"/>
        </w:rPr>
        <w:t>江西省药品医用耗材集中采购联席会议办公室:</w:t>
      </w:r>
    </w:p>
    <w:p>
      <w:pPr>
        <w:pStyle w:val="2"/>
        <w:spacing w:line="600" w:lineRule="exact"/>
        <w:ind w:firstLine="640" w:firstLineChars="200"/>
        <w:jc w:val="both"/>
        <w:rPr>
          <w:rFonts w:ascii="仿宋_GB2312" w:eastAsia="仿宋_GB2312"/>
          <w:color w:val="auto"/>
          <w:sz w:val="32"/>
        </w:rPr>
      </w:pPr>
      <w:r>
        <w:rPr>
          <w:rFonts w:ascii="仿宋_GB2312" w:eastAsia="仿宋_GB2312"/>
          <w:color w:val="auto"/>
          <w:sz w:val="32"/>
        </w:rPr>
        <w:t>我方</w:t>
      </w:r>
      <w:r>
        <w:rPr>
          <w:rFonts w:ascii="仿宋_GB2312" w:eastAsia="仿宋_GB2312"/>
          <w:color w:val="auto"/>
          <w:sz w:val="32"/>
          <w:u w:val="single"/>
        </w:rPr>
        <w:t xml:space="preserve">                        （公司）</w:t>
      </w:r>
      <w:r>
        <w:rPr>
          <w:rFonts w:ascii="仿宋_GB2312" w:eastAsia="仿宋_GB2312"/>
          <w:color w:val="auto"/>
          <w:sz w:val="32"/>
        </w:rPr>
        <w:t>就参加</w:t>
      </w:r>
      <w:r>
        <w:rPr>
          <w:rFonts w:ascii="仿宋_GB2312" w:hAnsi="宋体" w:eastAsia="仿宋_GB2312" w:cs="仿宋_GB2312"/>
          <w:color w:val="auto"/>
          <w:sz w:val="32"/>
          <w:szCs w:val="28"/>
          <w:lang w:bidi="ar"/>
        </w:rPr>
        <w:t>肾功和心肌酶生化类检测试剂省际联盟</w:t>
      </w:r>
      <w:r>
        <w:rPr>
          <w:rFonts w:ascii="仿宋_GB2312" w:hAnsi="仿宋_GB2312" w:eastAsia="仿宋_GB2312" w:cs="仿宋_GB2312"/>
          <w:color w:val="auto"/>
          <w:sz w:val="32"/>
          <w:szCs w:val="28"/>
          <w:lang w:bidi="ar"/>
        </w:rPr>
        <w:t>集中带量采购</w:t>
      </w:r>
      <w:r>
        <w:rPr>
          <w:rFonts w:ascii="仿宋_GB2312" w:eastAsia="仿宋_GB2312"/>
          <w:color w:val="auto"/>
          <w:sz w:val="32"/>
        </w:rPr>
        <w:t>，郑重做出以下承诺:</w:t>
      </w:r>
    </w:p>
    <w:p>
      <w:pPr>
        <w:pStyle w:val="2"/>
        <w:spacing w:line="600" w:lineRule="exact"/>
        <w:ind w:firstLine="640" w:firstLineChars="200"/>
        <w:jc w:val="both"/>
        <w:rPr>
          <w:rFonts w:hint="default" w:ascii="黑体" w:hAnsi="黑体" w:eastAsia="黑体"/>
          <w:color w:val="auto"/>
          <w:sz w:val="32"/>
        </w:rPr>
      </w:pPr>
      <w:r>
        <w:rPr>
          <w:rFonts w:ascii="黑体" w:hAnsi="黑体" w:eastAsia="黑体"/>
          <w:color w:val="auto"/>
          <w:sz w:val="32"/>
        </w:rPr>
        <w:t>一、严守法纪、恪守诚信</w:t>
      </w:r>
    </w:p>
    <w:p>
      <w:pPr>
        <w:pStyle w:val="10"/>
        <w:spacing w:line="600" w:lineRule="exact"/>
        <w:ind w:firstLine="640" w:firstLineChars="200"/>
        <w:jc w:val="both"/>
        <w:rPr>
          <w:rFonts w:hint="default" w:ascii="仿宋_GB2312" w:eastAsia="仿宋_GB2312"/>
          <w:color w:val="auto"/>
          <w:sz w:val="32"/>
        </w:rPr>
      </w:pPr>
      <w:r>
        <w:rPr>
          <w:rFonts w:ascii="仿宋_GB2312" w:eastAsia="仿宋_GB2312"/>
          <w:color w:val="auto"/>
          <w:sz w:val="32"/>
        </w:rPr>
        <w:t>（一）我方承诺，自觉遵守《民法典》《价格法》《反不正当竞争法》《反垄断法》等法律法规，医药价格和招标采购的政策，以及你省相关的集中带量采购文件之规定，诚信经营，共同营造公平的交易环境。</w:t>
      </w:r>
    </w:p>
    <w:p>
      <w:pPr>
        <w:pStyle w:val="10"/>
        <w:spacing w:line="600" w:lineRule="exact"/>
        <w:ind w:firstLine="640" w:firstLineChars="200"/>
        <w:jc w:val="both"/>
        <w:rPr>
          <w:rFonts w:hint="default" w:ascii="仿宋_GB2312" w:eastAsia="仿宋_GB2312"/>
          <w:color w:val="auto"/>
          <w:sz w:val="32"/>
        </w:rPr>
      </w:pPr>
      <w:r>
        <w:rPr>
          <w:rFonts w:ascii="仿宋_GB2312" w:eastAsia="仿宋_GB2312"/>
          <w:color w:val="auto"/>
          <w:sz w:val="32"/>
        </w:rPr>
        <w:t>（二）我方承诺，不向采购我方医用耗材的医疗机构管理人员、采购人员、医师、药师等有关人员给予回扣或其他不正当利益。</w:t>
      </w:r>
    </w:p>
    <w:p>
      <w:pPr>
        <w:pStyle w:val="10"/>
        <w:spacing w:line="600" w:lineRule="exact"/>
        <w:ind w:firstLine="640" w:firstLineChars="200"/>
        <w:jc w:val="both"/>
        <w:rPr>
          <w:rFonts w:hint="default" w:ascii="仿宋_GB2312" w:eastAsia="仿宋_GB2312"/>
          <w:color w:val="auto"/>
          <w:sz w:val="32"/>
        </w:rPr>
      </w:pPr>
      <w:r>
        <w:rPr>
          <w:rFonts w:ascii="仿宋_GB2312" w:eastAsia="仿宋_GB2312"/>
          <w:color w:val="auto"/>
          <w:sz w:val="32"/>
        </w:rPr>
        <w:t>（三）我方承诺，不实施虚开虚受增值税发票及其他形式虚构服务套现洗钱行为。</w:t>
      </w:r>
    </w:p>
    <w:p>
      <w:pPr>
        <w:pStyle w:val="10"/>
        <w:spacing w:line="600" w:lineRule="exact"/>
        <w:ind w:firstLine="640" w:firstLineChars="200"/>
        <w:jc w:val="both"/>
        <w:rPr>
          <w:rFonts w:hint="default" w:ascii="仿宋_GB2312" w:eastAsia="仿宋_GB2312"/>
          <w:color w:val="auto"/>
          <w:sz w:val="32"/>
        </w:rPr>
      </w:pPr>
      <w:r>
        <w:rPr>
          <w:rFonts w:ascii="仿宋_GB2312" w:eastAsia="仿宋_GB2312"/>
          <w:color w:val="auto"/>
          <w:sz w:val="32"/>
        </w:rPr>
        <w:t>（四）我方承诺，不利用医用耗材垄断地位或市场支配地位，操纵医用耗材价格和供应牟取暴利。不针对不同群体、不同渠道制定实施明显不合理的差异化定价。</w:t>
      </w:r>
    </w:p>
    <w:p>
      <w:pPr>
        <w:pStyle w:val="2"/>
        <w:spacing w:line="600" w:lineRule="exact"/>
        <w:ind w:firstLine="640" w:firstLineChars="200"/>
        <w:jc w:val="both"/>
        <w:rPr>
          <w:rFonts w:hint="default" w:ascii="黑体" w:hAnsi="黑体" w:eastAsia="黑体"/>
          <w:color w:val="auto"/>
          <w:sz w:val="32"/>
        </w:rPr>
      </w:pPr>
      <w:r>
        <w:rPr>
          <w:rFonts w:ascii="黑体" w:hAnsi="黑体" w:eastAsia="黑体"/>
          <w:color w:val="auto"/>
          <w:sz w:val="32"/>
        </w:rPr>
        <w:t>二、履行合同、配合监管</w:t>
      </w:r>
    </w:p>
    <w:p>
      <w:pPr>
        <w:pStyle w:val="11"/>
        <w:spacing w:line="600" w:lineRule="exact"/>
        <w:ind w:firstLine="640" w:firstLineChars="200"/>
        <w:jc w:val="both"/>
        <w:rPr>
          <w:rFonts w:hint="default" w:ascii="仿宋_GB2312" w:eastAsia="仿宋_GB2312"/>
          <w:color w:val="auto"/>
          <w:sz w:val="32"/>
        </w:rPr>
      </w:pPr>
      <w:r>
        <w:rPr>
          <w:rFonts w:ascii="仿宋_GB2312" w:eastAsia="仿宋_GB2312"/>
          <w:color w:val="auto"/>
          <w:sz w:val="32"/>
        </w:rPr>
        <w:t>（一）我方承诺，具有履行协议必须具备的医用耗材供应能力，除我方不可抗的因素造成供应困难外，保证在采购周期按照中选价格及时足量供应医用耗材，满足临床需求。</w:t>
      </w:r>
    </w:p>
    <w:p>
      <w:pPr>
        <w:pStyle w:val="11"/>
        <w:spacing w:line="600" w:lineRule="exact"/>
        <w:ind w:firstLine="640" w:firstLineChars="200"/>
        <w:jc w:val="both"/>
        <w:rPr>
          <w:rFonts w:hint="default" w:ascii="仿宋_GB2312" w:eastAsia="仿宋_GB2312"/>
          <w:color w:val="auto"/>
          <w:sz w:val="32"/>
        </w:rPr>
      </w:pPr>
      <w:r>
        <w:rPr>
          <w:rFonts w:ascii="仿宋_GB2312" w:eastAsia="仿宋_GB2312"/>
          <w:color w:val="auto"/>
          <w:sz w:val="32"/>
        </w:rPr>
        <w:t>（二）我方承诺，遵循公平、合理和诚实信用、质价相符的法定原则定价，将价格与成本、供求合理匹配，保持不同品规、不同区域之间价格平衡，维护价格一定时期内相对稳定。因第三方实施垄断、操纵市场，或要素成本剧烈变化等情形被动提高医用耗材价格的，我方承诺在上述情形终止后，及时纠正价格。</w:t>
      </w:r>
    </w:p>
    <w:p>
      <w:pPr>
        <w:pStyle w:val="2"/>
        <w:spacing w:line="600" w:lineRule="exact"/>
        <w:ind w:firstLine="640" w:firstLineChars="200"/>
        <w:jc w:val="both"/>
        <w:rPr>
          <w:rFonts w:hint="default" w:ascii="仿宋_GB2312" w:hAnsi="Times New Roman" w:eastAsia="仿宋_GB2312"/>
          <w:color w:val="auto"/>
          <w:sz w:val="32"/>
        </w:rPr>
      </w:pPr>
      <w:r>
        <w:rPr>
          <w:rFonts w:ascii="仿宋_GB2312" w:hAnsi="Times New Roman" w:eastAsia="仿宋_GB2312"/>
          <w:color w:val="auto"/>
          <w:sz w:val="32"/>
        </w:rPr>
        <w:t>（三）我方承诺，及时、全面、完整、规范申报失信信息，不漏报，不瞒报，不推诿。</w:t>
      </w:r>
    </w:p>
    <w:p>
      <w:pPr>
        <w:pStyle w:val="2"/>
        <w:spacing w:line="600" w:lineRule="exact"/>
        <w:ind w:firstLine="640" w:firstLineChars="200"/>
        <w:jc w:val="both"/>
        <w:rPr>
          <w:rFonts w:hint="default" w:ascii="黑体" w:hAnsi="黑体" w:eastAsia="黑体"/>
          <w:color w:val="auto"/>
          <w:sz w:val="32"/>
        </w:rPr>
      </w:pPr>
      <w:r>
        <w:rPr>
          <w:rFonts w:ascii="黑体" w:hAnsi="黑体" w:eastAsia="黑体"/>
          <w:color w:val="auto"/>
          <w:sz w:val="32"/>
        </w:rPr>
        <w:t>三、违约担责，接受处置</w:t>
      </w:r>
    </w:p>
    <w:p>
      <w:pPr>
        <w:pStyle w:val="2"/>
        <w:spacing w:line="600" w:lineRule="exact"/>
        <w:ind w:firstLine="640" w:firstLineChars="200"/>
        <w:jc w:val="both"/>
        <w:rPr>
          <w:rFonts w:hint="default" w:ascii="仿宋_GB2312" w:hAnsi="Times New Roman" w:eastAsia="仿宋_GB2312"/>
          <w:color w:val="auto"/>
          <w:sz w:val="32"/>
        </w:rPr>
      </w:pPr>
      <w:r>
        <w:rPr>
          <w:rFonts w:ascii="仿宋_GB2312" w:hAnsi="Times New Roman" w:eastAsia="仿宋_GB2312"/>
          <w:color w:val="auto"/>
          <w:sz w:val="32"/>
        </w:rPr>
        <w:t>（一）我方承诺，如我方医用耗材购销中存在违背已承诺事项的，我方愿意接受</w:t>
      </w:r>
      <w:r>
        <w:rPr>
          <w:rFonts w:ascii="仿宋_GB2312" w:eastAsia="仿宋_GB2312"/>
          <w:color w:val="auto"/>
          <w:sz w:val="32"/>
        </w:rPr>
        <w:t>集中采购机构</w:t>
      </w:r>
      <w:r>
        <w:rPr>
          <w:rFonts w:ascii="仿宋_GB2312" w:hAnsi="Times New Roman" w:eastAsia="仿宋_GB2312"/>
          <w:color w:val="auto"/>
          <w:sz w:val="32"/>
        </w:rPr>
        <w:t>作出的信用评级结果以及结合信用等级实施的处置措施。</w:t>
      </w:r>
    </w:p>
    <w:p>
      <w:pPr>
        <w:pStyle w:val="11"/>
        <w:spacing w:line="600" w:lineRule="exact"/>
        <w:ind w:firstLine="640" w:firstLineChars="200"/>
        <w:jc w:val="both"/>
        <w:rPr>
          <w:rFonts w:hint="default" w:ascii="仿宋_GB2312" w:eastAsia="仿宋_GB2312"/>
          <w:color w:val="auto"/>
          <w:sz w:val="32"/>
        </w:rPr>
      </w:pPr>
      <w:r>
        <w:rPr>
          <w:rFonts w:ascii="仿宋_GB2312" w:eastAsia="仿宋_GB2312"/>
          <w:color w:val="auto"/>
          <w:sz w:val="32"/>
        </w:rPr>
        <w:t>（二）我方承诺，严格管理员工（含雇佣关系，以及劳务派遣、购买服务、委托代理等关系），在法律法规允许的范围内从事经营活动。如果我方员工在我方医用耗材购销中因给予回扣或其他不正当利益的行为，受到司法机关、行政执法机关惩处，我方承诺承担失信违约责任，接受集中采购机构作出的信用评级结果以及结合信用等级实施的处置措施。</w:t>
      </w:r>
    </w:p>
    <w:p>
      <w:pPr>
        <w:pStyle w:val="10"/>
        <w:spacing w:line="600" w:lineRule="exact"/>
        <w:ind w:firstLine="640" w:firstLineChars="200"/>
        <w:jc w:val="both"/>
        <w:rPr>
          <w:rFonts w:hint="default" w:ascii="仿宋_GB2312" w:eastAsia="仿宋_GB2312"/>
          <w:color w:val="auto"/>
          <w:sz w:val="32"/>
        </w:rPr>
      </w:pPr>
      <w:r>
        <w:rPr>
          <w:rFonts w:ascii="仿宋_GB2312" w:eastAsia="仿宋_GB2312"/>
          <w:color w:val="auto"/>
          <w:sz w:val="32"/>
        </w:rPr>
        <w:t>（三）我方承诺，严格约束委托代理人（具有委托代理关系的法人和自然人）在法律允许的范围内从事经营活动。如果受我方委托代理人，因涉及我方医用耗材的回扣等医药商业贿赂行为，受到司法机关、行政执法机关惩处，我方承诺承担失信违约责任，接受集中采购机构作出的信用评级结果以及结合信用等级实施的处置措施。</w:t>
      </w:r>
    </w:p>
    <w:p>
      <w:pPr>
        <w:pStyle w:val="12"/>
        <w:spacing w:line="600" w:lineRule="exact"/>
        <w:ind w:firstLine="640" w:firstLineChars="200"/>
        <w:jc w:val="both"/>
        <w:rPr>
          <w:rFonts w:hint="default" w:ascii="仿宋_GB2312" w:eastAsia="仿宋_GB2312"/>
          <w:color w:val="auto"/>
          <w:sz w:val="32"/>
        </w:rPr>
      </w:pPr>
      <w:r>
        <w:rPr>
          <w:rFonts w:ascii="仿宋_GB2312" w:eastAsia="仿宋_GB2312"/>
          <w:color w:val="auto"/>
          <w:sz w:val="32"/>
        </w:rPr>
        <w:t>（四）我方承诺，主动维护良好信用，必要时采取切实措施修复信用。</w:t>
      </w:r>
    </w:p>
    <w:p>
      <w:pPr>
        <w:pStyle w:val="12"/>
        <w:spacing w:line="600" w:lineRule="exact"/>
        <w:ind w:firstLine="3968" w:firstLineChars="1240"/>
        <w:jc w:val="both"/>
        <w:rPr>
          <w:rFonts w:hint="default" w:ascii="仿宋_GB2312" w:eastAsia="仿宋_GB2312"/>
          <w:color w:val="auto"/>
          <w:sz w:val="32"/>
        </w:rPr>
      </w:pPr>
    </w:p>
    <w:p>
      <w:pPr>
        <w:pStyle w:val="12"/>
        <w:spacing w:line="600" w:lineRule="exact"/>
        <w:ind w:firstLine="3968" w:firstLineChars="1240"/>
        <w:jc w:val="both"/>
        <w:rPr>
          <w:rFonts w:hint="default" w:ascii="仿宋_GB2312" w:eastAsia="仿宋_GB2312"/>
          <w:color w:val="auto"/>
          <w:sz w:val="32"/>
        </w:rPr>
      </w:pPr>
    </w:p>
    <w:p>
      <w:pPr>
        <w:pStyle w:val="12"/>
        <w:spacing w:line="600" w:lineRule="exact"/>
        <w:ind w:firstLine="2560" w:firstLineChars="800"/>
        <w:jc w:val="both"/>
        <w:rPr>
          <w:rFonts w:hint="default" w:ascii="仿宋_GB2312" w:eastAsia="仿宋_GB2312"/>
          <w:color w:val="auto"/>
          <w:sz w:val="32"/>
        </w:rPr>
      </w:pPr>
      <w:r>
        <w:rPr>
          <w:rFonts w:ascii="仿宋_GB2312" w:eastAsia="仿宋_GB2312"/>
          <w:color w:val="auto"/>
          <w:sz w:val="32"/>
        </w:rPr>
        <w:t>承诺企业（盖章）:</w:t>
      </w:r>
    </w:p>
    <w:p>
      <w:pPr>
        <w:pStyle w:val="2"/>
        <w:spacing w:line="600" w:lineRule="exact"/>
        <w:rPr>
          <w:rFonts w:hint="default"/>
          <w:color w:val="auto"/>
        </w:rPr>
      </w:pPr>
    </w:p>
    <w:p>
      <w:pPr>
        <w:pStyle w:val="13"/>
        <w:spacing w:line="600" w:lineRule="exact"/>
        <w:ind w:firstLine="2560" w:firstLineChars="800"/>
        <w:jc w:val="both"/>
        <w:rPr>
          <w:rFonts w:hint="default" w:ascii="仿宋_GB2312" w:hAnsi="Arial" w:eastAsia="仿宋_GB2312"/>
          <w:color w:val="auto"/>
          <w:sz w:val="32"/>
        </w:rPr>
      </w:pPr>
      <w:r>
        <w:rPr>
          <w:rFonts w:ascii="仿宋_GB2312" w:eastAsia="仿宋_GB2312"/>
          <w:color w:val="auto"/>
          <w:sz w:val="32"/>
        </w:rPr>
        <w:t>法定代表人（签字或盖章）</w:t>
      </w:r>
      <w:r>
        <w:rPr>
          <w:rFonts w:ascii="仿宋_GB2312" w:hAnsi="Arial" w:eastAsia="仿宋_GB2312"/>
          <w:color w:val="auto"/>
          <w:sz w:val="32"/>
        </w:rPr>
        <w:t>:</w:t>
      </w:r>
    </w:p>
    <w:p>
      <w:pPr>
        <w:pStyle w:val="2"/>
        <w:spacing w:line="600" w:lineRule="exact"/>
        <w:rPr>
          <w:rFonts w:hint="default"/>
          <w:color w:val="auto"/>
        </w:rPr>
      </w:pPr>
    </w:p>
    <w:p>
      <w:pPr>
        <w:pStyle w:val="2"/>
        <w:spacing w:line="600" w:lineRule="exact"/>
        <w:ind w:right="401" w:rightChars="191" w:firstLine="640" w:firstLineChars="200"/>
        <w:jc w:val="right"/>
        <w:rPr>
          <w:rFonts w:hint="default" w:ascii="仿宋_GB2312" w:hAnsi="Arial" w:eastAsia="仿宋_GB2312"/>
          <w:color w:val="auto"/>
          <w:sz w:val="32"/>
        </w:rPr>
      </w:pPr>
      <w:r>
        <w:rPr>
          <w:rFonts w:ascii="仿宋_GB2312" w:hAnsi="Arial" w:eastAsia="仿宋_GB2312"/>
          <w:color w:val="auto"/>
          <w:sz w:val="32"/>
        </w:rPr>
        <w:t xml:space="preserve"> 年  月  日  </w:t>
      </w:r>
    </w:p>
    <w:p>
      <w:pPr>
        <w:pStyle w:val="2"/>
        <w:spacing w:line="600" w:lineRule="exact"/>
        <w:jc w:val="both"/>
        <w:rPr>
          <w:rFonts w:hint="default" w:ascii="方正小标宋简体" w:hAnsi="方正小标宋简体" w:eastAsia="方正小标宋简体" w:cs="方正小标宋简体"/>
          <w:b/>
          <w:bCs/>
          <w:color w:val="auto"/>
          <w:sz w:val="44"/>
          <w:szCs w:val="44"/>
          <w:lang w:bidi="ar"/>
        </w:rPr>
        <w:sectPr>
          <w:pgSz w:w="11906" w:h="16838"/>
          <w:pgMar w:top="1440" w:right="1906" w:bottom="1440" w:left="1800" w:header="851" w:footer="992" w:gutter="0"/>
          <w:cols w:space="720" w:num="1"/>
          <w:docGrid w:type="lines" w:linePitch="312" w:charSpace="0"/>
        </w:sectPr>
      </w:pPr>
    </w:p>
    <w:p>
      <w:pPr>
        <w:spacing w:line="600" w:lineRule="exact"/>
        <w:outlineLvl w:val="1"/>
        <w:rPr>
          <w:rFonts w:ascii="黑体" w:hAnsi="黑体" w:eastAsia="黑体" w:cs="黑体"/>
          <w:color w:val="auto"/>
          <w:kern w:val="0"/>
          <w:sz w:val="32"/>
          <w:szCs w:val="32"/>
          <w:lang w:bidi="ar"/>
        </w:rPr>
      </w:pPr>
      <w:bookmarkStart w:id="26" w:name="_Toc89358229"/>
      <w:r>
        <w:rPr>
          <w:rFonts w:ascii="黑体" w:hAnsi="黑体" w:eastAsia="黑体" w:cs="黑体"/>
          <w:color w:val="auto"/>
          <w:kern w:val="0"/>
          <w:sz w:val="32"/>
          <w:szCs w:val="32"/>
          <w:lang w:bidi="ar"/>
        </w:rPr>
        <w:t>附件4</w:t>
      </w:r>
      <w:bookmarkEnd w:id="26"/>
    </w:p>
    <w:p>
      <w:pPr>
        <w:pStyle w:val="2"/>
        <w:spacing w:line="600" w:lineRule="exact"/>
        <w:jc w:val="center"/>
        <w:rPr>
          <w:rFonts w:ascii="方正小标宋简体" w:hAnsi="方正小标宋简体" w:eastAsia="方正小标宋简体" w:cs="方正小标宋简体"/>
          <w:b/>
          <w:bCs/>
          <w:color w:val="auto"/>
          <w:sz w:val="44"/>
          <w:szCs w:val="44"/>
          <w:lang w:bidi="ar"/>
        </w:rPr>
      </w:pPr>
    </w:p>
    <w:p>
      <w:pPr>
        <w:pStyle w:val="2"/>
        <w:spacing w:line="600" w:lineRule="exact"/>
        <w:jc w:val="center"/>
        <w:rPr>
          <w:rFonts w:hint="default" w:ascii="方正小标宋简体" w:hAnsi="方正小标宋简体" w:eastAsia="方正小标宋简体" w:cs="方正小标宋简体"/>
          <w:b/>
          <w:bCs/>
          <w:color w:val="auto"/>
          <w:sz w:val="44"/>
          <w:szCs w:val="44"/>
          <w:lang w:bidi="ar"/>
        </w:rPr>
      </w:pPr>
      <w:r>
        <w:rPr>
          <w:rFonts w:hint="default" w:ascii="方正小标宋简体" w:hAnsi="方正小标宋简体" w:eastAsia="方正小标宋简体" w:cs="方正小标宋简体"/>
          <w:color w:val="auto"/>
          <w:sz w:val="44"/>
          <w:szCs w:val="44"/>
          <w:lang w:bidi="ar"/>
        </w:rPr>
        <w:t>申报信息一览表</w:t>
      </w:r>
    </w:p>
    <w:p>
      <w:pPr>
        <w:pStyle w:val="2"/>
        <w:spacing w:line="600" w:lineRule="exact"/>
        <w:jc w:val="center"/>
        <w:rPr>
          <w:rFonts w:ascii="仿宋_GB2312" w:hAnsi="仿宋_GB2312" w:eastAsia="仿宋_GB2312" w:cs="仿宋_GB2312"/>
          <w:b/>
          <w:bCs/>
          <w:color w:val="auto"/>
          <w:sz w:val="32"/>
          <w:szCs w:val="32"/>
          <w:lang w:bidi="ar"/>
        </w:rPr>
      </w:pPr>
    </w:p>
    <w:p>
      <w:pPr>
        <w:pStyle w:val="2"/>
        <w:spacing w:line="600" w:lineRule="exact"/>
        <w:rPr>
          <w:rFonts w:ascii="仿宋_GB2312" w:hAnsi="仿宋_GB2312" w:eastAsia="仿宋_GB2312" w:cs="仿宋_GB2312"/>
          <w:color w:val="auto"/>
          <w:sz w:val="32"/>
          <w:szCs w:val="32"/>
          <w:lang w:bidi="ar"/>
        </w:rPr>
      </w:pPr>
      <w:r>
        <w:rPr>
          <w:rFonts w:ascii="仿宋_GB2312" w:hAnsi="仿宋_GB2312" w:eastAsia="仿宋_GB2312" w:cs="仿宋_GB2312"/>
          <w:color w:val="auto"/>
          <w:sz w:val="32"/>
          <w:szCs w:val="32"/>
          <w:lang w:bidi="ar"/>
        </w:rPr>
        <w:t>申报企业：</w:t>
      </w:r>
    </w:p>
    <w:tbl>
      <w:tblPr>
        <w:tblStyle w:val="7"/>
        <w:tblW w:w="51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759"/>
        <w:gridCol w:w="969"/>
        <w:gridCol w:w="993"/>
        <w:gridCol w:w="1560"/>
        <w:gridCol w:w="1701"/>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445" w:type="pct"/>
            <w:noWrap w:val="0"/>
            <w:vAlign w:val="center"/>
          </w:tcPr>
          <w:p>
            <w:pPr>
              <w:pStyle w:val="2"/>
              <w:spacing w:line="420" w:lineRule="exact"/>
              <w:jc w:val="center"/>
              <w:rPr>
                <w:rFonts w:hint="default" w:ascii="Times New Roman" w:hAnsi="Times New Roman" w:eastAsia="宋体"/>
                <w:b/>
                <w:bCs/>
                <w:color w:val="auto"/>
                <w:szCs w:val="24"/>
                <w:lang w:bidi="ar"/>
              </w:rPr>
            </w:pPr>
            <w:r>
              <w:rPr>
                <w:rFonts w:hint="default" w:ascii="Times New Roman" w:hAnsi="Times New Roman" w:eastAsia="宋体"/>
                <w:b/>
                <w:bCs/>
                <w:color w:val="auto"/>
                <w:szCs w:val="24"/>
                <w:lang w:bidi="ar"/>
              </w:rPr>
              <w:t>序号</w:t>
            </w:r>
          </w:p>
        </w:tc>
        <w:tc>
          <w:tcPr>
            <w:tcW w:w="568" w:type="pct"/>
            <w:noWrap w:val="0"/>
            <w:vAlign w:val="center"/>
          </w:tcPr>
          <w:p>
            <w:pPr>
              <w:pStyle w:val="2"/>
              <w:spacing w:line="420" w:lineRule="exact"/>
              <w:jc w:val="center"/>
              <w:rPr>
                <w:rFonts w:hint="default" w:ascii="Times New Roman" w:hAnsi="Times New Roman" w:eastAsia="宋体"/>
                <w:b/>
                <w:bCs/>
                <w:color w:val="auto"/>
                <w:szCs w:val="24"/>
                <w:lang w:bidi="ar"/>
              </w:rPr>
            </w:pPr>
            <w:r>
              <w:rPr>
                <w:rFonts w:hint="default" w:ascii="Times New Roman" w:hAnsi="Times New Roman" w:eastAsia="宋体"/>
                <w:b/>
                <w:bCs/>
                <w:color w:val="auto"/>
                <w:szCs w:val="24"/>
                <w:lang w:bidi="ar"/>
              </w:rPr>
              <w:t>品种</w:t>
            </w:r>
          </w:p>
        </w:tc>
        <w:tc>
          <w:tcPr>
            <w:tcW w:w="582" w:type="pct"/>
            <w:noWrap w:val="0"/>
            <w:vAlign w:val="center"/>
          </w:tcPr>
          <w:p>
            <w:pPr>
              <w:pStyle w:val="2"/>
              <w:spacing w:line="420" w:lineRule="exact"/>
              <w:jc w:val="center"/>
              <w:rPr>
                <w:rFonts w:hint="default" w:ascii="Times New Roman" w:hAnsi="Times New Roman" w:eastAsia="宋体"/>
                <w:b/>
                <w:bCs/>
                <w:color w:val="auto"/>
                <w:szCs w:val="24"/>
                <w:lang w:bidi="ar"/>
              </w:rPr>
            </w:pPr>
            <w:r>
              <w:rPr>
                <w:rFonts w:hint="default" w:ascii="Times New Roman" w:hAnsi="Times New Roman" w:eastAsia="宋体"/>
                <w:b/>
                <w:bCs/>
                <w:color w:val="auto"/>
                <w:szCs w:val="24"/>
                <w:lang w:bidi="ar"/>
              </w:rPr>
              <w:t>包装计量单位</w:t>
            </w:r>
          </w:p>
        </w:tc>
        <w:tc>
          <w:tcPr>
            <w:tcW w:w="914" w:type="pct"/>
            <w:noWrap w:val="0"/>
            <w:vAlign w:val="center"/>
          </w:tcPr>
          <w:p>
            <w:pPr>
              <w:pStyle w:val="2"/>
              <w:spacing w:line="420" w:lineRule="exact"/>
              <w:jc w:val="center"/>
              <w:rPr>
                <w:rFonts w:hint="default" w:ascii="Times New Roman" w:hAnsi="Times New Roman" w:eastAsia="宋体"/>
                <w:b/>
                <w:bCs/>
                <w:color w:val="auto"/>
                <w:szCs w:val="24"/>
                <w:lang w:bidi="ar"/>
              </w:rPr>
            </w:pPr>
            <w:r>
              <w:rPr>
                <w:rFonts w:hint="default" w:ascii="Times New Roman" w:hAnsi="Times New Roman" w:eastAsia="宋体"/>
                <w:b/>
                <w:bCs/>
                <w:color w:val="auto"/>
                <w:szCs w:val="24"/>
                <w:lang w:bidi="ar"/>
              </w:rPr>
              <w:t>报价</w:t>
            </w:r>
          </w:p>
          <w:p>
            <w:pPr>
              <w:pStyle w:val="2"/>
              <w:spacing w:line="420" w:lineRule="exact"/>
              <w:jc w:val="center"/>
              <w:rPr>
                <w:rFonts w:hint="default" w:ascii="Times New Roman" w:hAnsi="Times New Roman" w:eastAsia="宋体"/>
                <w:b/>
                <w:bCs/>
                <w:color w:val="auto"/>
                <w:szCs w:val="24"/>
                <w:lang w:bidi="ar"/>
              </w:rPr>
            </w:pPr>
            <w:r>
              <w:rPr>
                <w:rFonts w:hint="default" w:ascii="Times New Roman" w:hAnsi="Times New Roman" w:eastAsia="宋体"/>
                <w:b/>
                <w:bCs/>
                <w:color w:val="auto"/>
                <w:szCs w:val="24"/>
                <w:lang w:bidi="ar"/>
              </w:rPr>
              <w:t>（元，小写）</w:t>
            </w:r>
          </w:p>
        </w:tc>
        <w:tc>
          <w:tcPr>
            <w:tcW w:w="997" w:type="pct"/>
            <w:noWrap w:val="0"/>
            <w:vAlign w:val="center"/>
          </w:tcPr>
          <w:p>
            <w:pPr>
              <w:pStyle w:val="2"/>
              <w:spacing w:line="420" w:lineRule="exact"/>
              <w:jc w:val="center"/>
              <w:rPr>
                <w:rFonts w:hint="default" w:ascii="Times New Roman" w:hAnsi="Times New Roman" w:eastAsia="宋体"/>
                <w:b/>
                <w:bCs/>
                <w:color w:val="auto"/>
                <w:szCs w:val="24"/>
                <w:lang w:bidi="ar"/>
              </w:rPr>
            </w:pPr>
            <w:r>
              <w:rPr>
                <w:rFonts w:hint="default" w:ascii="Times New Roman" w:hAnsi="Times New Roman" w:eastAsia="宋体"/>
                <w:b/>
                <w:bCs/>
                <w:color w:val="auto"/>
                <w:szCs w:val="24"/>
                <w:lang w:bidi="ar"/>
              </w:rPr>
              <w:t>报价</w:t>
            </w:r>
          </w:p>
          <w:p>
            <w:pPr>
              <w:pStyle w:val="2"/>
              <w:spacing w:line="420" w:lineRule="exact"/>
              <w:jc w:val="center"/>
              <w:rPr>
                <w:rFonts w:hint="default" w:ascii="Times New Roman" w:hAnsi="Times New Roman" w:eastAsia="宋体"/>
                <w:b/>
                <w:bCs/>
                <w:color w:val="auto"/>
                <w:szCs w:val="24"/>
                <w:lang w:bidi="ar"/>
              </w:rPr>
            </w:pPr>
            <w:r>
              <w:rPr>
                <w:rFonts w:hint="default" w:ascii="Times New Roman" w:hAnsi="Times New Roman" w:eastAsia="宋体"/>
                <w:b/>
                <w:bCs/>
                <w:color w:val="auto"/>
                <w:szCs w:val="24"/>
                <w:lang w:bidi="ar"/>
              </w:rPr>
              <w:t>（元，大写）</w:t>
            </w:r>
          </w:p>
        </w:tc>
        <w:tc>
          <w:tcPr>
            <w:tcW w:w="1494" w:type="pct"/>
            <w:noWrap w:val="0"/>
            <w:vAlign w:val="center"/>
          </w:tcPr>
          <w:p>
            <w:pPr>
              <w:pStyle w:val="2"/>
              <w:spacing w:line="420" w:lineRule="exact"/>
              <w:jc w:val="center"/>
              <w:rPr>
                <w:rFonts w:hint="default" w:ascii="Times New Roman" w:hAnsi="Times New Roman" w:eastAsia="宋体"/>
                <w:b/>
                <w:bCs/>
                <w:color w:val="auto"/>
                <w:szCs w:val="24"/>
                <w:lang w:bidi="ar"/>
              </w:rPr>
            </w:pPr>
            <w:r>
              <w:rPr>
                <w:rFonts w:hint="default" w:ascii="Times New Roman" w:hAnsi="Times New Roman" w:eastAsia="宋体"/>
                <w:b/>
                <w:bCs/>
                <w:color w:val="auto"/>
                <w:szCs w:val="24"/>
                <w:lang w:bidi="ar"/>
              </w:rPr>
              <w:t>注册备案号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34" w:hRule="atLeast"/>
        </w:trPr>
        <w:tc>
          <w:tcPr>
            <w:tcW w:w="445" w:type="pct"/>
            <w:vMerge w:val="restart"/>
            <w:noWrap w:val="0"/>
            <w:vAlign w:val="center"/>
          </w:tcPr>
          <w:p>
            <w:pPr>
              <w:pStyle w:val="2"/>
              <w:spacing w:line="420" w:lineRule="exact"/>
              <w:jc w:val="center"/>
              <w:rPr>
                <w:rFonts w:hint="default" w:ascii="Times New Roman" w:hAnsi="Times New Roman" w:eastAsia="宋体"/>
                <w:color w:val="auto"/>
                <w:szCs w:val="24"/>
              </w:rPr>
            </w:pPr>
            <w:r>
              <w:rPr>
                <w:rFonts w:hint="default" w:ascii="Times New Roman" w:hAnsi="Times New Roman" w:eastAsia="宋体"/>
                <w:color w:val="auto"/>
                <w:szCs w:val="24"/>
              </w:rPr>
              <w:t>举例1</w:t>
            </w:r>
          </w:p>
        </w:tc>
        <w:tc>
          <w:tcPr>
            <w:tcW w:w="568" w:type="pct"/>
            <w:vMerge w:val="restart"/>
            <w:noWrap w:val="0"/>
            <w:vAlign w:val="center"/>
          </w:tcPr>
          <w:p>
            <w:pPr>
              <w:pStyle w:val="2"/>
              <w:spacing w:line="420" w:lineRule="exact"/>
              <w:jc w:val="center"/>
              <w:rPr>
                <w:rFonts w:hint="default" w:ascii="Times New Roman" w:hAnsi="Times New Roman" w:eastAsia="宋体"/>
                <w:color w:val="auto"/>
                <w:szCs w:val="24"/>
                <w:lang w:bidi="ar"/>
              </w:rPr>
            </w:pPr>
            <w:r>
              <w:rPr>
                <w:rFonts w:hint="default" w:ascii="Times New Roman" w:hAnsi="Times New Roman" w:eastAsia="宋体"/>
                <w:color w:val="auto"/>
                <w:szCs w:val="24"/>
              </w:rPr>
              <w:t>肌酐</w:t>
            </w:r>
          </w:p>
        </w:tc>
        <w:tc>
          <w:tcPr>
            <w:tcW w:w="582" w:type="pct"/>
            <w:noWrap w:val="0"/>
            <w:vAlign w:val="center"/>
          </w:tcPr>
          <w:p>
            <w:pPr>
              <w:pStyle w:val="2"/>
              <w:spacing w:line="420" w:lineRule="exact"/>
              <w:jc w:val="center"/>
              <w:rPr>
                <w:rFonts w:hint="default" w:ascii="Times New Roman" w:hAnsi="Times New Roman" w:eastAsia="宋体"/>
                <w:color w:val="auto"/>
                <w:szCs w:val="24"/>
                <w:lang w:bidi="ar"/>
              </w:rPr>
            </w:pPr>
            <w:r>
              <w:rPr>
                <w:rFonts w:hint="default" w:ascii="Times New Roman" w:hAnsi="Times New Roman" w:eastAsia="宋体"/>
                <w:color w:val="auto"/>
                <w:szCs w:val="24"/>
                <w:lang w:bidi="ar"/>
              </w:rPr>
              <w:t>ml</w:t>
            </w:r>
          </w:p>
        </w:tc>
        <w:tc>
          <w:tcPr>
            <w:tcW w:w="914" w:type="pct"/>
            <w:noWrap w:val="0"/>
            <w:vAlign w:val="center"/>
          </w:tcPr>
          <w:p>
            <w:pPr>
              <w:pStyle w:val="2"/>
              <w:spacing w:line="420" w:lineRule="exact"/>
              <w:jc w:val="center"/>
              <w:rPr>
                <w:rFonts w:hint="default" w:ascii="Times New Roman" w:hAnsi="Times New Roman" w:eastAsia="宋体"/>
                <w:color w:val="auto"/>
                <w:szCs w:val="24"/>
                <w:lang w:bidi="ar"/>
              </w:rPr>
            </w:pPr>
            <w:r>
              <w:rPr>
                <w:rFonts w:hint="default" w:ascii="Times New Roman" w:hAnsi="Times New Roman" w:eastAsia="宋体"/>
                <w:color w:val="auto"/>
                <w:szCs w:val="24"/>
                <w:lang w:bidi="ar"/>
              </w:rPr>
              <w:t>0.1234</w:t>
            </w:r>
          </w:p>
        </w:tc>
        <w:tc>
          <w:tcPr>
            <w:tcW w:w="997" w:type="pct"/>
            <w:noWrap w:val="0"/>
            <w:vAlign w:val="center"/>
          </w:tcPr>
          <w:p>
            <w:pPr>
              <w:pStyle w:val="2"/>
              <w:spacing w:line="420" w:lineRule="exact"/>
              <w:jc w:val="center"/>
              <w:rPr>
                <w:rFonts w:hint="default" w:ascii="Times New Roman" w:hAnsi="Times New Roman" w:eastAsia="宋体"/>
                <w:color w:val="auto"/>
                <w:szCs w:val="24"/>
                <w:lang w:bidi="ar"/>
              </w:rPr>
            </w:pPr>
            <w:r>
              <w:rPr>
                <w:rFonts w:hint="default" w:ascii="Times New Roman" w:hAnsi="Times New Roman" w:eastAsia="宋体"/>
                <w:color w:val="auto"/>
                <w:szCs w:val="24"/>
                <w:lang w:bidi="ar"/>
              </w:rPr>
              <w:t>零点壹贰叁肆</w:t>
            </w:r>
          </w:p>
        </w:tc>
        <w:tc>
          <w:tcPr>
            <w:tcW w:w="1494" w:type="pct"/>
            <w:vMerge w:val="restart"/>
            <w:noWrap w:val="0"/>
            <w:vAlign w:val="center"/>
          </w:tcPr>
          <w:p>
            <w:pPr>
              <w:pStyle w:val="2"/>
              <w:spacing w:line="420" w:lineRule="exact"/>
              <w:rPr>
                <w:rFonts w:hint="default" w:ascii="Times New Roman" w:hAnsi="Times New Roman" w:eastAsia="宋体"/>
                <w:color w:val="auto"/>
                <w:szCs w:val="24"/>
                <w:lang w:bidi="ar"/>
              </w:rPr>
            </w:pPr>
            <w:r>
              <w:rPr>
                <w:rFonts w:hint="default" w:ascii="Times New Roman" w:hAnsi="Times New Roman" w:eastAsia="宋体"/>
                <w:color w:val="auto"/>
                <w:szCs w:val="24"/>
                <w:lang w:bidi="ar"/>
              </w:rPr>
              <w:t>京械注</w:t>
            </w:r>
            <w:r>
              <w:rPr>
                <w:rFonts w:ascii="Times New Roman" w:hAnsi="Times New Roman" w:eastAsia="宋体"/>
                <w:color w:val="auto"/>
                <w:szCs w:val="24"/>
                <w:lang w:bidi="ar"/>
              </w:rPr>
              <w:t>准</w:t>
            </w:r>
            <w:r>
              <w:rPr>
                <w:rFonts w:hint="default" w:ascii="Times New Roman" w:hAnsi="Times New Roman" w:eastAsia="宋体"/>
                <w:color w:val="auto"/>
                <w:szCs w:val="24"/>
                <w:lang w:bidi="ar"/>
              </w:rPr>
              <w:t>20232400001，京械注准20232400002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22" w:hRule="atLeast"/>
        </w:trPr>
        <w:tc>
          <w:tcPr>
            <w:tcW w:w="445" w:type="pct"/>
            <w:vMerge w:val="continue"/>
            <w:noWrap w:val="0"/>
            <w:vAlign w:val="center"/>
          </w:tcPr>
          <w:p>
            <w:pPr>
              <w:pStyle w:val="2"/>
              <w:spacing w:line="420" w:lineRule="exact"/>
              <w:jc w:val="center"/>
              <w:rPr>
                <w:rFonts w:hint="default" w:ascii="Times New Roman" w:hAnsi="Times New Roman" w:eastAsia="宋体"/>
                <w:color w:val="auto"/>
                <w:szCs w:val="24"/>
              </w:rPr>
            </w:pPr>
          </w:p>
        </w:tc>
        <w:tc>
          <w:tcPr>
            <w:tcW w:w="568" w:type="pct"/>
            <w:vMerge w:val="continue"/>
            <w:noWrap w:val="0"/>
            <w:vAlign w:val="center"/>
          </w:tcPr>
          <w:p>
            <w:pPr>
              <w:pStyle w:val="2"/>
              <w:spacing w:line="420" w:lineRule="exact"/>
              <w:jc w:val="center"/>
              <w:rPr>
                <w:rFonts w:hint="default" w:ascii="Times New Roman" w:hAnsi="Times New Roman" w:eastAsia="宋体"/>
                <w:color w:val="auto"/>
                <w:szCs w:val="24"/>
              </w:rPr>
            </w:pPr>
          </w:p>
        </w:tc>
        <w:tc>
          <w:tcPr>
            <w:tcW w:w="582" w:type="pct"/>
            <w:noWrap w:val="0"/>
            <w:vAlign w:val="center"/>
          </w:tcPr>
          <w:p>
            <w:pPr>
              <w:pStyle w:val="2"/>
              <w:spacing w:line="420" w:lineRule="exact"/>
              <w:jc w:val="center"/>
              <w:rPr>
                <w:rFonts w:hint="default" w:ascii="Times New Roman" w:hAnsi="Times New Roman" w:eastAsia="宋体"/>
                <w:color w:val="auto"/>
                <w:szCs w:val="24"/>
                <w:lang w:bidi="ar"/>
              </w:rPr>
            </w:pPr>
            <w:r>
              <w:rPr>
                <w:rFonts w:hint="default" w:ascii="Times New Roman" w:hAnsi="Times New Roman" w:eastAsia="宋体"/>
                <w:color w:val="auto"/>
                <w:szCs w:val="24"/>
                <w:lang w:bidi="ar"/>
              </w:rPr>
              <w:t>测试</w:t>
            </w:r>
          </w:p>
        </w:tc>
        <w:tc>
          <w:tcPr>
            <w:tcW w:w="914" w:type="pct"/>
            <w:noWrap w:val="0"/>
            <w:vAlign w:val="center"/>
          </w:tcPr>
          <w:p>
            <w:pPr>
              <w:pStyle w:val="2"/>
              <w:spacing w:line="420" w:lineRule="exact"/>
              <w:jc w:val="center"/>
              <w:rPr>
                <w:rFonts w:hint="default" w:ascii="Times New Roman" w:hAnsi="Times New Roman" w:eastAsia="宋体"/>
                <w:color w:val="auto"/>
                <w:szCs w:val="24"/>
                <w:lang w:bidi="ar"/>
              </w:rPr>
            </w:pPr>
          </w:p>
        </w:tc>
        <w:tc>
          <w:tcPr>
            <w:tcW w:w="997" w:type="pct"/>
            <w:noWrap w:val="0"/>
            <w:vAlign w:val="center"/>
          </w:tcPr>
          <w:p>
            <w:pPr>
              <w:pStyle w:val="2"/>
              <w:spacing w:line="420" w:lineRule="exact"/>
              <w:jc w:val="center"/>
              <w:rPr>
                <w:rFonts w:hint="default" w:ascii="Times New Roman" w:hAnsi="Times New Roman" w:eastAsia="宋体"/>
                <w:color w:val="auto"/>
                <w:szCs w:val="24"/>
                <w:lang w:bidi="ar"/>
              </w:rPr>
            </w:pPr>
          </w:p>
        </w:tc>
        <w:tc>
          <w:tcPr>
            <w:tcW w:w="1494" w:type="pct"/>
            <w:vMerge w:val="continue"/>
            <w:noWrap w:val="0"/>
            <w:vAlign w:val="center"/>
          </w:tcPr>
          <w:p>
            <w:pPr>
              <w:pStyle w:val="2"/>
              <w:spacing w:line="420" w:lineRule="exact"/>
              <w:rPr>
                <w:rFonts w:hint="default" w:ascii="Times New Roman" w:hAnsi="Times New Roman" w:eastAsia="宋体"/>
                <w:color w:val="auto"/>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47" w:hRule="atLeast"/>
        </w:trPr>
        <w:tc>
          <w:tcPr>
            <w:tcW w:w="445" w:type="pct"/>
            <w:vMerge w:val="restart"/>
            <w:noWrap w:val="0"/>
            <w:vAlign w:val="center"/>
          </w:tcPr>
          <w:p>
            <w:pPr>
              <w:pStyle w:val="2"/>
              <w:spacing w:line="420" w:lineRule="exact"/>
              <w:jc w:val="center"/>
              <w:rPr>
                <w:rFonts w:hint="default" w:ascii="Times New Roman" w:hAnsi="Times New Roman" w:eastAsia="宋体"/>
                <w:color w:val="auto"/>
                <w:szCs w:val="24"/>
              </w:rPr>
            </w:pPr>
            <w:r>
              <w:rPr>
                <w:rFonts w:hint="default" w:ascii="Times New Roman" w:hAnsi="Times New Roman" w:eastAsia="宋体"/>
                <w:color w:val="auto"/>
                <w:szCs w:val="24"/>
              </w:rPr>
              <w:t>举例2</w:t>
            </w:r>
          </w:p>
        </w:tc>
        <w:tc>
          <w:tcPr>
            <w:tcW w:w="568" w:type="pct"/>
            <w:vMerge w:val="restart"/>
            <w:noWrap w:val="0"/>
            <w:vAlign w:val="center"/>
          </w:tcPr>
          <w:p>
            <w:pPr>
              <w:pStyle w:val="2"/>
              <w:spacing w:line="420" w:lineRule="exact"/>
              <w:jc w:val="center"/>
              <w:rPr>
                <w:rFonts w:hint="default" w:ascii="Times New Roman" w:hAnsi="Times New Roman" w:eastAsia="宋体"/>
                <w:color w:val="auto"/>
                <w:szCs w:val="24"/>
                <w:lang w:bidi="ar"/>
              </w:rPr>
            </w:pPr>
            <w:r>
              <w:rPr>
                <w:rFonts w:hint="default" w:ascii="Times New Roman" w:hAnsi="Times New Roman" w:eastAsia="宋体"/>
                <w:color w:val="auto"/>
                <w:szCs w:val="24"/>
              </w:rPr>
              <w:t>尿素</w:t>
            </w:r>
          </w:p>
        </w:tc>
        <w:tc>
          <w:tcPr>
            <w:tcW w:w="582" w:type="pct"/>
            <w:noWrap w:val="0"/>
            <w:vAlign w:val="center"/>
          </w:tcPr>
          <w:p>
            <w:pPr>
              <w:pStyle w:val="2"/>
              <w:spacing w:line="420" w:lineRule="exact"/>
              <w:jc w:val="center"/>
              <w:rPr>
                <w:rFonts w:hint="default" w:ascii="Times New Roman" w:hAnsi="Times New Roman" w:eastAsia="宋体"/>
                <w:color w:val="auto"/>
                <w:szCs w:val="24"/>
                <w:lang w:bidi="ar"/>
              </w:rPr>
            </w:pPr>
            <w:r>
              <w:rPr>
                <w:rFonts w:hint="default" w:ascii="Times New Roman" w:hAnsi="Times New Roman" w:eastAsia="宋体"/>
                <w:color w:val="auto"/>
                <w:szCs w:val="24"/>
                <w:lang w:bidi="ar"/>
              </w:rPr>
              <w:t>ml</w:t>
            </w:r>
          </w:p>
        </w:tc>
        <w:tc>
          <w:tcPr>
            <w:tcW w:w="914" w:type="pct"/>
            <w:noWrap w:val="0"/>
            <w:vAlign w:val="center"/>
          </w:tcPr>
          <w:p>
            <w:pPr>
              <w:pStyle w:val="2"/>
              <w:spacing w:line="420" w:lineRule="exact"/>
              <w:jc w:val="center"/>
              <w:rPr>
                <w:rFonts w:hint="default" w:ascii="Times New Roman" w:hAnsi="Times New Roman" w:eastAsia="宋体"/>
                <w:color w:val="auto"/>
                <w:szCs w:val="24"/>
                <w:lang w:bidi="ar"/>
              </w:rPr>
            </w:pPr>
            <w:r>
              <w:rPr>
                <w:rFonts w:hint="default" w:ascii="Times New Roman" w:hAnsi="Times New Roman" w:eastAsia="宋体"/>
                <w:color w:val="auto"/>
                <w:szCs w:val="24"/>
                <w:lang w:bidi="ar"/>
              </w:rPr>
              <w:t>0.1234</w:t>
            </w:r>
          </w:p>
        </w:tc>
        <w:tc>
          <w:tcPr>
            <w:tcW w:w="997" w:type="pct"/>
            <w:noWrap w:val="0"/>
            <w:vAlign w:val="center"/>
          </w:tcPr>
          <w:p>
            <w:pPr>
              <w:pStyle w:val="2"/>
              <w:spacing w:line="420" w:lineRule="exact"/>
              <w:jc w:val="center"/>
              <w:rPr>
                <w:rFonts w:hint="default" w:ascii="Times New Roman" w:hAnsi="Times New Roman" w:eastAsia="宋体"/>
                <w:color w:val="auto"/>
                <w:szCs w:val="24"/>
                <w:lang w:bidi="ar"/>
              </w:rPr>
            </w:pPr>
            <w:r>
              <w:rPr>
                <w:rFonts w:hint="default" w:ascii="Times New Roman" w:hAnsi="Times New Roman" w:eastAsia="宋体"/>
                <w:color w:val="auto"/>
                <w:szCs w:val="24"/>
                <w:lang w:bidi="ar"/>
              </w:rPr>
              <w:t>零点壹贰叁肆</w:t>
            </w:r>
          </w:p>
        </w:tc>
        <w:tc>
          <w:tcPr>
            <w:tcW w:w="1494" w:type="pct"/>
            <w:vMerge w:val="restart"/>
            <w:noWrap w:val="0"/>
            <w:vAlign w:val="center"/>
          </w:tcPr>
          <w:p>
            <w:pPr>
              <w:pStyle w:val="2"/>
              <w:spacing w:line="420" w:lineRule="exact"/>
              <w:rPr>
                <w:rFonts w:hint="default" w:ascii="Times New Roman" w:hAnsi="Times New Roman" w:eastAsia="宋体"/>
                <w:color w:val="auto"/>
                <w:szCs w:val="24"/>
                <w:lang w:bidi="ar"/>
              </w:rPr>
            </w:pPr>
            <w:r>
              <w:rPr>
                <w:rFonts w:hint="default" w:ascii="Times New Roman" w:hAnsi="Times New Roman" w:eastAsia="宋体"/>
                <w:color w:val="auto"/>
                <w:szCs w:val="24"/>
                <w:lang w:bidi="ar"/>
              </w:rPr>
              <w:t>国械注进20232400001</w:t>
            </w:r>
          </w:p>
          <w:p>
            <w:pPr>
              <w:pStyle w:val="2"/>
              <w:spacing w:line="420" w:lineRule="exact"/>
              <w:rPr>
                <w:rFonts w:hint="default" w:ascii="Times New Roman" w:hAnsi="Times New Roman" w:eastAsia="宋体"/>
                <w:color w:val="auto"/>
                <w:szCs w:val="24"/>
                <w:lang w:bidi="ar"/>
              </w:rPr>
            </w:pPr>
            <w:r>
              <w:rPr>
                <w:rFonts w:hint="default" w:ascii="Times New Roman" w:hAnsi="Times New Roman" w:eastAsia="宋体"/>
                <w:color w:val="auto"/>
                <w:szCs w:val="24"/>
                <w:lang w:bidi="ar"/>
              </w:rPr>
              <w:t>国械注进20232400002</w:t>
            </w:r>
          </w:p>
          <w:p>
            <w:pPr>
              <w:pStyle w:val="2"/>
              <w:spacing w:line="420" w:lineRule="exact"/>
              <w:rPr>
                <w:rFonts w:hint="default" w:ascii="Times New Roman" w:hAnsi="Times New Roman" w:eastAsia="宋体"/>
                <w:color w:val="auto"/>
                <w:szCs w:val="24"/>
                <w:lang w:bidi="ar"/>
              </w:rPr>
            </w:pPr>
            <w:r>
              <w:rPr>
                <w:rFonts w:hint="default" w:ascii="Times New Roman" w:hAnsi="Times New Roman" w:eastAsia="宋体"/>
                <w:color w:val="auto"/>
                <w:szCs w:val="24"/>
                <w:lang w:bidi="ar"/>
              </w:rPr>
              <w:t>国械注进20232400003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9" w:hRule="atLeast"/>
        </w:trPr>
        <w:tc>
          <w:tcPr>
            <w:tcW w:w="445" w:type="pct"/>
            <w:vMerge w:val="continue"/>
            <w:noWrap w:val="0"/>
            <w:vAlign w:val="center"/>
          </w:tcPr>
          <w:p>
            <w:pPr>
              <w:pStyle w:val="2"/>
              <w:spacing w:line="420" w:lineRule="exact"/>
              <w:jc w:val="center"/>
              <w:rPr>
                <w:rFonts w:hint="default" w:ascii="Times New Roman" w:hAnsi="Times New Roman" w:eastAsia="宋体"/>
                <w:color w:val="auto"/>
                <w:szCs w:val="24"/>
              </w:rPr>
            </w:pPr>
          </w:p>
        </w:tc>
        <w:tc>
          <w:tcPr>
            <w:tcW w:w="568" w:type="pct"/>
            <w:vMerge w:val="continue"/>
            <w:noWrap w:val="0"/>
            <w:vAlign w:val="center"/>
          </w:tcPr>
          <w:p>
            <w:pPr>
              <w:pStyle w:val="2"/>
              <w:spacing w:line="420" w:lineRule="exact"/>
              <w:jc w:val="center"/>
              <w:rPr>
                <w:rFonts w:hint="default" w:ascii="Times New Roman" w:hAnsi="Times New Roman" w:eastAsia="宋体"/>
                <w:color w:val="auto"/>
                <w:szCs w:val="24"/>
              </w:rPr>
            </w:pPr>
          </w:p>
        </w:tc>
        <w:tc>
          <w:tcPr>
            <w:tcW w:w="582" w:type="pct"/>
            <w:noWrap w:val="0"/>
            <w:vAlign w:val="center"/>
          </w:tcPr>
          <w:p>
            <w:pPr>
              <w:pStyle w:val="2"/>
              <w:spacing w:line="420" w:lineRule="exact"/>
              <w:jc w:val="center"/>
              <w:rPr>
                <w:rFonts w:hint="default" w:ascii="Times New Roman" w:hAnsi="Times New Roman" w:eastAsia="宋体"/>
                <w:color w:val="auto"/>
                <w:szCs w:val="24"/>
                <w:lang w:bidi="ar"/>
              </w:rPr>
            </w:pPr>
            <w:r>
              <w:rPr>
                <w:rFonts w:hint="default" w:ascii="Times New Roman" w:hAnsi="Times New Roman" w:eastAsia="宋体"/>
                <w:color w:val="auto"/>
                <w:szCs w:val="24"/>
                <w:lang w:bidi="ar"/>
              </w:rPr>
              <w:t>测试</w:t>
            </w:r>
          </w:p>
        </w:tc>
        <w:tc>
          <w:tcPr>
            <w:tcW w:w="914" w:type="pct"/>
            <w:noWrap w:val="0"/>
            <w:vAlign w:val="center"/>
          </w:tcPr>
          <w:p>
            <w:pPr>
              <w:pStyle w:val="2"/>
              <w:spacing w:line="420" w:lineRule="exact"/>
              <w:jc w:val="center"/>
              <w:rPr>
                <w:rFonts w:hint="default" w:ascii="Times New Roman" w:hAnsi="Times New Roman" w:eastAsia="宋体"/>
                <w:color w:val="auto"/>
                <w:szCs w:val="24"/>
                <w:lang w:bidi="ar"/>
              </w:rPr>
            </w:pPr>
            <w:r>
              <w:rPr>
                <w:rFonts w:hint="default" w:ascii="Times New Roman" w:hAnsi="Times New Roman" w:eastAsia="宋体"/>
                <w:color w:val="auto"/>
                <w:szCs w:val="24"/>
                <w:lang w:bidi="ar"/>
              </w:rPr>
              <w:t>0.0530</w:t>
            </w:r>
          </w:p>
        </w:tc>
        <w:tc>
          <w:tcPr>
            <w:tcW w:w="997" w:type="pct"/>
            <w:noWrap w:val="0"/>
            <w:vAlign w:val="center"/>
          </w:tcPr>
          <w:p>
            <w:pPr>
              <w:pStyle w:val="2"/>
              <w:spacing w:line="420" w:lineRule="exact"/>
              <w:jc w:val="center"/>
              <w:rPr>
                <w:rFonts w:hint="default" w:ascii="Times New Roman" w:hAnsi="Times New Roman" w:eastAsia="宋体"/>
                <w:color w:val="auto"/>
                <w:szCs w:val="24"/>
                <w:lang w:bidi="ar"/>
              </w:rPr>
            </w:pPr>
            <w:r>
              <w:rPr>
                <w:rFonts w:hint="default" w:ascii="Times New Roman" w:hAnsi="Times New Roman" w:eastAsia="宋体"/>
                <w:color w:val="auto"/>
                <w:szCs w:val="24"/>
                <w:lang w:bidi="ar"/>
              </w:rPr>
              <w:t>零点零伍贰</w:t>
            </w:r>
          </w:p>
        </w:tc>
        <w:tc>
          <w:tcPr>
            <w:tcW w:w="1494" w:type="pct"/>
            <w:vMerge w:val="continue"/>
            <w:noWrap w:val="0"/>
            <w:vAlign w:val="center"/>
          </w:tcPr>
          <w:p>
            <w:pPr>
              <w:pStyle w:val="2"/>
              <w:spacing w:line="420" w:lineRule="exact"/>
              <w:rPr>
                <w:rFonts w:hint="default" w:ascii="Times New Roman" w:hAnsi="Times New Roman" w:eastAsia="宋体"/>
                <w:color w:val="auto"/>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56" w:hRule="atLeast"/>
        </w:trPr>
        <w:tc>
          <w:tcPr>
            <w:tcW w:w="445" w:type="pct"/>
            <w:vMerge w:val="restart"/>
            <w:noWrap w:val="0"/>
            <w:vAlign w:val="center"/>
          </w:tcPr>
          <w:p>
            <w:pPr>
              <w:pStyle w:val="2"/>
              <w:spacing w:line="420" w:lineRule="exact"/>
              <w:jc w:val="center"/>
              <w:rPr>
                <w:rFonts w:hint="default" w:ascii="Times New Roman" w:hAnsi="Times New Roman" w:eastAsia="宋体"/>
                <w:color w:val="auto"/>
                <w:szCs w:val="24"/>
              </w:rPr>
            </w:pPr>
          </w:p>
        </w:tc>
        <w:tc>
          <w:tcPr>
            <w:tcW w:w="568" w:type="pct"/>
            <w:vMerge w:val="restart"/>
            <w:noWrap w:val="0"/>
            <w:vAlign w:val="center"/>
          </w:tcPr>
          <w:p>
            <w:pPr>
              <w:pStyle w:val="2"/>
              <w:spacing w:line="420" w:lineRule="exact"/>
              <w:jc w:val="center"/>
              <w:rPr>
                <w:rFonts w:hint="default" w:ascii="Times New Roman" w:hAnsi="Times New Roman" w:eastAsia="宋体"/>
                <w:color w:val="auto"/>
                <w:szCs w:val="24"/>
              </w:rPr>
            </w:pPr>
          </w:p>
        </w:tc>
        <w:tc>
          <w:tcPr>
            <w:tcW w:w="582" w:type="pct"/>
            <w:noWrap w:val="0"/>
            <w:vAlign w:val="center"/>
          </w:tcPr>
          <w:p>
            <w:pPr>
              <w:pStyle w:val="2"/>
              <w:spacing w:line="420" w:lineRule="exact"/>
              <w:jc w:val="center"/>
              <w:rPr>
                <w:rFonts w:hint="default" w:ascii="Times New Roman" w:hAnsi="Times New Roman" w:eastAsia="宋体"/>
                <w:color w:val="auto"/>
                <w:szCs w:val="24"/>
                <w:lang w:bidi="ar"/>
              </w:rPr>
            </w:pPr>
            <w:r>
              <w:rPr>
                <w:rFonts w:hint="default" w:ascii="Times New Roman" w:hAnsi="Times New Roman" w:eastAsia="宋体"/>
                <w:color w:val="auto"/>
                <w:szCs w:val="24"/>
                <w:lang w:bidi="ar"/>
              </w:rPr>
              <w:t>ml</w:t>
            </w:r>
          </w:p>
        </w:tc>
        <w:tc>
          <w:tcPr>
            <w:tcW w:w="914" w:type="pct"/>
            <w:noWrap w:val="0"/>
            <w:vAlign w:val="center"/>
          </w:tcPr>
          <w:p>
            <w:pPr>
              <w:pStyle w:val="2"/>
              <w:spacing w:line="420" w:lineRule="exact"/>
              <w:jc w:val="center"/>
              <w:rPr>
                <w:rFonts w:hint="default" w:ascii="Times New Roman" w:hAnsi="Times New Roman" w:eastAsia="宋体"/>
                <w:color w:val="auto"/>
                <w:szCs w:val="24"/>
                <w:lang w:bidi="ar"/>
              </w:rPr>
            </w:pPr>
          </w:p>
        </w:tc>
        <w:tc>
          <w:tcPr>
            <w:tcW w:w="997" w:type="pct"/>
            <w:noWrap w:val="0"/>
            <w:vAlign w:val="center"/>
          </w:tcPr>
          <w:p>
            <w:pPr>
              <w:pStyle w:val="2"/>
              <w:spacing w:line="420" w:lineRule="exact"/>
              <w:jc w:val="center"/>
              <w:rPr>
                <w:rFonts w:hint="default" w:ascii="Times New Roman" w:hAnsi="Times New Roman" w:eastAsia="宋体"/>
                <w:color w:val="auto"/>
                <w:szCs w:val="24"/>
                <w:lang w:bidi="ar"/>
              </w:rPr>
            </w:pPr>
          </w:p>
        </w:tc>
        <w:tc>
          <w:tcPr>
            <w:tcW w:w="1494" w:type="pct"/>
            <w:vMerge w:val="restart"/>
            <w:noWrap w:val="0"/>
            <w:vAlign w:val="center"/>
          </w:tcPr>
          <w:p>
            <w:pPr>
              <w:pStyle w:val="2"/>
              <w:spacing w:line="420" w:lineRule="exact"/>
              <w:rPr>
                <w:rFonts w:hint="default" w:ascii="Times New Roman" w:hAnsi="Times New Roman" w:eastAsia="宋体"/>
                <w:color w:val="auto"/>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00" w:hRule="atLeast"/>
        </w:trPr>
        <w:tc>
          <w:tcPr>
            <w:tcW w:w="445" w:type="pct"/>
            <w:vMerge w:val="continue"/>
            <w:noWrap w:val="0"/>
            <w:vAlign w:val="center"/>
          </w:tcPr>
          <w:p>
            <w:pPr>
              <w:pStyle w:val="2"/>
              <w:spacing w:line="420" w:lineRule="exact"/>
              <w:jc w:val="center"/>
              <w:rPr>
                <w:rFonts w:hint="default" w:ascii="Times New Roman" w:hAnsi="Times New Roman" w:eastAsia="宋体"/>
                <w:color w:val="auto"/>
                <w:szCs w:val="24"/>
              </w:rPr>
            </w:pPr>
          </w:p>
        </w:tc>
        <w:tc>
          <w:tcPr>
            <w:tcW w:w="568" w:type="pct"/>
            <w:vMerge w:val="continue"/>
            <w:noWrap w:val="0"/>
            <w:vAlign w:val="center"/>
          </w:tcPr>
          <w:p>
            <w:pPr>
              <w:pStyle w:val="2"/>
              <w:spacing w:line="420" w:lineRule="exact"/>
              <w:jc w:val="center"/>
              <w:rPr>
                <w:rFonts w:hint="default" w:ascii="Times New Roman" w:hAnsi="Times New Roman" w:eastAsia="宋体"/>
                <w:color w:val="auto"/>
                <w:szCs w:val="24"/>
              </w:rPr>
            </w:pPr>
          </w:p>
        </w:tc>
        <w:tc>
          <w:tcPr>
            <w:tcW w:w="582" w:type="pct"/>
            <w:noWrap w:val="0"/>
            <w:vAlign w:val="center"/>
          </w:tcPr>
          <w:p>
            <w:pPr>
              <w:pStyle w:val="2"/>
              <w:spacing w:line="420" w:lineRule="exact"/>
              <w:jc w:val="center"/>
              <w:rPr>
                <w:rFonts w:hint="default" w:ascii="Times New Roman" w:hAnsi="Times New Roman" w:eastAsia="宋体"/>
                <w:color w:val="auto"/>
                <w:szCs w:val="24"/>
                <w:lang w:bidi="ar"/>
              </w:rPr>
            </w:pPr>
            <w:r>
              <w:rPr>
                <w:rFonts w:hint="default" w:ascii="Times New Roman" w:hAnsi="Times New Roman" w:eastAsia="宋体"/>
                <w:color w:val="auto"/>
                <w:szCs w:val="24"/>
                <w:lang w:bidi="ar"/>
              </w:rPr>
              <w:t>测试</w:t>
            </w:r>
          </w:p>
        </w:tc>
        <w:tc>
          <w:tcPr>
            <w:tcW w:w="914" w:type="pct"/>
            <w:noWrap w:val="0"/>
            <w:vAlign w:val="center"/>
          </w:tcPr>
          <w:p>
            <w:pPr>
              <w:pStyle w:val="2"/>
              <w:spacing w:line="420" w:lineRule="exact"/>
              <w:jc w:val="center"/>
              <w:rPr>
                <w:rFonts w:hint="default" w:ascii="Times New Roman" w:hAnsi="Times New Roman" w:eastAsia="宋体"/>
                <w:color w:val="auto"/>
                <w:szCs w:val="24"/>
                <w:lang w:bidi="ar"/>
              </w:rPr>
            </w:pPr>
          </w:p>
        </w:tc>
        <w:tc>
          <w:tcPr>
            <w:tcW w:w="997" w:type="pct"/>
            <w:noWrap w:val="0"/>
            <w:vAlign w:val="center"/>
          </w:tcPr>
          <w:p>
            <w:pPr>
              <w:pStyle w:val="2"/>
              <w:spacing w:line="420" w:lineRule="exact"/>
              <w:jc w:val="center"/>
              <w:rPr>
                <w:rFonts w:hint="default" w:ascii="Times New Roman" w:hAnsi="Times New Roman" w:eastAsia="宋体"/>
                <w:color w:val="auto"/>
                <w:szCs w:val="24"/>
                <w:lang w:bidi="ar"/>
              </w:rPr>
            </w:pPr>
          </w:p>
        </w:tc>
        <w:tc>
          <w:tcPr>
            <w:tcW w:w="1494" w:type="pct"/>
            <w:vMerge w:val="continue"/>
            <w:noWrap w:val="0"/>
            <w:vAlign w:val="center"/>
          </w:tcPr>
          <w:p>
            <w:pPr>
              <w:pStyle w:val="2"/>
              <w:spacing w:line="420" w:lineRule="exact"/>
              <w:jc w:val="center"/>
              <w:rPr>
                <w:rFonts w:hint="default" w:ascii="Times New Roman" w:hAnsi="Times New Roman" w:eastAsia="宋体"/>
                <w:color w:val="auto"/>
                <w:szCs w:val="24"/>
                <w:lang w:bidi="ar"/>
              </w:rPr>
            </w:pPr>
          </w:p>
        </w:tc>
      </w:tr>
    </w:tbl>
    <w:p>
      <w:pPr>
        <w:autoSpaceDE w:val="0"/>
        <w:autoSpaceDN w:val="0"/>
        <w:adjustRightInd w:val="0"/>
        <w:spacing w:line="600" w:lineRule="exact"/>
        <w:ind w:firstLine="640" w:firstLineChars="200"/>
        <w:jc w:val="left"/>
        <w:rPr>
          <w:rFonts w:hint="eastAsia" w:ascii="仿宋_GB2312" w:hAnsi="宋体" w:eastAsia="仿宋_GB2312" w:cs="仿宋_GB2312"/>
          <w:color w:val="auto"/>
          <w:sz w:val="32"/>
          <w:szCs w:val="32"/>
          <w:lang w:bidi="ar"/>
        </w:rPr>
      </w:pPr>
      <w:r>
        <w:rPr>
          <w:rFonts w:hint="eastAsia" w:ascii="仿宋_GB2312" w:hAnsi="宋体" w:eastAsia="仿宋_GB2312" w:cs="仿宋_GB2312"/>
          <w:color w:val="auto"/>
          <w:sz w:val="32"/>
          <w:szCs w:val="32"/>
          <w:lang w:bidi="ar"/>
        </w:rPr>
        <w:t>填写说明</w:t>
      </w:r>
      <w:r>
        <w:rPr>
          <w:rFonts w:ascii="仿宋_GB2312" w:hAnsi="宋体" w:eastAsia="仿宋_GB2312" w:cs="仿宋_GB2312"/>
          <w:color w:val="auto"/>
          <w:sz w:val="32"/>
          <w:szCs w:val="32"/>
          <w:lang w:bidi="ar"/>
        </w:rPr>
        <w:t>：</w:t>
      </w:r>
    </w:p>
    <w:p>
      <w:pPr>
        <w:autoSpaceDE w:val="0"/>
        <w:autoSpaceDN w:val="0"/>
        <w:adjustRightInd w:val="0"/>
        <w:spacing w:line="600" w:lineRule="exact"/>
        <w:ind w:firstLine="640" w:firstLineChars="200"/>
        <w:jc w:val="left"/>
        <w:rPr>
          <w:rFonts w:hint="eastAsia" w:ascii="仿宋_GB2312" w:eastAsia="仿宋_GB2312"/>
          <w:color w:val="auto"/>
          <w:kern w:val="0"/>
          <w:sz w:val="32"/>
          <w:szCs w:val="22"/>
        </w:rPr>
      </w:pPr>
      <w:r>
        <w:rPr>
          <w:rFonts w:hint="eastAsia" w:ascii="仿宋_GB2312" w:eastAsia="仿宋_GB2312"/>
          <w:color w:val="auto"/>
          <w:kern w:val="0"/>
          <w:sz w:val="32"/>
          <w:szCs w:val="22"/>
        </w:rPr>
        <w:t>1.同品种有多个注册备案号时，将注册备案号填写在“注册备案号”一栏内，可以用逗号隔开，也可以在单元格内换行。</w:t>
      </w:r>
    </w:p>
    <w:p>
      <w:pPr>
        <w:autoSpaceDE w:val="0"/>
        <w:autoSpaceDN w:val="0"/>
        <w:adjustRightInd w:val="0"/>
        <w:spacing w:line="600" w:lineRule="exact"/>
        <w:ind w:firstLine="640" w:firstLineChars="200"/>
        <w:jc w:val="left"/>
        <w:rPr>
          <w:rFonts w:hint="eastAsia" w:ascii="仿宋_GB2312" w:eastAsia="仿宋_GB2312"/>
          <w:color w:val="auto"/>
          <w:kern w:val="0"/>
          <w:sz w:val="32"/>
          <w:szCs w:val="22"/>
        </w:rPr>
      </w:pPr>
      <w:r>
        <w:rPr>
          <w:rFonts w:hint="eastAsia" w:ascii="仿宋_GB2312" w:eastAsia="仿宋_GB2312"/>
          <w:color w:val="auto"/>
          <w:kern w:val="0"/>
          <w:sz w:val="32"/>
          <w:szCs w:val="22"/>
        </w:rPr>
        <w:t>2.按照包装计量单位申报价格，以人民币填报，单位为“元”，报价保留至小数点后4位。报价超过4位的，四舍五入取至小数点后4位。报价（小写）与报价（大写）有空项或不一致时，该报价单元视为无效报价。</w:t>
      </w:r>
    </w:p>
    <w:p>
      <w:pPr>
        <w:autoSpaceDE w:val="0"/>
        <w:autoSpaceDN w:val="0"/>
        <w:adjustRightInd w:val="0"/>
        <w:spacing w:line="600" w:lineRule="exact"/>
        <w:ind w:firstLine="640" w:firstLineChars="200"/>
        <w:jc w:val="left"/>
        <w:rPr>
          <w:rFonts w:hint="eastAsia" w:ascii="仿宋_GB2312" w:eastAsia="仿宋_GB2312"/>
          <w:color w:val="auto"/>
          <w:kern w:val="0"/>
          <w:sz w:val="32"/>
          <w:szCs w:val="22"/>
        </w:rPr>
      </w:pPr>
      <w:r>
        <w:rPr>
          <w:rFonts w:hint="eastAsia" w:ascii="仿宋_GB2312" w:eastAsia="仿宋_GB2312"/>
          <w:color w:val="auto"/>
          <w:kern w:val="0"/>
          <w:sz w:val="32"/>
          <w:szCs w:val="22"/>
        </w:rPr>
        <w:t>3.根据企业填报产品信息的包装计量单位，将一个注册证内的各个包装规格进行分组，有的进“ml”组，有的进“测试”两组。如果企业只有“ml”组的产品，只需要填报“ml”报价，“测试”的报价无效；如果企业只有“测试”组的产品，只需要填报“测试”报价，“ml”的报价无效。</w:t>
      </w:r>
    </w:p>
    <w:p>
      <w:pPr>
        <w:autoSpaceDE w:val="0"/>
        <w:autoSpaceDN w:val="0"/>
        <w:adjustRightInd w:val="0"/>
        <w:spacing w:line="600" w:lineRule="exact"/>
        <w:ind w:firstLine="640" w:firstLineChars="200"/>
        <w:jc w:val="left"/>
        <w:rPr>
          <w:rFonts w:hint="eastAsia" w:ascii="仿宋_GB2312" w:eastAsia="仿宋_GB2312"/>
          <w:color w:val="auto"/>
          <w:kern w:val="0"/>
          <w:sz w:val="32"/>
          <w:szCs w:val="22"/>
        </w:rPr>
      </w:pPr>
      <w:r>
        <w:rPr>
          <w:rFonts w:hint="eastAsia" w:ascii="仿宋_GB2312" w:eastAsia="仿宋_GB2312"/>
          <w:color w:val="auto"/>
          <w:kern w:val="0"/>
          <w:sz w:val="32"/>
          <w:szCs w:val="22"/>
        </w:rPr>
        <w:t>4.申报信息公开日之前，如企业不存在相应包装计量单位的产品，其相应包装计量单位的申报价格视为无效报价。</w:t>
      </w:r>
    </w:p>
    <w:p>
      <w:pPr>
        <w:pStyle w:val="2"/>
        <w:spacing w:line="600" w:lineRule="exact"/>
        <w:ind w:firstLine="640" w:firstLineChars="200"/>
        <w:rPr>
          <w:rFonts w:hint="default" w:ascii="仿宋_GB2312" w:hAnsi="Times New Roman" w:eastAsia="仿宋_GB2312"/>
          <w:color w:val="auto"/>
          <w:sz w:val="32"/>
        </w:rPr>
      </w:pPr>
      <w:r>
        <w:rPr>
          <w:rFonts w:ascii="仿宋_GB2312" w:hAnsi="Times New Roman" w:eastAsia="仿宋_GB2312"/>
          <w:color w:val="auto"/>
          <w:sz w:val="32"/>
        </w:rPr>
        <w:t>5.因擅自修改《申报信息一览表》格式等情况，导致申报信息不准确、不清晰，</w:t>
      </w:r>
      <w:r>
        <w:rPr>
          <w:rFonts w:hint="eastAsia" w:ascii="仿宋_GB2312" w:hAnsi="Times New Roman" w:eastAsia="仿宋_GB2312"/>
          <w:color w:val="auto"/>
          <w:sz w:val="32"/>
          <w:lang w:val="en-US" w:eastAsia="zh-CN"/>
        </w:rPr>
        <w:t>该企业申报价格视为无效报价。</w:t>
      </w:r>
    </w:p>
    <w:p>
      <w:pPr>
        <w:spacing w:line="600" w:lineRule="exact"/>
        <w:ind w:firstLine="640" w:firstLineChars="200"/>
        <w:jc w:val="left"/>
        <w:rPr>
          <w:rFonts w:hint="eastAsia" w:ascii="仿宋_GB2312" w:eastAsia="仿宋_GB2312"/>
          <w:color w:val="auto"/>
          <w:kern w:val="0"/>
          <w:sz w:val="32"/>
          <w:szCs w:val="22"/>
        </w:rPr>
      </w:pPr>
    </w:p>
    <w:p>
      <w:pPr>
        <w:pStyle w:val="2"/>
        <w:spacing w:line="600" w:lineRule="exact"/>
        <w:ind w:firstLine="2560" w:firstLineChars="800"/>
        <w:jc w:val="both"/>
        <w:rPr>
          <w:rFonts w:ascii="仿宋_GB2312" w:hAnsi="Times New Roman" w:eastAsia="仿宋_GB2312"/>
          <w:color w:val="auto"/>
          <w:sz w:val="32"/>
        </w:rPr>
      </w:pPr>
      <w:r>
        <w:rPr>
          <w:rFonts w:ascii="仿宋_GB2312" w:hAnsi="Times New Roman" w:eastAsia="仿宋_GB2312"/>
          <w:color w:val="auto"/>
          <w:sz w:val="32"/>
        </w:rPr>
        <w:t xml:space="preserve">申报企业（盖章）：                 </w:t>
      </w:r>
    </w:p>
    <w:p>
      <w:pPr>
        <w:pStyle w:val="2"/>
        <w:spacing w:line="600" w:lineRule="exact"/>
        <w:ind w:firstLine="2550" w:firstLineChars="797"/>
        <w:rPr>
          <w:rFonts w:ascii="仿宋_GB2312" w:hAnsi="Times New Roman" w:eastAsia="仿宋_GB2312"/>
          <w:color w:val="auto"/>
          <w:sz w:val="32"/>
        </w:rPr>
      </w:pPr>
      <w:r>
        <w:rPr>
          <w:rFonts w:ascii="仿宋_GB2312" w:hAnsi="Times New Roman" w:eastAsia="仿宋_GB2312"/>
          <w:color w:val="auto"/>
          <w:sz w:val="32"/>
        </w:rPr>
        <w:t>日期：    年   月   日</w:t>
      </w:r>
    </w:p>
    <w:p>
      <w:pPr>
        <w:rPr>
          <w:color w:val="auto"/>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2040204020203"/>
    <w:charset w:val="86"/>
    <w:family w:val="auto"/>
    <w:pitch w:val="default"/>
    <w:sig w:usb0="80000287" w:usb1="2ACF001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jc w:val="center"/>
                          </w:pPr>
                          <w:r>
                            <w:fldChar w:fldCharType="begin"/>
                          </w:r>
                          <w:r>
                            <w:instrText xml:space="preserve">PAGE   \* MERGEFORMAT</w:instrText>
                          </w:r>
                          <w:r>
                            <w:fldChar w:fldCharType="separate"/>
                          </w:r>
                          <w:r>
                            <w:rPr>
                              <w:lang w:val="zh-CN"/>
                            </w:rPr>
                            <w:t>12</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AadoHJyAEAAJkDAAAOAAAAAAAA&#10;AAEAIAAAADQBAABkcnMvZTJvRG9jLnhtbFBLBQYAAAAABgAGAFkBAABuBQAAAAA=&#10;">
              <v:fill on="f" focussize="0,0"/>
              <v:stroke on="f"/>
              <v:imagedata o:title=""/>
              <o:lock v:ext="edit" aspectratio="f"/>
              <v:textbox inset="0mm,0mm,0mm,0mm" style="mso-fit-shape-to-text:t;">
                <w:txbxContent>
                  <w:p>
                    <w:pPr>
                      <w:pStyle w:val="5"/>
                      <w:jc w:val="center"/>
                    </w:pPr>
                    <w:r>
                      <w:fldChar w:fldCharType="begin"/>
                    </w:r>
                    <w:r>
                      <w:instrText xml:space="preserve">PAGE   \* MERGEFORMAT</w:instrText>
                    </w:r>
                    <w:r>
                      <w:fldChar w:fldCharType="separate"/>
                    </w:r>
                    <w:r>
                      <w:rPr>
                        <w:lang w:val="zh-CN"/>
                      </w:rPr>
                      <w:t>12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lNDM3MTZkNTE0OWY4ZmYzZTg4NDE5ZWU1YjMwZDUifQ=="/>
  </w:docVars>
  <w:rsids>
    <w:rsidRoot w:val="6806469A"/>
    <w:rsid w:val="169A17A5"/>
    <w:rsid w:val="1C672639"/>
    <w:rsid w:val="21B3336E"/>
    <w:rsid w:val="25847A9B"/>
    <w:rsid w:val="2BAF0783"/>
    <w:rsid w:val="35385B92"/>
    <w:rsid w:val="59647E36"/>
    <w:rsid w:val="6806469A"/>
    <w:rsid w:val="6D359E83"/>
    <w:rsid w:val="7E1F2B1E"/>
    <w:rsid w:val="BDFF8A7C"/>
    <w:rsid w:val="EB4996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hint="eastAsia" w:ascii="方正仿宋简体" w:hAnsi="方正仿宋简体" w:eastAsia="方正仿宋简体" w:cs="Times New Roman"/>
      <w:color w:val="000000"/>
      <w:sz w:val="24"/>
      <w:szCs w:val="22"/>
      <w:lang w:val="en-US" w:eastAsia="zh-CN" w:bidi="ar-SA"/>
    </w:rPr>
  </w:style>
  <w:style w:type="paragraph" w:styleId="3">
    <w:name w:val="annotation text"/>
    <w:basedOn w:val="1"/>
    <w:qFormat/>
    <w:uiPriority w:val="0"/>
    <w:pPr>
      <w:jc w:val="left"/>
    </w:pPr>
  </w:style>
  <w:style w:type="paragraph" w:styleId="4">
    <w:name w:val="Body Text"/>
    <w:basedOn w:val="1"/>
    <w:next w:val="1"/>
    <w:qFormat/>
    <w:uiPriority w:val="0"/>
    <w:pPr>
      <w:spacing w:before="102"/>
      <w:ind w:left="112"/>
    </w:pPr>
    <w:rPr>
      <w:rFonts w:ascii="Times New Roman" w:hAnsi="Times New Roman" w:eastAsia="宋体" w:cs="Times New Roman"/>
      <w:sz w:val="28"/>
      <w:szCs w:val="28"/>
    </w:rPr>
  </w:style>
  <w:style w:type="paragraph" w:styleId="5">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customStyle="1" w:styleId="9">
    <w:name w:val="CM1"/>
    <w:basedOn w:val="2"/>
    <w:next w:val="2"/>
    <w:qFormat/>
    <w:uiPriority w:val="0"/>
    <w:pPr>
      <w:spacing w:beforeLines="0" w:afterLines="0"/>
    </w:pPr>
    <w:rPr>
      <w:rFonts w:hint="eastAsia" w:ascii="Times New Roman" w:hAnsi="Times New Roman" w:eastAsia="宋体" w:cs="Times New Roman"/>
      <w:sz w:val="24"/>
    </w:rPr>
  </w:style>
  <w:style w:type="paragraph" w:customStyle="1" w:styleId="10">
    <w:name w:val="CM3"/>
    <w:basedOn w:val="2"/>
    <w:next w:val="2"/>
    <w:qFormat/>
    <w:uiPriority w:val="0"/>
    <w:pPr>
      <w:spacing w:beforeLines="0" w:afterLines="0" w:line="558" w:lineRule="atLeast"/>
    </w:pPr>
    <w:rPr>
      <w:rFonts w:hint="eastAsia" w:ascii="Times New Roman" w:hAnsi="Times New Roman" w:eastAsia="宋体" w:cs="Times New Roman"/>
      <w:sz w:val="24"/>
    </w:rPr>
  </w:style>
  <w:style w:type="paragraph" w:customStyle="1" w:styleId="11">
    <w:name w:val="CM4"/>
    <w:basedOn w:val="2"/>
    <w:next w:val="2"/>
    <w:qFormat/>
    <w:uiPriority w:val="0"/>
    <w:pPr>
      <w:spacing w:beforeLines="0" w:afterLines="0" w:line="560" w:lineRule="atLeast"/>
    </w:pPr>
    <w:rPr>
      <w:rFonts w:hint="eastAsia" w:ascii="Times New Roman" w:hAnsi="Times New Roman" w:eastAsia="宋体" w:cs="Times New Roman"/>
      <w:sz w:val="24"/>
    </w:rPr>
  </w:style>
  <w:style w:type="paragraph" w:customStyle="1" w:styleId="12">
    <w:name w:val="CM7"/>
    <w:basedOn w:val="2"/>
    <w:next w:val="2"/>
    <w:qFormat/>
    <w:uiPriority w:val="0"/>
    <w:pPr>
      <w:spacing w:beforeLines="0" w:afterLines="0"/>
    </w:pPr>
    <w:rPr>
      <w:rFonts w:hint="eastAsia" w:ascii="Times New Roman" w:hAnsi="Times New Roman" w:eastAsia="宋体" w:cs="Times New Roman"/>
      <w:sz w:val="24"/>
    </w:rPr>
  </w:style>
  <w:style w:type="paragraph" w:customStyle="1" w:styleId="13">
    <w:name w:val="CM6"/>
    <w:basedOn w:val="2"/>
    <w:next w:val="2"/>
    <w:qFormat/>
    <w:uiPriority w:val="0"/>
    <w:pPr>
      <w:spacing w:beforeLines="0" w:afterLines="0"/>
    </w:pPr>
    <w:rPr>
      <w:rFonts w:hint="eastAsia" w:ascii="Times New Roman" w:hAnsi="Times New Roman" w:eastAsia="宋体" w:cs="Times New Roman"/>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109</TotalTime>
  <ScaleCrop>false</ScaleCrop>
  <LinksUpToDate>false</LinksUpToDate>
  <CharactersWithSpaces>0</CharactersWithSpaces>
  <Application>WPS Office_11.8.2.1122_F1E327BC-269C-435d-A152-05C5408002CA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2023-09-22T13:27:00Z</dcterms:created>
  <dc:creator>郑美娟</dc:creator>
  <cp:lastModifiedBy>thtf</cp:lastModifiedBy>
  <cp:lastPrinted>2023-09-22T11:04:00Z</cp:lastPrinted>
  <dcterms:modified xsi:type="dcterms:W3CDTF">2023-09-22T14:41:10Z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2052-11.8.2.1122</vt:lpwstr>
  </property>
  <property fmtid="{D5CDD505-2E9C-101B-9397-08002B2CF9AE}" pid="3" name="ICV">
    <vt:lpwstr>CC7E78B4DF42478EA3FC6DF5BF0019BC_13</vt:lpwstr>
  </property>
</Properties>
</file>