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240" w:lineRule="auto"/>
        <w:ind w:left="0" w:right="0" w:firstLine="0"/>
        <w:jc w:val="left"/>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beforeLines="0" w:afterLines="0" w:line="240" w:lineRule="auto"/>
        <w:ind w:left="0" w:right="0" w:firstLine="0"/>
        <w:jc w:val="center"/>
        <w:textAlignment w:val="auto"/>
        <w:rPr>
          <w:rFonts w:hint="eastAsia" w:ascii="仿宋" w:hAnsi="仿宋" w:eastAsia="仿宋" w:cs="仿宋"/>
          <w:b/>
          <w:bCs/>
          <w:color w:val="auto"/>
          <w:sz w:val="21"/>
          <w:szCs w:val="21"/>
          <w:lang w:eastAsia="zh-CN"/>
        </w:rPr>
        <w:sectPr>
          <w:footerReference r:id="rId3" w:type="default"/>
          <w:pgSz w:w="16840" w:h="11910" w:orient="landscape"/>
          <w:pgMar w:top="1060" w:right="640" w:bottom="620" w:left="340" w:header="0" w:footer="430" w:gutter="0"/>
          <w:lnNumType w:countBy="0" w:distance="360"/>
          <w:pgNumType w:fmt="decimal" w:start="31"/>
          <w:cols w:equalWidth="0" w:num="2">
            <w:col w:w="1158" w:space="40"/>
            <w:col w:w="14662"/>
          </w:cols>
          <w:rtlGutter w:val="0"/>
          <w:docGrid w:type="lines" w:linePitch="319" w:charSpace="0"/>
        </w:sectPr>
      </w:pPr>
      <w:r>
        <w:rPr>
          <w:rFonts w:hint="eastAsia" w:ascii="方正公文小标宋" w:hAnsi="方正公文小标宋" w:eastAsia="方正公文小标宋" w:cs="方正公文小标宋"/>
          <w:b/>
          <w:bCs/>
          <w:color w:val="auto"/>
          <w:sz w:val="44"/>
          <w:szCs w:val="44"/>
          <w:lang w:eastAsia="zh-CN"/>
        </w:rPr>
        <w:t>药品</w:t>
      </w:r>
      <w:r>
        <w:rPr>
          <w:rFonts w:hint="eastAsia" w:ascii="方正公文小标宋" w:hAnsi="方正公文小标宋" w:eastAsia="方正公文小标宋" w:cs="方正公文小标宋"/>
          <w:b/>
          <w:bCs/>
          <w:color w:val="auto"/>
          <w:sz w:val="44"/>
          <w:szCs w:val="44"/>
        </w:rPr>
        <w:t>药品安全信用分级分类管理</w:t>
      </w:r>
      <w:r>
        <w:rPr>
          <w:rFonts w:hint="eastAsia" w:ascii="方正公文小标宋" w:hAnsi="方正公文小标宋" w:eastAsia="方正公文小标宋" w:cs="方正公文小标宋"/>
          <w:b/>
          <w:bCs/>
          <w:color w:val="auto"/>
          <w:sz w:val="44"/>
          <w:szCs w:val="44"/>
          <w:lang w:eastAsia="zh-CN"/>
        </w:rPr>
        <w:t>医疗器械</w:t>
      </w:r>
      <w:r>
        <w:rPr>
          <w:rFonts w:hint="eastAsia" w:ascii="方正公文小标宋" w:hAnsi="方正公文小标宋" w:eastAsia="方正公文小标宋" w:cs="方正公文小标宋"/>
          <w:b/>
          <w:bCs/>
          <w:color w:val="auto"/>
          <w:sz w:val="44"/>
          <w:szCs w:val="44"/>
        </w:rPr>
        <w:t>行政</w:t>
      </w:r>
      <w:r>
        <w:rPr>
          <w:rFonts w:hint="eastAsia" w:ascii="方正公文小标宋" w:hAnsi="方正公文小标宋" w:eastAsia="方正公文小标宋" w:cs="方正公文小标宋"/>
          <w:b/>
          <w:bCs/>
          <w:color w:val="auto"/>
          <w:sz w:val="44"/>
          <w:szCs w:val="44"/>
          <w:lang w:eastAsia="zh-CN"/>
        </w:rPr>
        <w:t>处罚</w:t>
      </w:r>
      <w:r>
        <w:rPr>
          <w:rFonts w:hint="eastAsia" w:ascii="方正公文小标宋" w:hAnsi="方正公文小标宋" w:eastAsia="方正公文小标宋" w:cs="方正公文小标宋"/>
          <w:b/>
          <w:bCs/>
          <w:color w:val="auto"/>
          <w:sz w:val="44"/>
          <w:szCs w:val="44"/>
        </w:rPr>
        <w:t>行为记分标准</w:t>
      </w:r>
    </w:p>
    <w:tbl>
      <w:tblPr>
        <w:tblStyle w:val="5"/>
        <w:tblW w:w="15053" w:type="dxa"/>
        <w:tblInd w:w="40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38"/>
        <w:gridCol w:w="6057"/>
        <w:gridCol w:w="2781"/>
        <w:gridCol w:w="681"/>
        <w:gridCol w:w="1015"/>
        <w:gridCol w:w="819"/>
        <w:gridCol w:w="877"/>
        <w:gridCol w:w="716"/>
        <w:gridCol w:w="680"/>
        <w:gridCol w:w="88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trPr>
        <w:tc>
          <w:tcPr>
            <w:tcW w:w="538"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6057"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2781"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77"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trPr>
        <w:tc>
          <w:tcPr>
            <w:tcW w:w="538"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057"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2781"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32" w:hRule="atLeast"/>
        </w:trPr>
        <w:tc>
          <w:tcPr>
            <w:tcW w:w="53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605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2"/>
                <w:w w:val="95"/>
                <w:sz w:val="21"/>
                <w:szCs w:val="21"/>
              </w:rPr>
              <w:t>生产、经营未取得医疗器械注册证的第二类、第三类</w:t>
            </w:r>
            <w:r>
              <w:rPr>
                <w:rFonts w:hint="eastAsia" w:ascii="仿宋" w:hAnsi="仿宋" w:eastAsia="仿宋" w:cs="仿宋"/>
                <w:color w:val="auto"/>
                <w:sz w:val="21"/>
                <w:szCs w:val="21"/>
              </w:rPr>
              <w:t>医疗器械的</w:t>
            </w:r>
          </w:p>
        </w:tc>
        <w:tc>
          <w:tcPr>
            <w:tcW w:w="27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八十一</w:t>
            </w:r>
            <w:r>
              <w:rPr>
                <w:rFonts w:hint="eastAsia" w:ascii="仿宋" w:hAnsi="仿宋" w:eastAsia="仿宋" w:cs="仿宋"/>
                <w:color w:val="auto"/>
                <w:sz w:val="21"/>
                <w:szCs w:val="21"/>
              </w:rPr>
              <w:t>条第</w:t>
            </w:r>
            <w:r>
              <w:rPr>
                <w:rFonts w:hint="eastAsia" w:ascii="仿宋" w:hAnsi="仿宋" w:eastAsia="仿宋" w:cs="仿宋"/>
                <w:color w:val="auto"/>
                <w:sz w:val="21"/>
                <w:szCs w:val="21"/>
                <w:lang w:eastAsia="zh-CN"/>
              </w:rPr>
              <w:t>二</w:t>
            </w:r>
            <w:r>
              <w:rPr>
                <w:rFonts w:hint="eastAsia" w:ascii="仿宋" w:hAnsi="仿宋" w:eastAsia="仿宋" w:cs="仿宋"/>
                <w:color w:val="auto"/>
                <w:sz w:val="21"/>
                <w:szCs w:val="21"/>
              </w:rPr>
              <w:t>款第一项</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01" w:hRule="atLeast"/>
        </w:trPr>
        <w:tc>
          <w:tcPr>
            <w:tcW w:w="53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605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（一）</w:t>
            </w:r>
            <w:r>
              <w:rPr>
                <w:rFonts w:hint="eastAsia" w:ascii="仿宋" w:hAnsi="仿宋" w:eastAsia="仿宋" w:cs="仿宋"/>
                <w:color w:val="auto"/>
                <w:spacing w:val="-3"/>
                <w:w w:val="95"/>
                <w:sz w:val="21"/>
                <w:szCs w:val="21"/>
              </w:rPr>
              <w:t>未经许可从事第二类、第三类医疗器械生产活</w:t>
            </w:r>
            <w:r>
              <w:rPr>
                <w:rFonts w:hint="eastAsia" w:ascii="仿宋" w:hAnsi="仿宋" w:eastAsia="仿宋" w:cs="仿宋"/>
                <w:color w:val="auto"/>
                <w:sz w:val="21"/>
                <w:szCs w:val="21"/>
              </w:rPr>
              <w:t>动的；</w:t>
            </w:r>
            <w:r>
              <w:rPr>
                <w:rFonts w:hint="eastAsia" w:ascii="仿宋" w:hAnsi="仿宋" w:eastAsia="仿宋" w:cs="仿宋"/>
                <w:color w:val="auto"/>
                <w:w w:val="95"/>
                <w:sz w:val="21"/>
                <w:szCs w:val="21"/>
              </w:rPr>
              <w:t>（二）</w:t>
            </w:r>
            <w:r>
              <w:rPr>
                <w:rFonts w:hint="eastAsia" w:ascii="仿宋" w:hAnsi="仿宋" w:eastAsia="仿宋" w:cs="仿宋"/>
                <w:color w:val="auto"/>
                <w:sz w:val="21"/>
                <w:szCs w:val="21"/>
              </w:rPr>
              <w:t>未经许可从事第三类医疗器械经营活动的；</w:t>
            </w:r>
          </w:p>
        </w:tc>
        <w:tc>
          <w:tcPr>
            <w:tcW w:w="27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Chars="0" w:right="0" w:rightChars="0"/>
              <w:jc w:val="both"/>
              <w:textAlignment w:val="auto"/>
              <w:rPr>
                <w:rFonts w:hint="eastAsia" w:ascii="仿宋" w:hAnsi="仿宋" w:eastAsia="仿宋" w:cs="仿宋"/>
                <w:color w:val="auto"/>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八十一</w:t>
            </w:r>
            <w:r>
              <w:rPr>
                <w:rFonts w:hint="eastAsia" w:ascii="仿宋" w:hAnsi="仿宋" w:eastAsia="仿宋" w:cs="仿宋"/>
                <w:color w:val="auto"/>
                <w:sz w:val="21"/>
                <w:szCs w:val="21"/>
              </w:rPr>
              <w:t>条第一款第二项</w:t>
            </w:r>
            <w:r>
              <w:rPr>
                <w:rFonts w:hint="eastAsia" w:ascii="仿宋" w:hAnsi="仿宋" w:eastAsia="仿宋" w:cs="仿宋"/>
                <w:color w:val="auto"/>
                <w:sz w:val="21"/>
                <w:szCs w:val="21"/>
                <w:lang w:eastAsia="zh-CN"/>
              </w:rPr>
              <w:t>、第三项</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05" w:hRule="atLeast"/>
        </w:trPr>
        <w:tc>
          <w:tcPr>
            <w:tcW w:w="53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w w:val="99"/>
                <w:sz w:val="21"/>
                <w:szCs w:val="21"/>
                <w:lang w:val="en-US" w:eastAsia="zh-CN"/>
              </w:rPr>
              <w:t>3</w:t>
            </w:r>
          </w:p>
        </w:tc>
        <w:tc>
          <w:tcPr>
            <w:tcW w:w="605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提供虚假资料或者采取其他欺骗手段取得医疗器械注</w:t>
            </w:r>
            <w:r>
              <w:rPr>
                <w:rFonts w:hint="eastAsia" w:ascii="仿宋" w:hAnsi="仿宋" w:eastAsia="仿宋" w:cs="仿宋"/>
                <w:color w:val="auto"/>
                <w:spacing w:val="-3"/>
                <w:w w:val="95"/>
                <w:sz w:val="21"/>
                <w:szCs w:val="21"/>
              </w:rPr>
              <w:t>册证、医疗器械生产许可证、医疗器械经营许可证等</w:t>
            </w:r>
            <w:r>
              <w:rPr>
                <w:rFonts w:hint="eastAsia" w:ascii="仿宋" w:hAnsi="仿宋" w:eastAsia="仿宋" w:cs="仿宋"/>
                <w:color w:val="auto"/>
                <w:sz w:val="21"/>
                <w:szCs w:val="21"/>
              </w:rPr>
              <w:t>许可证件的</w:t>
            </w:r>
          </w:p>
        </w:tc>
        <w:tc>
          <w:tcPr>
            <w:tcW w:w="27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Chars="0" w:right="0" w:rightChars="0"/>
              <w:jc w:val="both"/>
              <w:textAlignment w:val="auto"/>
              <w:rPr>
                <w:rFonts w:hint="eastAsia" w:ascii="仿宋" w:hAnsi="仿宋" w:eastAsia="仿宋" w:cs="仿宋"/>
                <w:color w:val="auto"/>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八十三</w:t>
            </w:r>
            <w:r>
              <w:rPr>
                <w:rFonts w:hint="eastAsia" w:ascii="仿宋" w:hAnsi="仿宋" w:eastAsia="仿宋" w:cs="仿宋"/>
                <w:color w:val="auto"/>
                <w:sz w:val="21"/>
                <w:szCs w:val="21"/>
              </w:rPr>
              <w:t>条第一款</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49" w:hRule="atLeast"/>
        </w:trPr>
        <w:tc>
          <w:tcPr>
            <w:tcW w:w="53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w w:val="99"/>
                <w:sz w:val="21"/>
                <w:szCs w:val="21"/>
                <w:lang w:val="en-US" w:eastAsia="zh-CN"/>
              </w:rPr>
            </w:pPr>
            <w:r>
              <w:rPr>
                <w:rFonts w:hint="eastAsia" w:ascii="仿宋" w:hAnsi="仿宋" w:eastAsia="仿宋" w:cs="仿宋"/>
                <w:color w:val="auto"/>
                <w:w w:val="99"/>
                <w:sz w:val="21"/>
                <w:szCs w:val="21"/>
                <w:lang w:val="en-US" w:eastAsia="zh-CN"/>
              </w:rPr>
              <w:t>4</w:t>
            </w:r>
          </w:p>
        </w:tc>
        <w:tc>
          <w:tcPr>
            <w:tcW w:w="605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jc w:val="left"/>
              <w:textAlignment w:val="auto"/>
              <w:rPr>
                <w:rFonts w:hint="eastAsia" w:ascii="仿宋" w:hAnsi="仿宋" w:eastAsia="仿宋" w:cs="仿宋"/>
                <w:color w:val="auto"/>
                <w:w w:val="95"/>
                <w:sz w:val="21"/>
                <w:szCs w:val="21"/>
              </w:rPr>
            </w:pPr>
            <w:r>
              <w:rPr>
                <w:rFonts w:hint="eastAsia" w:ascii="仿宋" w:hAnsi="仿宋" w:eastAsia="仿宋" w:cs="仿宋"/>
                <w:color w:val="auto"/>
                <w:spacing w:val="-1"/>
                <w:w w:val="95"/>
                <w:sz w:val="21"/>
                <w:szCs w:val="21"/>
              </w:rPr>
              <w:t>伪造、变造、买卖、出租、出借相关医疗器械许可证</w:t>
            </w:r>
            <w:r>
              <w:rPr>
                <w:rFonts w:hint="eastAsia" w:ascii="仿宋" w:hAnsi="仿宋" w:eastAsia="仿宋" w:cs="仿宋"/>
                <w:color w:val="auto"/>
                <w:sz w:val="21"/>
                <w:szCs w:val="21"/>
              </w:rPr>
              <w:t>件的</w:t>
            </w:r>
          </w:p>
        </w:tc>
        <w:tc>
          <w:tcPr>
            <w:tcW w:w="27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Chars="0" w:right="0" w:rightChars="0"/>
              <w:jc w:val="both"/>
              <w:textAlignment w:val="auto"/>
              <w:rPr>
                <w:rFonts w:hint="eastAsia" w:ascii="仿宋" w:hAnsi="仿宋" w:eastAsia="仿宋" w:cs="仿宋"/>
                <w:color w:val="auto"/>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八十三</w:t>
            </w:r>
            <w:r>
              <w:rPr>
                <w:rFonts w:hint="eastAsia" w:ascii="仿宋" w:hAnsi="仿宋" w:eastAsia="仿宋" w:cs="仿宋"/>
                <w:color w:val="auto"/>
                <w:sz w:val="21"/>
                <w:szCs w:val="21"/>
              </w:rPr>
              <w:t>条第二款</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23" w:hRule="atLeast"/>
        </w:trPr>
        <w:tc>
          <w:tcPr>
            <w:tcW w:w="53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w w:val="99"/>
                <w:sz w:val="21"/>
                <w:szCs w:val="21"/>
                <w:lang w:val="en-US" w:eastAsia="zh-CN"/>
              </w:rPr>
            </w:pPr>
            <w:r>
              <w:rPr>
                <w:rFonts w:hint="eastAsia" w:ascii="仿宋" w:hAnsi="仿宋" w:eastAsia="仿宋" w:cs="仿宋"/>
                <w:color w:val="auto"/>
                <w:w w:val="99"/>
                <w:sz w:val="21"/>
                <w:szCs w:val="21"/>
                <w:lang w:val="en-US" w:eastAsia="zh-CN"/>
              </w:rPr>
              <w:t>5</w:t>
            </w:r>
          </w:p>
        </w:tc>
        <w:tc>
          <w:tcPr>
            <w:tcW w:w="605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3"/>
                <w:w w:val="95"/>
                <w:sz w:val="21"/>
                <w:szCs w:val="21"/>
                <w:lang w:val="en-US" w:eastAsia="zh-CN"/>
              </w:rPr>
              <w:t>（一）生产、经营未经备案的第一类医疗器械；（二）未经备案从事第一类医疗器械生产；（三）经营第二类医疗器械，应当备案但未备案；（四）已经备案的资料不符合要求。</w:t>
            </w:r>
          </w:p>
        </w:tc>
        <w:tc>
          <w:tcPr>
            <w:tcW w:w="27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Chars="0" w:right="0" w:rightChars="0"/>
              <w:jc w:val="both"/>
              <w:textAlignment w:val="auto"/>
              <w:rPr>
                <w:rFonts w:hint="eastAsia" w:ascii="仿宋" w:hAnsi="仿宋" w:eastAsia="仿宋" w:cs="仿宋"/>
                <w:color w:val="auto"/>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八十四</w:t>
            </w:r>
            <w:r>
              <w:rPr>
                <w:rFonts w:hint="eastAsia" w:ascii="仿宋" w:hAnsi="仿宋" w:eastAsia="仿宋" w:cs="仿宋"/>
                <w:color w:val="auto"/>
                <w:sz w:val="21"/>
                <w:szCs w:val="21"/>
              </w:rPr>
              <w:t>条第</w:t>
            </w:r>
            <w:r>
              <w:rPr>
                <w:rFonts w:hint="eastAsia" w:ascii="仿宋" w:hAnsi="仿宋" w:eastAsia="仿宋" w:cs="仿宋"/>
                <w:color w:val="auto"/>
                <w:sz w:val="21"/>
                <w:szCs w:val="21"/>
                <w:lang w:eastAsia="zh-CN"/>
              </w:rPr>
              <w:t>二</w:t>
            </w:r>
            <w:r>
              <w:rPr>
                <w:rFonts w:hint="eastAsia" w:ascii="仿宋" w:hAnsi="仿宋" w:eastAsia="仿宋" w:cs="仿宋"/>
                <w:color w:val="auto"/>
                <w:sz w:val="21"/>
                <w:szCs w:val="21"/>
              </w:rPr>
              <w:t>款</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15" w:hRule="atLeast"/>
        </w:trPr>
        <w:tc>
          <w:tcPr>
            <w:tcW w:w="53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lang w:val="en-US" w:eastAsia="zh-CN"/>
              </w:rPr>
            </w:pPr>
            <w:r>
              <w:rPr>
                <w:rFonts w:hint="eastAsia" w:ascii="仿宋" w:hAnsi="仿宋" w:eastAsia="仿宋" w:cs="仿宋"/>
                <w:color w:val="auto"/>
                <w:w w:val="99"/>
                <w:sz w:val="21"/>
                <w:szCs w:val="21"/>
                <w:lang w:val="en-US" w:eastAsia="zh-CN"/>
              </w:rPr>
              <w:t>6</w:t>
            </w:r>
          </w:p>
        </w:tc>
        <w:tc>
          <w:tcPr>
            <w:tcW w:w="605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3"/>
                <w:w w:val="95"/>
                <w:sz w:val="21"/>
                <w:szCs w:val="21"/>
                <w:lang w:val="en-US" w:eastAsia="zh-CN"/>
              </w:rPr>
            </w:pPr>
            <w:r>
              <w:rPr>
                <w:rFonts w:hint="eastAsia" w:ascii="仿宋" w:hAnsi="仿宋" w:eastAsia="仿宋" w:cs="仿宋"/>
                <w:color w:val="auto"/>
                <w:sz w:val="21"/>
                <w:szCs w:val="21"/>
              </w:rPr>
              <w:t>备案时提供虚假资料的</w:t>
            </w:r>
          </w:p>
        </w:tc>
        <w:tc>
          <w:tcPr>
            <w:tcW w:w="27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0" w:leftChars="0" w:right="0" w:rightChars="0" w:firstLine="0" w:firstLineChars="0"/>
              <w:jc w:val="both"/>
              <w:textAlignment w:val="auto"/>
              <w:rPr>
                <w:rFonts w:hint="eastAsia" w:ascii="仿宋" w:hAnsi="仿宋" w:eastAsia="仿宋" w:cs="仿宋"/>
                <w:color w:val="auto"/>
                <w:spacing w:val="-2"/>
                <w:w w:val="95"/>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w:t>
            </w:r>
            <w:r>
              <w:rPr>
                <w:rFonts w:hint="eastAsia" w:ascii="仿宋" w:hAnsi="仿宋" w:eastAsia="仿宋" w:cs="仿宋"/>
                <w:color w:val="auto"/>
                <w:spacing w:val="-2"/>
                <w:w w:val="95"/>
                <w:sz w:val="21"/>
                <w:szCs w:val="21"/>
              </w:rPr>
              <w:t>十五</w:t>
            </w:r>
            <w:r>
              <w:rPr>
                <w:rFonts w:hint="eastAsia" w:ascii="仿宋" w:hAnsi="仿宋" w:eastAsia="仿宋" w:cs="仿宋"/>
                <w:color w:val="auto"/>
                <w:sz w:val="21"/>
                <w:szCs w:val="21"/>
              </w:rPr>
              <w:t>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sz w:val="21"/>
                <w:szCs w:val="21"/>
                <w:lang w:val="en-US" w:eastAsia="zh-CN"/>
              </w:rPr>
              <w:t>5</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30</w:t>
            </w: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1" w:hRule="atLeast"/>
        </w:trPr>
        <w:tc>
          <w:tcPr>
            <w:tcW w:w="53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lang w:val="en-US" w:eastAsia="zh-CN"/>
              </w:rPr>
            </w:pPr>
            <w:r>
              <w:rPr>
                <w:rFonts w:hint="eastAsia" w:ascii="仿宋" w:hAnsi="仿宋" w:eastAsia="仿宋" w:cs="仿宋"/>
                <w:color w:val="auto"/>
                <w:w w:val="99"/>
                <w:sz w:val="21"/>
                <w:szCs w:val="21"/>
                <w:lang w:val="en-US" w:eastAsia="zh-CN"/>
              </w:rPr>
              <w:t>7</w:t>
            </w:r>
          </w:p>
        </w:tc>
        <w:tc>
          <w:tcPr>
            <w:tcW w:w="605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3"/>
                <w:w w:val="95"/>
                <w:sz w:val="21"/>
                <w:szCs w:val="21"/>
                <w:lang w:val="en-US" w:eastAsia="zh-CN"/>
              </w:rPr>
            </w:pPr>
            <w:r>
              <w:rPr>
                <w:rFonts w:hint="eastAsia" w:ascii="仿宋" w:hAnsi="仿宋" w:eastAsia="仿宋" w:cs="仿宋"/>
                <w:color w:val="auto"/>
                <w:w w:val="95"/>
                <w:sz w:val="21"/>
                <w:szCs w:val="21"/>
              </w:rPr>
              <w:t>（一）</w:t>
            </w:r>
            <w:r>
              <w:rPr>
                <w:rFonts w:hint="eastAsia" w:ascii="仿宋" w:hAnsi="仿宋" w:eastAsia="仿宋" w:cs="仿宋"/>
                <w:color w:val="auto"/>
                <w:spacing w:val="-1"/>
                <w:w w:val="95"/>
                <w:sz w:val="21"/>
                <w:szCs w:val="21"/>
              </w:rPr>
              <w:t>生产、经营不符合强制性标准或者不符</w:t>
            </w:r>
            <w:r>
              <w:rPr>
                <w:rFonts w:hint="eastAsia" w:ascii="仿宋" w:hAnsi="仿宋" w:eastAsia="仿宋" w:cs="仿宋"/>
                <w:color w:val="auto"/>
                <w:sz w:val="21"/>
                <w:szCs w:val="21"/>
              </w:rPr>
              <w:t>合经注册或者备案的产品技术要求的医疗器械的；</w:t>
            </w: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经营无合格证明文件、过期、失效、淘汰的医疗器械的。</w:t>
            </w:r>
            <w:r>
              <w:rPr>
                <w:rFonts w:hint="eastAsia" w:ascii="仿宋" w:hAnsi="仿宋" w:eastAsia="仿宋" w:cs="仿宋"/>
                <w:color w:val="auto"/>
                <w:spacing w:val="-1"/>
                <w:w w:val="95"/>
                <w:sz w:val="21"/>
                <w:szCs w:val="21"/>
                <w:lang w:eastAsia="zh-CN"/>
              </w:rPr>
              <w:t>（三）</w:t>
            </w:r>
            <w:r>
              <w:rPr>
                <w:rFonts w:hint="eastAsia" w:ascii="仿宋" w:hAnsi="仿宋" w:eastAsia="仿宋" w:cs="仿宋"/>
                <w:color w:val="auto"/>
                <w:spacing w:val="-1"/>
                <w:w w:val="95"/>
                <w:sz w:val="21"/>
                <w:szCs w:val="21"/>
                <w:lang w:val="en-US" w:eastAsia="zh-CN"/>
              </w:rPr>
              <w:t>进口过期、失效、淘汰等已使用过的医疗器械。</w:t>
            </w:r>
          </w:p>
        </w:tc>
        <w:tc>
          <w:tcPr>
            <w:tcW w:w="27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0" w:leftChars="0" w:right="0" w:rightChars="0" w:firstLine="0" w:firstLineChars="0"/>
              <w:jc w:val="both"/>
              <w:textAlignment w:val="auto"/>
              <w:rPr>
                <w:rFonts w:hint="eastAsia" w:ascii="仿宋" w:hAnsi="仿宋" w:eastAsia="仿宋" w:cs="仿宋"/>
                <w:color w:val="auto"/>
                <w:spacing w:val="-2"/>
                <w:w w:val="95"/>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w:t>
            </w:r>
            <w:r>
              <w:rPr>
                <w:rFonts w:hint="eastAsia" w:ascii="仿宋" w:hAnsi="仿宋" w:eastAsia="仿宋" w:cs="仿宋"/>
                <w:color w:val="auto"/>
                <w:spacing w:val="-2"/>
                <w:w w:val="95"/>
                <w:sz w:val="21"/>
                <w:szCs w:val="21"/>
              </w:rPr>
              <w:t>十六</w:t>
            </w:r>
            <w:r>
              <w:rPr>
                <w:rFonts w:hint="eastAsia" w:ascii="仿宋" w:hAnsi="仿宋" w:eastAsia="仿宋" w:cs="仿宋"/>
                <w:color w:val="auto"/>
                <w:sz w:val="21"/>
                <w:szCs w:val="21"/>
              </w:rPr>
              <w:t>条第</w:t>
            </w:r>
            <w:r>
              <w:rPr>
                <w:rFonts w:hint="eastAsia" w:ascii="仿宋" w:hAnsi="仿宋" w:eastAsia="仿宋" w:cs="仿宋"/>
                <w:color w:val="auto"/>
                <w:sz w:val="21"/>
                <w:szCs w:val="21"/>
                <w:lang w:eastAsia="zh-CN"/>
              </w:rPr>
              <w:t>二</w:t>
            </w:r>
            <w:r>
              <w:rPr>
                <w:rFonts w:hint="eastAsia" w:ascii="仿宋" w:hAnsi="仿宋" w:eastAsia="仿宋" w:cs="仿宋"/>
                <w:color w:val="auto"/>
                <w:sz w:val="21"/>
                <w:szCs w:val="21"/>
              </w:rPr>
              <w:t>款第一项、第三项</w:t>
            </w:r>
            <w:r>
              <w:rPr>
                <w:rFonts w:hint="eastAsia" w:ascii="仿宋" w:hAnsi="仿宋" w:eastAsia="仿宋" w:cs="仿宋"/>
                <w:color w:val="auto"/>
                <w:sz w:val="21"/>
                <w:szCs w:val="21"/>
                <w:lang w:eastAsia="zh-CN"/>
              </w:rPr>
              <w:t>、第六项</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sz w:val="21"/>
                <w:szCs w:val="21"/>
              </w:rPr>
              <w:t>30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1" w:hRule="atLeast"/>
        </w:trPr>
        <w:tc>
          <w:tcPr>
            <w:tcW w:w="53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lang w:val="en-US" w:eastAsia="zh-CN"/>
              </w:rPr>
            </w:pPr>
            <w:r>
              <w:rPr>
                <w:rFonts w:hint="eastAsia" w:ascii="仿宋" w:hAnsi="仿宋" w:eastAsia="仿宋" w:cs="仿宋"/>
                <w:color w:val="auto"/>
                <w:w w:val="99"/>
                <w:sz w:val="21"/>
                <w:szCs w:val="21"/>
                <w:lang w:val="en-US" w:eastAsia="zh-CN"/>
              </w:rPr>
              <w:t>8</w:t>
            </w:r>
          </w:p>
        </w:tc>
        <w:tc>
          <w:tcPr>
            <w:tcW w:w="605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w w:val="95"/>
                <w:sz w:val="21"/>
                <w:szCs w:val="21"/>
              </w:rPr>
            </w:pPr>
            <w:r>
              <w:rPr>
                <w:rFonts w:hint="eastAsia" w:ascii="仿宋" w:hAnsi="仿宋" w:eastAsia="仿宋" w:cs="仿宋"/>
                <w:color w:val="auto"/>
                <w:spacing w:val="-1"/>
                <w:w w:val="95"/>
                <w:sz w:val="21"/>
                <w:szCs w:val="21"/>
              </w:rPr>
              <w:t>（一）</w:t>
            </w:r>
            <w:r>
              <w:rPr>
                <w:rFonts w:hint="eastAsia" w:ascii="仿宋" w:hAnsi="仿宋" w:eastAsia="仿宋" w:cs="仿宋"/>
                <w:color w:val="auto"/>
                <w:spacing w:val="-1"/>
                <w:w w:val="95"/>
                <w:sz w:val="21"/>
                <w:szCs w:val="21"/>
                <w:lang w:val="en-US" w:eastAsia="zh-CN"/>
              </w:rPr>
              <w:t>未按照经注册或者备案的产品技术要求组织生产，或者未依照本条例规定建立质量管理体系并保持有效运行，影响产品安全、有效；</w:t>
            </w:r>
            <w:r>
              <w:rPr>
                <w:rFonts w:hint="eastAsia" w:ascii="仿宋" w:hAnsi="仿宋" w:eastAsia="仿宋" w:cs="仿宋"/>
                <w:color w:val="auto"/>
                <w:spacing w:val="-1"/>
                <w:w w:val="95"/>
                <w:sz w:val="21"/>
                <w:szCs w:val="21"/>
              </w:rPr>
              <w:t>（二）</w:t>
            </w:r>
            <w:r>
              <w:rPr>
                <w:rFonts w:hint="eastAsia" w:ascii="仿宋" w:hAnsi="仿宋" w:eastAsia="仿宋" w:cs="仿宋"/>
                <w:color w:val="auto"/>
                <w:spacing w:val="-1"/>
                <w:w w:val="95"/>
                <w:sz w:val="21"/>
                <w:szCs w:val="21"/>
                <w:lang w:val="en-US" w:eastAsia="zh-CN"/>
              </w:rPr>
              <w:t>在负责药品监督管理的部门责令召回后仍拒不召回，或者在负责药品监督管理的部门责令停止或者暂停生产、进口、经营后，仍拒不停止生产、进口、经营医疗器械；（三）委托不具备本条例规定条件的企业生产医疗器械，或者未对受托生产企业的生产行为进行管理。</w:t>
            </w:r>
          </w:p>
        </w:tc>
        <w:tc>
          <w:tcPr>
            <w:tcW w:w="27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0" w:leftChars="0" w:right="0" w:rightChars="0" w:firstLine="0" w:firstLineChars="0"/>
              <w:jc w:val="both"/>
              <w:textAlignment w:val="auto"/>
              <w:rPr>
                <w:rFonts w:hint="eastAsia" w:ascii="仿宋" w:hAnsi="仿宋" w:eastAsia="仿宋" w:cs="仿宋"/>
                <w:color w:val="auto"/>
                <w:spacing w:val="-2"/>
                <w:w w:val="95"/>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w:t>
            </w:r>
            <w:r>
              <w:rPr>
                <w:rFonts w:hint="eastAsia" w:ascii="仿宋" w:hAnsi="仿宋" w:eastAsia="仿宋" w:cs="仿宋"/>
                <w:color w:val="auto"/>
                <w:spacing w:val="-2"/>
                <w:w w:val="95"/>
                <w:sz w:val="21"/>
                <w:szCs w:val="21"/>
              </w:rPr>
              <w:t>十六</w:t>
            </w:r>
            <w:r>
              <w:rPr>
                <w:rFonts w:hint="eastAsia" w:ascii="仿宋" w:hAnsi="仿宋" w:eastAsia="仿宋" w:cs="仿宋"/>
                <w:color w:val="auto"/>
                <w:sz w:val="21"/>
                <w:szCs w:val="21"/>
              </w:rPr>
              <w:t>条第</w:t>
            </w:r>
            <w:r>
              <w:rPr>
                <w:rFonts w:hint="eastAsia" w:ascii="仿宋" w:hAnsi="仿宋" w:eastAsia="仿宋" w:cs="仿宋"/>
                <w:color w:val="auto"/>
                <w:sz w:val="21"/>
                <w:szCs w:val="21"/>
                <w:lang w:eastAsia="zh-CN"/>
              </w:rPr>
              <w:t>二</w:t>
            </w:r>
            <w:r>
              <w:rPr>
                <w:rFonts w:hint="eastAsia" w:ascii="仿宋" w:hAnsi="仿宋" w:eastAsia="仿宋" w:cs="仿宋"/>
                <w:color w:val="auto"/>
                <w:sz w:val="21"/>
                <w:szCs w:val="21"/>
              </w:rPr>
              <w:t>款第二项、第四项、第五项</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bl>
    <w:p>
      <w:pPr>
        <w:keepNext w:val="0"/>
        <w:keepLines w:val="0"/>
        <w:pageBreakBefore w:val="0"/>
        <w:kinsoku/>
        <w:wordWrap/>
        <w:overflowPunct/>
        <w:topLinePunct w:val="0"/>
        <w:bidi w:val="0"/>
        <w:adjustRightInd/>
        <w:snapToGrid/>
        <w:spacing w:beforeLines="0" w:afterLines="0" w:line="260" w:lineRule="exact"/>
        <w:ind w:left="0" w:right="0" w:firstLine="0"/>
        <w:textAlignment w:val="auto"/>
        <w:rPr>
          <w:rFonts w:hint="eastAsia" w:ascii="仿宋" w:hAnsi="仿宋" w:eastAsia="仿宋" w:cs="仿宋"/>
          <w:color w:val="auto"/>
          <w:sz w:val="21"/>
          <w:szCs w:val="21"/>
        </w:rPr>
        <w:sectPr>
          <w:type w:val="continuous"/>
          <w:pgSz w:w="16840" w:h="11910" w:orient="landscape"/>
          <w:pgMar w:top="1060" w:right="640" w:bottom="620" w:left="340" w:header="720" w:footer="720" w:gutter="0"/>
          <w:lnNumType w:countBy="0" w:distance="360"/>
          <w:pgNumType w:fmt="decimal"/>
          <w:cols w:space="720" w:num="1"/>
          <w:rtlGutter w:val="0"/>
          <w:docGrid w:type="lines" w:linePitch="319" w:charSpace="0"/>
        </w:sectPr>
      </w:pPr>
    </w:p>
    <w:tbl>
      <w:tblPr>
        <w:tblStyle w:val="5"/>
        <w:tblW w:w="15053" w:type="dxa"/>
        <w:tblInd w:w="40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38"/>
        <w:gridCol w:w="6069"/>
        <w:gridCol w:w="2769"/>
        <w:gridCol w:w="681"/>
        <w:gridCol w:w="1027"/>
        <w:gridCol w:w="819"/>
        <w:gridCol w:w="865"/>
        <w:gridCol w:w="727"/>
        <w:gridCol w:w="669"/>
        <w:gridCol w:w="88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trPr>
        <w:tc>
          <w:tcPr>
            <w:tcW w:w="538"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6069"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2769"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77"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trPr>
        <w:tc>
          <w:tcPr>
            <w:tcW w:w="538" w:type="dxa"/>
            <w:vMerge w:val="continue"/>
            <w:tcBorders>
              <w:top w:val="nil"/>
              <w:left w:val="single" w:color="000000" w:sz="8" w:space="0"/>
              <w:bottom w:val="single" w:color="auto" w:sz="4"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069" w:type="dxa"/>
            <w:vMerge w:val="continue"/>
            <w:tcBorders>
              <w:top w:val="nil"/>
              <w:left w:val="single" w:color="000000" w:sz="8" w:space="0"/>
              <w:bottom w:val="single" w:color="auto" w:sz="4"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2769" w:type="dxa"/>
            <w:vMerge w:val="continue"/>
            <w:tcBorders>
              <w:top w:val="nil"/>
              <w:left w:val="single" w:color="000000" w:sz="8" w:space="0"/>
              <w:bottom w:val="single" w:color="auto" w:sz="4"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6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r>
              <w:rPr>
                <w:rFonts w:hint="eastAsia" w:ascii="仿宋" w:hAnsi="仿宋" w:eastAsia="仿宋" w:cs="仿宋"/>
                <w:color w:val="auto"/>
                <w:sz w:val="21"/>
                <w:szCs w:val="21"/>
                <w:lang w:val="en-US" w:eastAsia="zh-CN"/>
              </w:rPr>
              <w:t>9</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b/>
                <w:bCs/>
                <w:color w:val="auto"/>
                <w:sz w:val="21"/>
                <w:szCs w:val="21"/>
              </w:rPr>
            </w:pPr>
            <w:r>
              <w:rPr>
                <w:rFonts w:hint="eastAsia" w:ascii="仿宋" w:hAnsi="仿宋" w:eastAsia="仿宋" w:cs="仿宋"/>
                <w:color w:val="auto"/>
                <w:w w:val="95"/>
                <w:sz w:val="21"/>
                <w:szCs w:val="21"/>
              </w:rPr>
              <w:t>（一）</w:t>
            </w:r>
            <w:r>
              <w:rPr>
                <w:rFonts w:hint="eastAsia" w:ascii="仿宋" w:hAnsi="仿宋" w:eastAsia="仿宋" w:cs="仿宋"/>
                <w:color w:val="auto"/>
                <w:spacing w:val="-2"/>
                <w:w w:val="95"/>
                <w:sz w:val="21"/>
                <w:szCs w:val="21"/>
              </w:rPr>
              <w:t>医疗器械生产企业的生产条件发生变化、不再符合医疗器械质量管理体系要求，未依照本条例规定</w:t>
            </w:r>
            <w:r>
              <w:rPr>
                <w:rFonts w:hint="eastAsia" w:ascii="仿宋" w:hAnsi="仿宋" w:eastAsia="仿宋" w:cs="仿宋"/>
                <w:color w:val="auto"/>
                <w:sz w:val="21"/>
                <w:szCs w:val="21"/>
              </w:rPr>
              <w:t>整改、停止生产、报告的；</w:t>
            </w: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生产、经营说明书、标签不符合本条例规定的</w:t>
            </w:r>
            <w:r>
              <w:rPr>
                <w:rFonts w:hint="eastAsia" w:ascii="仿宋" w:hAnsi="仿宋" w:eastAsia="仿宋" w:cs="仿宋"/>
                <w:color w:val="auto"/>
                <w:sz w:val="21"/>
                <w:szCs w:val="21"/>
              </w:rPr>
              <w:t>医疗器械的；</w:t>
            </w:r>
            <w:r>
              <w:rPr>
                <w:rFonts w:hint="eastAsia" w:ascii="仿宋" w:hAnsi="仿宋" w:eastAsia="仿宋" w:cs="仿宋"/>
                <w:color w:val="auto"/>
                <w:w w:val="95"/>
                <w:sz w:val="21"/>
                <w:szCs w:val="21"/>
              </w:rPr>
              <w:t>（三）</w:t>
            </w:r>
            <w:r>
              <w:rPr>
                <w:rFonts w:hint="eastAsia" w:ascii="仿宋" w:hAnsi="仿宋" w:eastAsia="仿宋" w:cs="仿宋"/>
                <w:color w:val="auto"/>
                <w:spacing w:val="-3"/>
                <w:w w:val="95"/>
                <w:sz w:val="21"/>
                <w:szCs w:val="21"/>
              </w:rPr>
              <w:t>未按照医疗器械说明书和标签标示要求运输、</w:t>
            </w:r>
            <w:r>
              <w:rPr>
                <w:rFonts w:hint="eastAsia" w:ascii="仿宋" w:hAnsi="仿宋" w:eastAsia="仿宋" w:cs="仿宋"/>
                <w:color w:val="auto"/>
                <w:sz w:val="21"/>
                <w:szCs w:val="21"/>
              </w:rPr>
              <w:t>贮存医疗器械的；</w:t>
            </w:r>
            <w:r>
              <w:rPr>
                <w:rFonts w:hint="eastAsia" w:ascii="仿宋" w:hAnsi="仿宋" w:eastAsia="仿宋" w:cs="仿宋"/>
                <w:color w:val="auto"/>
                <w:w w:val="95"/>
                <w:sz w:val="21"/>
                <w:szCs w:val="21"/>
              </w:rPr>
              <w:t>（四）</w:t>
            </w:r>
            <w:r>
              <w:rPr>
                <w:rFonts w:hint="eastAsia" w:ascii="仿宋" w:hAnsi="仿宋" w:eastAsia="仿宋" w:cs="仿宋"/>
                <w:color w:val="auto"/>
                <w:spacing w:val="-1"/>
                <w:w w:val="95"/>
                <w:sz w:val="21"/>
                <w:szCs w:val="21"/>
              </w:rPr>
              <w:t>转让过期、失效、淘汰或者检验不合格的在用</w:t>
            </w:r>
            <w:r>
              <w:rPr>
                <w:rFonts w:hint="eastAsia" w:ascii="仿宋" w:hAnsi="仿宋" w:eastAsia="仿宋" w:cs="仿宋"/>
                <w:color w:val="auto"/>
                <w:sz w:val="21"/>
                <w:szCs w:val="21"/>
              </w:rPr>
              <w:t>医疗器械的。</w:t>
            </w: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Chars="0" w:right="0" w:rightChars="0"/>
              <w:jc w:val="both"/>
              <w:textAlignment w:val="auto"/>
              <w:rPr>
                <w:rFonts w:hint="eastAsia" w:ascii="仿宋" w:hAnsi="仿宋" w:eastAsia="仿宋" w:cs="仿宋"/>
                <w:b/>
                <w:bCs/>
                <w:color w:val="auto"/>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八十八</w:t>
            </w:r>
            <w:r>
              <w:rPr>
                <w:rFonts w:hint="eastAsia" w:ascii="仿宋" w:hAnsi="仿宋" w:eastAsia="仿宋" w:cs="仿宋"/>
                <w:color w:val="auto"/>
                <w:sz w:val="21"/>
                <w:szCs w:val="21"/>
              </w:rPr>
              <w:t>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pacing w:val="-5"/>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pacing w:val="-5"/>
                <w:sz w:val="21"/>
                <w:szCs w:val="21"/>
              </w:rPr>
            </w:pPr>
          </w:p>
        </w:tc>
        <w:tc>
          <w:tcPr>
            <w:tcW w:w="86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pacing w:val="-5"/>
                <w:sz w:val="21"/>
                <w:szCs w:val="21"/>
              </w:rPr>
            </w:pPr>
            <w:r>
              <w:rPr>
                <w:rFonts w:hint="eastAsia" w:ascii="仿宋" w:hAnsi="仿宋" w:eastAsia="仿宋" w:cs="仿宋"/>
                <w:color w:val="auto"/>
                <w:sz w:val="21"/>
                <w:szCs w:val="21"/>
              </w:rPr>
              <w:t>20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pacing w:val="-6"/>
                <w:sz w:val="21"/>
                <w:szCs w:val="21"/>
              </w:rPr>
            </w:pPr>
            <w:r>
              <w:rPr>
                <w:rFonts w:hint="eastAsia" w:ascii="仿宋" w:hAnsi="仿宋" w:eastAsia="仿宋" w:cs="仿宋"/>
                <w:color w:val="auto"/>
                <w:sz w:val="21"/>
                <w:szCs w:val="21"/>
              </w:rPr>
              <w:t>40</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r>
              <w:rPr>
                <w:rFonts w:hint="eastAsia" w:ascii="仿宋" w:hAnsi="仿宋" w:eastAsia="仿宋" w:cs="仿宋"/>
                <w:color w:val="auto"/>
                <w:sz w:val="21"/>
                <w:szCs w:val="21"/>
                <w:lang w:val="en-US" w:eastAsia="zh-CN"/>
              </w:rPr>
              <w:t>10</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keepNext w:val="0"/>
              <w:keepLines w:val="0"/>
              <w:pageBreakBefore w:val="0"/>
              <w:widowControl/>
              <w:suppressLineNumbers w:val="0"/>
              <w:shd w:val="clear" w:fill="FFFFFF"/>
              <w:kinsoku/>
              <w:wordWrap/>
              <w:overflowPunct/>
              <w:topLinePunct w:val="0"/>
              <w:autoSpaceDE w:val="0"/>
              <w:autoSpaceDN w:val="0"/>
              <w:bidi w:val="0"/>
              <w:adjustRightInd/>
              <w:snapToGrid/>
              <w:spacing w:beforeLines="0" w:afterLines="0" w:afterAutospacing="0" w:line="260" w:lineRule="exact"/>
              <w:ind w:left="0" w:leftChars="0" w:right="0" w:rightChars="0" w:firstLine="0" w:firstLineChars="0"/>
              <w:jc w:val="left"/>
              <w:textAlignment w:val="auto"/>
              <w:outlineLvl w:val="9"/>
              <w:rPr>
                <w:rFonts w:hint="eastAsia" w:ascii="仿宋" w:hAnsi="仿宋" w:eastAsia="仿宋" w:cs="仿宋"/>
                <w:b/>
                <w:bCs/>
                <w:color w:val="auto"/>
                <w:sz w:val="21"/>
                <w:szCs w:val="21"/>
              </w:rPr>
            </w:pPr>
            <w:r>
              <w:rPr>
                <w:rFonts w:hint="eastAsia" w:ascii="仿宋" w:hAnsi="仿宋" w:eastAsia="仿宋" w:cs="仿宋"/>
                <w:color w:val="auto"/>
                <w:sz w:val="21"/>
                <w:szCs w:val="21"/>
              </w:rPr>
              <w:t>（一）</w:t>
            </w:r>
            <w:r>
              <w:rPr>
                <w:rFonts w:hint="eastAsia" w:ascii="仿宋" w:hAnsi="仿宋" w:eastAsia="仿宋" w:cs="仿宋"/>
                <w:color w:val="auto"/>
                <w:sz w:val="21"/>
                <w:szCs w:val="21"/>
                <w:lang w:val="en-US" w:eastAsia="zh-CN"/>
              </w:rPr>
              <w:t>未按照要求提交质量管理体系自查报告；（二）从不具备合法资质的供货者购进医疗器械；（三）医疗器械经营企业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w:t>
            </w: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Chars="0" w:right="0" w:rightChars="0"/>
              <w:jc w:val="both"/>
              <w:textAlignment w:val="auto"/>
              <w:rPr>
                <w:rFonts w:hint="eastAsia" w:ascii="仿宋" w:hAnsi="仿宋" w:eastAsia="仿宋" w:cs="仿宋"/>
                <w:b/>
                <w:bCs/>
                <w:color w:val="auto"/>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八十九</w:t>
            </w:r>
            <w:r>
              <w:rPr>
                <w:rFonts w:hint="eastAsia" w:ascii="仿宋" w:hAnsi="仿宋" w:eastAsia="仿宋" w:cs="仿宋"/>
                <w:color w:val="auto"/>
                <w:sz w:val="21"/>
                <w:szCs w:val="21"/>
              </w:rPr>
              <w:t>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r>
              <w:rPr>
                <w:rFonts w:hint="eastAsia" w:ascii="仿宋" w:hAnsi="仿宋" w:eastAsia="仿宋" w:cs="仿宋"/>
                <w:color w:val="auto"/>
                <w:w w:val="99"/>
                <w:sz w:val="21"/>
                <w:szCs w:val="21"/>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pacing w:val="-5"/>
                <w:sz w:val="21"/>
                <w:szCs w:val="21"/>
              </w:rPr>
            </w:pPr>
            <w:r>
              <w:rPr>
                <w:rFonts w:hint="eastAsia" w:ascii="仿宋" w:hAnsi="仿宋" w:eastAsia="仿宋" w:cs="仿宋"/>
                <w:color w:val="auto"/>
                <w:w w:val="99"/>
                <w:sz w:val="21"/>
                <w:szCs w:val="21"/>
              </w:rPr>
              <w:t>5</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pacing w:val="-5"/>
                <w:sz w:val="21"/>
                <w:szCs w:val="21"/>
              </w:rPr>
            </w:pPr>
          </w:p>
        </w:tc>
        <w:tc>
          <w:tcPr>
            <w:tcW w:w="86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pacing w:val="-5"/>
                <w:sz w:val="21"/>
                <w:szCs w:val="21"/>
              </w:rPr>
            </w:pPr>
            <w:r>
              <w:rPr>
                <w:rFonts w:hint="eastAsia" w:ascii="仿宋" w:hAnsi="仿宋" w:eastAsia="仿宋" w:cs="仿宋"/>
                <w:color w:val="auto"/>
                <w:sz w:val="21"/>
                <w:szCs w:val="21"/>
              </w:rPr>
              <w:t>20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pacing w:val="-6"/>
                <w:sz w:val="21"/>
                <w:szCs w:val="21"/>
              </w:rPr>
            </w:pPr>
            <w:r>
              <w:rPr>
                <w:rFonts w:hint="eastAsia" w:ascii="仿宋" w:hAnsi="仿宋" w:eastAsia="仿宋" w:cs="仿宋"/>
                <w:color w:val="auto"/>
                <w:sz w:val="21"/>
                <w:szCs w:val="21"/>
              </w:rPr>
              <w:t>40</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pacing w:val="-1"/>
                <w:w w:val="95"/>
                <w:sz w:val="21"/>
                <w:szCs w:val="21"/>
                <w:lang w:val="en-US" w:eastAsia="zh-CN"/>
              </w:rPr>
              <w:t>11</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lang w:val="en-US" w:eastAsia="zh-CN"/>
              </w:rPr>
              <w:t>未履行对入网医疗器械经营者进行实名登记，审查许可、注册、备案情况，制止并报告违法行为，停止提供网络交易平台服务等管理义务的</w:t>
            </w: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tabs>
                <w:tab w:val="left" w:pos="243"/>
              </w:tabs>
              <w:kinsoku/>
              <w:wordWrap/>
              <w:overflowPunct/>
              <w:topLinePunct w:val="0"/>
              <w:bidi w:val="0"/>
              <w:adjustRightInd/>
              <w:snapToGrid/>
              <w:spacing w:beforeLines="0" w:afterLines="0" w:line="260" w:lineRule="exact"/>
              <w:ind w:leftChars="0" w:right="0" w:rightChars="0"/>
              <w:jc w:val="both"/>
              <w:textAlignment w:val="auto"/>
              <w:rPr>
                <w:rFonts w:hint="eastAsia" w:ascii="仿宋" w:hAnsi="仿宋" w:eastAsia="仿宋" w:cs="仿宋"/>
                <w:color w:val="auto"/>
                <w:spacing w:val="-2"/>
                <w:w w:val="95"/>
                <w:sz w:val="21"/>
                <w:szCs w:val="21"/>
              </w:rPr>
            </w:pPr>
            <w:r>
              <w:rPr>
                <w:rFonts w:hint="eastAsia" w:ascii="仿宋" w:hAnsi="仿宋" w:eastAsia="仿宋" w:cs="仿宋"/>
                <w:color w:val="auto"/>
                <w:spacing w:val="-2"/>
                <w:w w:val="95"/>
                <w:sz w:val="21"/>
                <w:szCs w:val="21"/>
              </w:rPr>
              <w:t>《医疗器械监督管理条例》第</w:t>
            </w:r>
            <w:r>
              <w:rPr>
                <w:rFonts w:hint="eastAsia" w:ascii="仿宋" w:hAnsi="仿宋" w:eastAsia="仿宋" w:cs="仿宋"/>
                <w:color w:val="auto"/>
                <w:spacing w:val="-2"/>
                <w:w w:val="95"/>
                <w:sz w:val="21"/>
                <w:szCs w:val="21"/>
                <w:lang w:eastAsia="zh-CN"/>
              </w:rPr>
              <w:t>九十二</w:t>
            </w:r>
            <w:r>
              <w:rPr>
                <w:rFonts w:hint="eastAsia" w:ascii="仿宋" w:hAnsi="仿宋" w:eastAsia="仿宋" w:cs="仿宋"/>
                <w:color w:val="auto"/>
                <w:sz w:val="21"/>
                <w:szCs w:val="21"/>
              </w:rPr>
              <w:t>条</w:t>
            </w:r>
            <w:r>
              <w:rPr>
                <w:rFonts w:hint="eastAsia" w:ascii="仿宋" w:hAnsi="仿宋" w:eastAsia="仿宋" w:cs="仿宋"/>
                <w:color w:val="auto"/>
                <w:sz w:val="21"/>
                <w:szCs w:val="21"/>
                <w:lang w:eastAsia="zh-CN"/>
              </w:rPr>
              <w:t>《中华人民共和国电子商务法》</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sz w:val="21"/>
                <w:szCs w:val="21"/>
                <w:lang w:val="en-US" w:eastAsia="zh-CN"/>
              </w:rPr>
              <w:t>5</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pacing w:val="-5"/>
                <w:sz w:val="21"/>
                <w:szCs w:val="21"/>
              </w:rPr>
            </w:pPr>
          </w:p>
        </w:tc>
        <w:tc>
          <w:tcPr>
            <w:tcW w:w="86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p>
        </w:tc>
        <w:tc>
          <w:tcPr>
            <w:tcW w:w="8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b/>
                <w:bCs/>
                <w:color w:val="auto"/>
                <w:sz w:val="21"/>
                <w:szCs w:val="21"/>
              </w:rPr>
            </w:pPr>
          </w:p>
        </w:tc>
      </w:tr>
    </w:tbl>
    <w:p>
      <w:pPr>
        <w:keepNext w:val="0"/>
        <w:keepLines w:val="0"/>
        <w:pageBreakBefore w:val="0"/>
        <w:kinsoku/>
        <w:wordWrap/>
        <w:overflowPunct/>
        <w:topLinePunct w:val="0"/>
        <w:bidi w:val="0"/>
        <w:adjustRightInd/>
        <w:snapToGrid/>
        <w:spacing w:beforeLines="0" w:afterLines="0" w:line="260" w:lineRule="exact"/>
        <w:ind w:left="0" w:right="0" w:firstLine="0"/>
        <w:textAlignment w:val="auto"/>
        <w:rPr>
          <w:rFonts w:hint="eastAsia" w:ascii="仿宋" w:hAnsi="仿宋" w:eastAsia="仿宋" w:cs="仿宋"/>
          <w:color w:val="auto"/>
          <w:sz w:val="21"/>
          <w:szCs w:val="21"/>
        </w:rPr>
        <w:sectPr>
          <w:pgSz w:w="16840" w:h="11910" w:orient="landscape"/>
          <w:pgMar w:top="1060" w:right="640" w:bottom="620" w:left="340" w:header="0" w:footer="430" w:gutter="0"/>
          <w:lnNumType w:countBy="0" w:distance="360"/>
          <w:pgNumType w:fmt="decimal"/>
          <w:cols w:space="720" w:num="1"/>
          <w:rtlGutter w:val="0"/>
          <w:docGrid w:type="lines" w:linePitch="319" w:charSpace="0"/>
        </w:sectPr>
      </w:pPr>
    </w:p>
    <w:tbl>
      <w:tblPr>
        <w:tblStyle w:val="5"/>
        <w:tblW w:w="15064" w:type="dxa"/>
        <w:jc w:val="center"/>
        <w:tblInd w:w="40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38"/>
        <w:gridCol w:w="6069"/>
        <w:gridCol w:w="2769"/>
        <w:gridCol w:w="681"/>
        <w:gridCol w:w="1027"/>
        <w:gridCol w:w="830"/>
        <w:gridCol w:w="854"/>
        <w:gridCol w:w="727"/>
        <w:gridCol w:w="669"/>
        <w:gridCol w:w="90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PrEx>
        <w:trPr>
          <w:trHeight w:val="356" w:hRule="atLeast"/>
          <w:jc w:val="center"/>
        </w:trPr>
        <w:tc>
          <w:tcPr>
            <w:tcW w:w="538"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6069"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2769"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lang w:eastAsia="zh-CN"/>
              </w:rPr>
            </w:pPr>
            <w:r>
              <w:rPr>
                <w:rFonts w:hint="eastAsia" w:ascii="仿宋" w:hAnsi="仿宋" w:eastAsia="仿宋" w:cs="仿宋"/>
                <w:b/>
                <w:bCs/>
                <w:color w:val="auto"/>
                <w:sz w:val="21"/>
                <w:szCs w:val="21"/>
                <w:lang w:eastAsia="zh-CN"/>
              </w:rPr>
              <w:t>违反条款</w:t>
            </w:r>
          </w:p>
        </w:tc>
        <w:tc>
          <w:tcPr>
            <w:tcW w:w="5688"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vMerge w:val="continue"/>
            <w:tcBorders>
              <w:top w:val="nil"/>
              <w:left w:val="single" w:color="000000" w:sz="8" w:space="0"/>
              <w:bottom w:val="single" w:color="auto" w:sz="4"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069" w:type="dxa"/>
            <w:vMerge w:val="continue"/>
            <w:tcBorders>
              <w:top w:val="nil"/>
              <w:left w:val="single" w:color="000000" w:sz="8" w:space="0"/>
              <w:bottom w:val="single" w:color="auto" w:sz="4"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2769" w:type="dxa"/>
            <w:vMerge w:val="continue"/>
            <w:tcBorders>
              <w:top w:val="nil"/>
              <w:left w:val="single" w:color="000000" w:sz="8" w:space="0"/>
              <w:bottom w:val="single" w:color="auto" w:sz="4"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12</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违反本条例有关医疗器械广告管理规定的</w:t>
            </w: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1"/>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《医疗器械监督管理条例》第</w:t>
            </w:r>
            <w:r>
              <w:rPr>
                <w:rFonts w:hint="eastAsia" w:ascii="仿宋" w:hAnsi="仿宋" w:eastAsia="仿宋" w:cs="仿宋"/>
                <w:color w:val="auto"/>
                <w:w w:val="95"/>
                <w:sz w:val="21"/>
                <w:szCs w:val="21"/>
                <w:lang w:eastAsia="zh-CN"/>
              </w:rPr>
              <w:t>九十七</w:t>
            </w:r>
            <w:r>
              <w:rPr>
                <w:rFonts w:hint="eastAsia" w:ascii="仿宋" w:hAnsi="仿宋" w:eastAsia="仿宋" w:cs="仿宋"/>
                <w:color w:val="auto"/>
                <w:w w:val="95"/>
                <w:sz w:val="21"/>
                <w:szCs w:val="21"/>
              </w:rPr>
              <w:t>条</w:t>
            </w:r>
            <w:r>
              <w:rPr>
                <w:rFonts w:hint="eastAsia" w:ascii="仿宋" w:hAnsi="仿宋" w:eastAsia="仿宋" w:cs="仿宋"/>
                <w:color w:val="auto"/>
                <w:w w:val="95"/>
                <w:sz w:val="21"/>
                <w:szCs w:val="21"/>
                <w:lang w:eastAsia="zh-CN"/>
              </w:rPr>
              <w:t>《中华人民共和国广告法》</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6"/>
                <w:sz w:val="21"/>
                <w:szCs w:val="21"/>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境外医疗器械注册人、备案人指定的我国境内企业法人未依照本条例规定履行相关义务的</w:t>
            </w: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《医疗器械监督管理条例》第</w:t>
            </w:r>
            <w:r>
              <w:rPr>
                <w:rFonts w:hint="eastAsia" w:ascii="仿宋" w:hAnsi="仿宋" w:eastAsia="仿宋" w:cs="仿宋"/>
                <w:color w:val="auto"/>
                <w:w w:val="95"/>
                <w:sz w:val="21"/>
                <w:szCs w:val="21"/>
                <w:lang w:eastAsia="zh-CN"/>
              </w:rPr>
              <w:t>九十八</w:t>
            </w:r>
            <w:r>
              <w:rPr>
                <w:rFonts w:hint="eastAsia" w:ascii="仿宋" w:hAnsi="仿宋" w:eastAsia="仿宋" w:cs="仿宋"/>
                <w:color w:val="auto"/>
                <w:w w:val="95"/>
                <w:sz w:val="21"/>
                <w:szCs w:val="21"/>
              </w:rPr>
              <w:t>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r>
              <w:rPr>
                <w:rFonts w:hint="eastAsia" w:ascii="仿宋" w:hAnsi="仿宋" w:eastAsia="仿宋" w:cs="仿宋"/>
                <w:color w:val="auto"/>
                <w:w w:val="99"/>
                <w:sz w:val="21"/>
                <w:szCs w:val="21"/>
                <w:lang w:val="en-US" w:eastAsia="zh-CN"/>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6"/>
                <w:sz w:val="21"/>
                <w:szCs w:val="21"/>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40</w:t>
            </w: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eastAsia="zh-CN"/>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14</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使用禁止从事医疗器械生产经营活动、检验工作的人员的</w:t>
            </w: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《医疗器械监督管理条例》第</w:t>
            </w:r>
            <w:r>
              <w:rPr>
                <w:rFonts w:hint="eastAsia" w:ascii="仿宋" w:hAnsi="仿宋" w:eastAsia="仿宋" w:cs="仿宋"/>
                <w:color w:val="auto"/>
                <w:w w:val="95"/>
                <w:sz w:val="21"/>
                <w:szCs w:val="21"/>
                <w:lang w:eastAsia="zh-CN"/>
              </w:rPr>
              <w:t>九十九</w:t>
            </w:r>
            <w:r>
              <w:rPr>
                <w:rFonts w:hint="eastAsia" w:ascii="仿宋" w:hAnsi="仿宋" w:eastAsia="仿宋" w:cs="仿宋"/>
                <w:color w:val="auto"/>
                <w:w w:val="95"/>
                <w:sz w:val="21"/>
                <w:szCs w:val="21"/>
              </w:rPr>
              <w:t>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r>
              <w:rPr>
                <w:rFonts w:hint="eastAsia" w:ascii="仿宋" w:hAnsi="仿宋" w:eastAsia="仿宋" w:cs="仿宋"/>
                <w:color w:val="auto"/>
                <w:sz w:val="21"/>
                <w:szCs w:val="21"/>
                <w:lang w:val="en-US" w:eastAsia="zh-CN"/>
              </w:rPr>
              <w:t>30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6"/>
                <w:sz w:val="21"/>
                <w:szCs w:val="21"/>
              </w:rPr>
            </w:pPr>
            <w:r>
              <w:rPr>
                <w:rFonts w:hint="eastAsia" w:ascii="仿宋" w:hAnsi="仿宋" w:eastAsia="仿宋" w:cs="仿宋"/>
                <w:color w:val="auto"/>
                <w:sz w:val="21"/>
                <w:szCs w:val="21"/>
                <w:lang w:val="en-US" w:eastAsia="zh-CN"/>
              </w:rPr>
              <w:t>40</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15</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r>
              <w:rPr>
                <w:rFonts w:hint="eastAsia" w:ascii="微软雅黑" w:hAnsi="微软雅黑" w:eastAsia="微软雅黑" w:cs="微软雅黑"/>
                <w:color w:val="000000"/>
                <w:sz w:val="24"/>
                <w:szCs w:val="24"/>
              </w:rPr>
              <w:t>　　</w:t>
            </w:r>
            <w:r>
              <w:rPr>
                <w:rFonts w:hint="eastAsia" w:ascii="仿宋" w:hAnsi="仿宋" w:eastAsia="仿宋" w:cs="仿宋"/>
                <w:color w:val="auto"/>
                <w:sz w:val="21"/>
                <w:szCs w:val="21"/>
                <w:lang w:val="en-US" w:eastAsia="zh-CN"/>
              </w:rPr>
              <w:t xml:space="preserve">（一）出厂医疗器械未按照规定进行检验的； </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xml:space="preserve">　　（二）出厂医疗器械未按照规定附有合格证明文件的； </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xml:space="preserve">　　（三）未按照本办法第十六条规定办理《医疗器械生产许可证》变更登记的； </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xml:space="preserve">　　（四）未按照规定办理委托生产备案手续的； </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xml:space="preserve">　　（五）医疗器械产品连续停产一年以上且无同类产品在产，未经所在地省、自治区、直辖市或者设区的市级食品药品监督管理部门核查符合要求即恢复生产的； </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xml:space="preserve">　　（六）向监督检查的食品药品监督管理部门隐瞒有关情况、提供虚假资料或者拒绝提供反映其活动的真实资料的。 </w:t>
            </w:r>
            <w:r>
              <w:rPr>
                <w:rFonts w:hint="eastAsia" w:ascii="仿宋" w:hAnsi="仿宋" w:eastAsia="仿宋" w:cs="仿宋"/>
                <w:color w:val="auto"/>
                <w:sz w:val="21"/>
                <w:szCs w:val="21"/>
                <w:lang w:val="en-US" w:eastAsia="zh-CN"/>
              </w:rPr>
              <w:br w:type="textWrapping"/>
            </w: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lang w:eastAsia="zh-CN"/>
              </w:rPr>
            </w:pPr>
            <w:r>
              <w:rPr>
                <w:rFonts w:hint="eastAsia" w:ascii="仿宋" w:hAnsi="仿宋" w:eastAsia="仿宋" w:cs="仿宋"/>
                <w:color w:val="auto"/>
                <w:w w:val="95"/>
                <w:sz w:val="21"/>
                <w:szCs w:val="21"/>
                <w:lang w:eastAsia="zh-CN"/>
              </w:rPr>
              <w:t>《医疗器械生产监督管理办法》第六十九条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lang w:val="en-US" w:eastAsia="zh-CN"/>
              </w:rPr>
            </w:pPr>
            <w:r>
              <w:rPr>
                <w:rFonts w:hint="eastAsia" w:ascii="仿宋" w:hAnsi="仿宋" w:eastAsia="仿宋" w:cs="仿宋"/>
                <w:color w:val="auto"/>
                <w:spacing w:val="-5"/>
                <w:sz w:val="21"/>
                <w:szCs w:val="21"/>
                <w:lang w:val="en-US" w:eastAsia="zh-CN"/>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15</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 xml:space="preserve">    （一）医疗器械经营企业未依照本办法规定办理登记事项变更的；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（二）医疗器械经营企业派出销售人员销售医疗器械，未按照本办法要求提供授权书的；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（三）第三类医疗器械经营企业未在每年年底前向食品药品监督管理部门提交年度自查报告的。</w:t>
            </w:r>
          </w:p>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lang w:eastAsia="zh-CN"/>
              </w:rPr>
            </w:pPr>
            <w:r>
              <w:rPr>
                <w:rFonts w:hint="eastAsia" w:ascii="仿宋" w:hAnsi="仿宋" w:eastAsia="仿宋" w:cs="仿宋"/>
                <w:color w:val="auto"/>
                <w:w w:val="95"/>
                <w:sz w:val="21"/>
                <w:szCs w:val="21"/>
                <w:lang w:eastAsia="zh-CN"/>
              </w:rPr>
              <w:t>《医疗器械经营监督管理办法》第五十三条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lang w:val="en-US" w:eastAsia="zh-CN"/>
              </w:rPr>
            </w:pPr>
            <w:r>
              <w:rPr>
                <w:rFonts w:hint="eastAsia" w:ascii="仿宋" w:hAnsi="仿宋" w:eastAsia="仿宋" w:cs="仿宋"/>
                <w:color w:val="auto"/>
                <w:spacing w:val="-5"/>
                <w:sz w:val="21"/>
                <w:szCs w:val="21"/>
                <w:lang w:val="en-US" w:eastAsia="zh-CN"/>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16</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 xml:space="preserve">    （一）医疗器械经营企业经营条件发生变化，不再符合医疗器械经营质量管理规范要求，未按照规定进行整改的；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（二）医疗器械经营企业擅自变更经营场所或者库房地址、扩大经营范围或者擅自设立库房的；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（三）从事医疗器械批发业务的经营企</w:t>
            </w:r>
            <w:bookmarkStart w:id="0" w:name="_GoBack"/>
            <w:bookmarkEnd w:id="0"/>
            <w:r>
              <w:rPr>
                <w:rFonts w:hint="eastAsia" w:ascii="仿宋" w:hAnsi="仿宋" w:eastAsia="仿宋" w:cs="仿宋"/>
                <w:color w:val="auto"/>
                <w:sz w:val="21"/>
                <w:szCs w:val="21"/>
                <w:lang w:val="en-US" w:eastAsia="zh-CN"/>
              </w:rPr>
              <w:t>业销售给不具有资质的经营企业或者使用单位的；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（四）医疗器械经营企业从不具有资质的生产、经营企业购进医疗器械的。</w:t>
            </w:r>
          </w:p>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lang w:eastAsia="zh-CN"/>
              </w:rPr>
            </w:pPr>
            <w:r>
              <w:rPr>
                <w:rFonts w:hint="eastAsia" w:ascii="仿宋" w:hAnsi="仿宋" w:eastAsia="仿宋" w:cs="仿宋"/>
                <w:color w:val="auto"/>
                <w:w w:val="95"/>
                <w:sz w:val="21"/>
                <w:szCs w:val="21"/>
                <w:lang w:eastAsia="zh-CN"/>
              </w:rPr>
              <w:t>《医疗器械经营监督管理办法》第五十四条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lang w:val="en-US" w:eastAsia="zh-CN"/>
              </w:rPr>
            </w:pPr>
            <w:r>
              <w:rPr>
                <w:rFonts w:hint="eastAsia" w:ascii="仿宋" w:hAnsi="仿宋" w:eastAsia="仿宋" w:cs="仿宋"/>
                <w:color w:val="auto"/>
                <w:spacing w:val="-5"/>
                <w:sz w:val="21"/>
                <w:szCs w:val="21"/>
                <w:lang w:val="en-US" w:eastAsia="zh-CN"/>
              </w:rPr>
              <w:t>10</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17</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从事医疗器械网络销售的企业未按照本办法规定备案的</w:t>
            </w: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lang w:eastAsia="zh-CN"/>
              </w:rPr>
            </w:pPr>
            <w:r>
              <w:rPr>
                <w:rFonts w:hint="eastAsia" w:ascii="仿宋" w:hAnsi="仿宋" w:eastAsia="仿宋" w:cs="仿宋"/>
                <w:color w:val="auto"/>
                <w:w w:val="95"/>
                <w:sz w:val="21"/>
                <w:szCs w:val="21"/>
                <w:lang w:eastAsia="zh-CN"/>
              </w:rPr>
              <w:t>《医疗器械网络销售监督管理办法》第三十九条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lang w:val="en-US" w:eastAsia="zh-CN"/>
              </w:rPr>
            </w:pPr>
            <w:r>
              <w:rPr>
                <w:rFonts w:hint="eastAsia" w:ascii="仿宋" w:hAnsi="仿宋" w:eastAsia="仿宋" w:cs="仿宋"/>
                <w:color w:val="auto"/>
                <w:spacing w:val="-5"/>
                <w:sz w:val="21"/>
                <w:szCs w:val="21"/>
                <w:lang w:val="en-US" w:eastAsia="zh-CN"/>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18</w:t>
            </w: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　 （一）从事医疗器械网络销售的企业未按照本办法要求展示医疗器械生产经营许可证或者备案凭证、医疗器械注册证或者备案凭证的；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（二）医疗器械网络交易服务第三方平台提供者未按照本办法要求展示医疗器械网络交易服务第三方平台备案凭证编号的。</w:t>
            </w:r>
          </w:p>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lang w:eastAsia="zh-CN"/>
              </w:rPr>
            </w:pPr>
            <w:r>
              <w:rPr>
                <w:rFonts w:hint="eastAsia" w:ascii="仿宋" w:hAnsi="仿宋" w:eastAsia="仿宋" w:cs="仿宋"/>
                <w:color w:val="auto"/>
                <w:w w:val="95"/>
                <w:sz w:val="21"/>
                <w:szCs w:val="21"/>
                <w:lang w:eastAsia="zh-CN"/>
              </w:rPr>
              <w:t>《医疗器械网络销售监督管理办法》第四十条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lang w:val="en-US" w:eastAsia="zh-CN"/>
              </w:rPr>
            </w:pPr>
            <w:r>
              <w:rPr>
                <w:rFonts w:hint="eastAsia" w:ascii="仿宋" w:hAnsi="仿宋" w:eastAsia="仿宋" w:cs="仿宋"/>
                <w:color w:val="auto"/>
                <w:spacing w:val="-5"/>
                <w:sz w:val="21"/>
                <w:szCs w:val="21"/>
                <w:lang w:val="en-US" w:eastAsia="zh-CN"/>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 xml:space="preserve">    （一）从事医疗器械网络销售的企业备案信息发生变化，未按规定变更的；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（二）从事医疗器械网络销售的企业未按规定建立并执行质量管理制度的；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（三）医疗器械网络交易服务第三方平台提供者备案事项发生变化未按规定办理变更的；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（四）医疗器械网络交易服务第三方平台提供者未按规定要求设置与其规模相适应的质量安全管理机构或者配备质量安全管理人员的；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（五）医疗器械网络交易服务第三方平台提供者未按规定建立并执行质量管理制度的。</w:t>
            </w:r>
          </w:p>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lang w:eastAsia="zh-CN"/>
              </w:rPr>
            </w:pPr>
            <w:r>
              <w:rPr>
                <w:rFonts w:hint="eastAsia" w:ascii="仿宋" w:hAnsi="仿宋" w:eastAsia="仿宋" w:cs="仿宋"/>
                <w:color w:val="auto"/>
                <w:w w:val="95"/>
                <w:sz w:val="21"/>
                <w:szCs w:val="21"/>
                <w:lang w:eastAsia="zh-CN"/>
              </w:rPr>
              <w:t>《医疗器械网络销售监督管理办法》第四十一条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lang w:val="en-US" w:eastAsia="zh-CN"/>
              </w:rPr>
            </w:pPr>
            <w:r>
              <w:rPr>
                <w:rFonts w:hint="eastAsia" w:ascii="仿宋" w:hAnsi="仿宋" w:eastAsia="仿宋" w:cs="仿宋"/>
                <w:color w:val="auto"/>
                <w:spacing w:val="-5"/>
                <w:sz w:val="21"/>
                <w:szCs w:val="21"/>
                <w:lang w:val="en-US" w:eastAsia="zh-CN"/>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医疗器械网络交易服务第三方平台提供者未按本办法规定备案的</w:t>
            </w: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lang w:eastAsia="zh-CN"/>
              </w:rPr>
            </w:pPr>
            <w:r>
              <w:rPr>
                <w:rFonts w:hint="eastAsia" w:ascii="仿宋" w:hAnsi="仿宋" w:eastAsia="仿宋" w:cs="仿宋"/>
                <w:color w:val="auto"/>
                <w:w w:val="95"/>
                <w:sz w:val="21"/>
                <w:szCs w:val="21"/>
                <w:lang w:eastAsia="zh-CN"/>
              </w:rPr>
              <w:t>《医疗器械网络销售监督管理办法》第四十二条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lang w:val="en-US" w:eastAsia="zh-CN"/>
              </w:rPr>
            </w:pPr>
            <w:r>
              <w:rPr>
                <w:rFonts w:hint="eastAsia" w:ascii="仿宋" w:hAnsi="仿宋" w:eastAsia="仿宋" w:cs="仿宋"/>
                <w:color w:val="auto"/>
                <w:spacing w:val="-5"/>
                <w:sz w:val="21"/>
                <w:szCs w:val="21"/>
                <w:lang w:val="en-US" w:eastAsia="zh-CN"/>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　  （一）从事医疗器械网络销售的企业、医疗器械网络交易服务第三方平台条件发生变化，不再满足规定要求的；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（二）从事医疗器械网络销售的企业、医疗器械网络交易服务第三方平台提供者不配合食品药品监督管理部门的监督检查，或者拒绝、隐瞒、不如实提供相关材料和数据的。</w:t>
            </w:r>
          </w:p>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lang w:eastAsia="zh-CN"/>
              </w:rPr>
            </w:pPr>
            <w:r>
              <w:rPr>
                <w:rFonts w:hint="eastAsia" w:ascii="仿宋" w:hAnsi="仿宋" w:eastAsia="仿宋" w:cs="仿宋"/>
                <w:color w:val="auto"/>
                <w:w w:val="95"/>
                <w:sz w:val="21"/>
                <w:szCs w:val="21"/>
                <w:lang w:eastAsia="zh-CN"/>
              </w:rPr>
              <w:t>《医疗器械网络销售监督管理办法》第四十三条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lang w:val="en-US" w:eastAsia="zh-CN"/>
              </w:rPr>
            </w:pPr>
            <w:r>
              <w:rPr>
                <w:rFonts w:hint="eastAsia" w:ascii="仿宋" w:hAnsi="仿宋" w:eastAsia="仿宋" w:cs="仿宋"/>
                <w:color w:val="auto"/>
                <w:spacing w:val="-5"/>
                <w:sz w:val="21"/>
                <w:szCs w:val="21"/>
                <w:lang w:val="en-US" w:eastAsia="zh-CN"/>
              </w:rPr>
              <w:t>10</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2" w:hRule="atLeast"/>
          <w:jc w:val="center"/>
        </w:trPr>
        <w:tc>
          <w:tcPr>
            <w:tcW w:w="538"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0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　  （一）从事医疗器械网络销售的企业超出经营范围销售的；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（二）医疗器械批发企业销售给不具有资质的经营企业、使用单位的。</w:t>
            </w:r>
            <w:r>
              <w:rPr>
                <w:rFonts w:hint="eastAsia" w:ascii="仿宋" w:hAnsi="仿宋" w:eastAsia="仿宋" w:cs="仿宋"/>
                <w:color w:val="auto"/>
                <w:sz w:val="21"/>
                <w:szCs w:val="21"/>
                <w:lang w:val="en-US" w:eastAsia="zh-CN"/>
              </w:rPr>
              <w:br w:type="textWrapping"/>
            </w:r>
            <w:r>
              <w:rPr>
                <w:rFonts w:hint="eastAsia" w:ascii="仿宋" w:hAnsi="仿宋" w:eastAsia="仿宋" w:cs="仿宋"/>
                <w:color w:val="auto"/>
                <w:sz w:val="21"/>
                <w:szCs w:val="21"/>
                <w:lang w:val="en-US" w:eastAsia="zh-CN"/>
              </w:rPr>
              <w:t>　　医疗器械零售企业将非消费者自行使用的医疗器械销售给消费者个人的，依照前款第一项规定予以处罚。</w:t>
            </w:r>
          </w:p>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lang w:val="en-US" w:eastAsia="zh-CN"/>
              </w:rPr>
            </w:pPr>
          </w:p>
        </w:tc>
        <w:tc>
          <w:tcPr>
            <w:tcW w:w="2769" w:type="dxa"/>
            <w:tcBorders>
              <w:top w:val="single" w:color="auto" w:sz="4" w:space="0"/>
              <w:left w:val="single" w:color="000000" w:sz="8" w:space="0"/>
              <w:bottom w:val="single" w:color="auto" w:sz="4" w:space="0"/>
              <w:right w:val="single" w:color="000000" w:sz="8" w:space="0"/>
              <w:tl2br w:val="nil"/>
              <w:tr2bl w:val="nil"/>
            </w:tcBorders>
            <w:vAlign w:val="center"/>
          </w:tcPr>
          <w:p>
            <w:pPr>
              <w:pStyle w:val="8"/>
              <w:keepNext w:val="0"/>
              <w:keepLines w:val="0"/>
              <w:pageBreakBefore w:val="0"/>
              <w:numPr>
                <w:ilvl w:val="0"/>
                <w:numId w:val="0"/>
              </w:numPr>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lang w:eastAsia="zh-CN"/>
              </w:rPr>
            </w:pPr>
            <w:r>
              <w:rPr>
                <w:rFonts w:hint="eastAsia" w:ascii="仿宋" w:hAnsi="仿宋" w:eastAsia="仿宋" w:cs="仿宋"/>
                <w:color w:val="auto"/>
                <w:w w:val="95"/>
                <w:sz w:val="21"/>
                <w:szCs w:val="21"/>
                <w:lang w:eastAsia="zh-CN"/>
              </w:rPr>
              <w:t>《医疗器械网络销售监督管理办法》第四十四条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10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lang w:val="en-US" w:eastAsia="zh-CN"/>
              </w:rPr>
            </w:pPr>
            <w:r>
              <w:rPr>
                <w:rFonts w:hint="eastAsia" w:ascii="仿宋" w:hAnsi="仿宋" w:eastAsia="仿宋" w:cs="仿宋"/>
                <w:color w:val="auto"/>
                <w:spacing w:val="-5"/>
                <w:sz w:val="21"/>
                <w:szCs w:val="21"/>
                <w:lang w:val="en-US" w:eastAsia="zh-CN"/>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5"/>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0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8"/>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bl>
    <w:p/>
    <w:sectPr>
      <w:pgSz w:w="23757" w:h="16783"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方正小标宋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公文小标宋">
    <w:altName w:val="宋体"/>
    <w:panose1 w:val="02000500000000000000"/>
    <w:charset w:val="86"/>
    <w:family w:val="auto"/>
    <w:pitch w:val="default"/>
    <w:sig w:usb0="00000000" w:usb1="00000000"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Noto Sans CJK SC">
    <w:altName w:val="宋体"/>
    <w:panose1 w:val="020B0500000000000000"/>
    <w:charset w:val="86"/>
    <w:family w:val="auto"/>
    <w:pitch w:val="default"/>
    <w:sig w:usb0="00000000" w:usb1="00000000" w:usb2="00000016" w:usb3="00000000" w:csb0="602E0107" w:csb1="00000000"/>
  </w:font>
  <w:font w:name="方正仿宋_GBK">
    <w:panose1 w:val="03000509000000000000"/>
    <w:charset w:val="86"/>
    <w:family w:val="auto"/>
    <w:pitch w:val="default"/>
    <w:sig w:usb0="00000001" w:usb1="080E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Lines="0" w:afterLines="0" w:line="14" w:lineRule="auto"/>
      <w:rPr>
        <w:rFonts w:hint="eastAsia" w:eastAsia="宋体"/>
        <w:sz w:val="20"/>
        <w:lang w:eastAsia="zh-CN"/>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5B99FE"/>
    <w:multiLevelType w:val="singleLevel"/>
    <w:tmpl w:val="605B99F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132A3B"/>
    <w:rsid w:val="6D132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pPr>
      <w:spacing w:beforeLines="0" w:afterLines="0"/>
    </w:pPr>
    <w:rPr>
      <w:rFonts w:hint="eastAsia" w:ascii="PMingLiU" w:hAnsi="PMingLiU" w:eastAsia="PMingLiU"/>
      <w:sz w:val="44"/>
    </w:rPr>
  </w:style>
  <w:style w:type="paragraph" w:styleId="3">
    <w:name w:val="footer"/>
    <w:basedOn w:val="1"/>
    <w:uiPriority w:val="0"/>
    <w:pPr>
      <w:tabs>
        <w:tab w:val="center" w:pos="4153"/>
        <w:tab w:val="right" w:pos="8306"/>
      </w:tabs>
      <w:snapToGrid w:val="0"/>
      <w:jc w:val="left"/>
    </w:pPr>
    <w:rPr>
      <w:sz w:val="18"/>
    </w:rPr>
  </w:style>
  <w:style w:type="paragraph" w:customStyle="1" w:styleId="6">
    <w:name w:val="Body Text First Indent 21"/>
    <w:basedOn w:val="7"/>
    <w:qFormat/>
    <w:uiPriority w:val="0"/>
    <w:pPr>
      <w:ind w:firstLine="420" w:firstLineChars="200"/>
    </w:pPr>
  </w:style>
  <w:style w:type="paragraph" w:customStyle="1" w:styleId="7">
    <w:name w:val="Body Text Indent1"/>
    <w:basedOn w:val="1"/>
    <w:qFormat/>
    <w:uiPriority w:val="0"/>
    <w:pPr>
      <w:ind w:left="420" w:leftChars="200"/>
    </w:pPr>
  </w:style>
  <w:style w:type="paragraph" w:customStyle="1" w:styleId="8">
    <w:name w:val="Table Paragraph"/>
    <w:basedOn w:val="1"/>
    <w:unhideWhenUsed/>
    <w:qFormat/>
    <w:uiPriority w:val="1"/>
    <w:pPr>
      <w:spacing w:beforeLines="0" w:afterLines="0"/>
    </w:pPr>
    <w:rPr>
      <w:rFonts w:hint="eastAsia"/>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2023-06-25T08:12:00Z</dcterms:created>
  <dc:creator>Administrator</dc:creator>
  <cp:lastModifiedBy>Administrator</cp:lastModifiedBy>
  <dcterms:modified xsi:type="dcterms:W3CDTF">2023-06-25T08:13:21Z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