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676" w:rsidRPr="002B61AF" w:rsidRDefault="00264676" w:rsidP="006D474A">
      <w:pPr>
        <w:spacing w:line="400" w:lineRule="atLeast"/>
        <w:rPr>
          <w:rFonts w:ascii="黑体" w:eastAsia="黑体"/>
          <w:bCs/>
          <w:sz w:val="30"/>
          <w:szCs w:val="30"/>
        </w:rPr>
      </w:pPr>
      <w:r w:rsidRPr="002B61AF">
        <w:rPr>
          <w:rFonts w:ascii="黑体" w:eastAsia="黑体" w:hint="eastAsia"/>
          <w:bCs/>
          <w:sz w:val="30"/>
          <w:szCs w:val="30"/>
        </w:rPr>
        <w:t>附件</w:t>
      </w:r>
      <w:r w:rsidRPr="002B61AF">
        <w:rPr>
          <w:rFonts w:ascii="黑体" w:eastAsia="黑体"/>
          <w:bCs/>
          <w:sz w:val="30"/>
          <w:szCs w:val="30"/>
        </w:rPr>
        <w:t>6</w:t>
      </w:r>
    </w:p>
    <w:p w:rsidR="00264676" w:rsidRDefault="00264676" w:rsidP="006D474A">
      <w:pPr>
        <w:spacing w:line="400" w:lineRule="atLeast"/>
        <w:rPr>
          <w:rFonts w:ascii="黑体" w:eastAsia="黑体"/>
          <w:bCs/>
          <w:szCs w:val="28"/>
        </w:rPr>
      </w:pPr>
      <w:r>
        <w:rPr>
          <w:rFonts w:ascii="黑体" w:eastAsia="黑体" w:hint="eastAsia"/>
          <w:bCs/>
          <w:szCs w:val="28"/>
        </w:rPr>
        <w:t>核准日期：</w:t>
      </w:r>
    </w:p>
    <w:p w:rsidR="00264676" w:rsidRDefault="00264676" w:rsidP="006D474A">
      <w:pPr>
        <w:spacing w:line="400" w:lineRule="atLeast"/>
        <w:rPr>
          <w:rFonts w:ascii="黑体" w:eastAsia="黑体"/>
          <w:b/>
          <w:sz w:val="28"/>
          <w:szCs w:val="28"/>
        </w:rPr>
      </w:pPr>
    </w:p>
    <w:p w:rsidR="00264676" w:rsidRDefault="00264676" w:rsidP="006D474A">
      <w:pPr>
        <w:spacing w:line="360" w:lineRule="auto"/>
        <w:jc w:val="center"/>
        <w:rPr>
          <w:rFonts w:ascii="黑体" w:eastAsia="黑体"/>
          <w:bCs/>
          <w:sz w:val="36"/>
          <w:szCs w:val="28"/>
        </w:rPr>
      </w:pPr>
      <w:r w:rsidRPr="00326EE4">
        <w:rPr>
          <w:rFonts w:ascii="黑体" w:eastAsia="黑体" w:hint="eastAsia"/>
          <w:sz w:val="36"/>
          <w:szCs w:val="36"/>
        </w:rPr>
        <w:t>复方布洛伪麻缓释片</w:t>
      </w:r>
      <w:r>
        <w:rPr>
          <w:rFonts w:ascii="黑体" w:eastAsia="黑体" w:hint="eastAsia"/>
          <w:bCs/>
          <w:sz w:val="36"/>
          <w:szCs w:val="28"/>
        </w:rPr>
        <w:t>说明书</w:t>
      </w:r>
    </w:p>
    <w:p w:rsidR="00264676" w:rsidRDefault="00264676" w:rsidP="006D474A">
      <w:pPr>
        <w:spacing w:line="360" w:lineRule="auto"/>
        <w:jc w:val="center"/>
        <w:rPr>
          <w:sz w:val="24"/>
        </w:rPr>
      </w:pPr>
      <w:r>
        <w:rPr>
          <w:rFonts w:eastAsia="黑体" w:hint="eastAsia"/>
          <w:sz w:val="24"/>
        </w:rPr>
        <w:t>请仔细阅读说明书并在医师指导下使用</w:t>
      </w:r>
    </w:p>
    <w:p w:rsidR="00264676" w:rsidRPr="00326EE4" w:rsidRDefault="00264676" w:rsidP="002B61AF">
      <w:pPr>
        <w:ind w:firstLineChars="200" w:firstLine="31680"/>
        <w:rPr>
          <w:rFonts w:ascii="宋体"/>
          <w:szCs w:val="21"/>
        </w:rPr>
      </w:pPr>
      <w:r w:rsidRPr="00326EE4">
        <w:rPr>
          <w:rFonts w:ascii="宋体" w:hAnsi="宋体" w:hint="eastAsia"/>
          <w:szCs w:val="21"/>
        </w:rPr>
        <w:t>【药品名称】</w:t>
      </w:r>
    </w:p>
    <w:p w:rsidR="00264676" w:rsidRPr="00326EE4" w:rsidRDefault="00264676" w:rsidP="002B61AF">
      <w:pPr>
        <w:ind w:firstLineChars="200" w:firstLine="31680"/>
        <w:rPr>
          <w:rFonts w:ascii="宋体"/>
          <w:szCs w:val="21"/>
        </w:rPr>
      </w:pPr>
      <w:r w:rsidRPr="00326EE4">
        <w:rPr>
          <w:rFonts w:ascii="宋体" w:hAnsi="宋体" w:hint="eastAsia"/>
          <w:szCs w:val="21"/>
        </w:rPr>
        <w:t>通用名称：</w:t>
      </w:r>
      <w:r w:rsidRPr="00326EE4">
        <w:rPr>
          <w:rFonts w:ascii="宋体" w:hAnsi="宋体"/>
          <w:szCs w:val="21"/>
        </w:rPr>
        <w:t xml:space="preserve"> </w:t>
      </w:r>
      <w:r w:rsidRPr="00326EE4">
        <w:rPr>
          <w:rFonts w:ascii="宋体" w:hAnsi="宋体" w:hint="eastAsia"/>
          <w:szCs w:val="21"/>
        </w:rPr>
        <w:t>复方布洛伪麻缓释片</w:t>
      </w:r>
    </w:p>
    <w:p w:rsidR="00264676" w:rsidRPr="00326EE4" w:rsidRDefault="00264676" w:rsidP="002B61AF">
      <w:pPr>
        <w:ind w:firstLineChars="200" w:firstLine="31680"/>
        <w:rPr>
          <w:rFonts w:ascii="宋体"/>
          <w:szCs w:val="21"/>
        </w:rPr>
      </w:pPr>
      <w:r w:rsidRPr="00326EE4">
        <w:rPr>
          <w:rFonts w:ascii="宋体" w:hAnsi="宋体" w:hint="eastAsia"/>
          <w:szCs w:val="21"/>
        </w:rPr>
        <w:t>英文名称：</w:t>
      </w:r>
    </w:p>
    <w:p w:rsidR="00264676" w:rsidRPr="00326EE4" w:rsidRDefault="00264676" w:rsidP="002B61AF">
      <w:pPr>
        <w:ind w:firstLineChars="200" w:firstLine="31680"/>
        <w:rPr>
          <w:rFonts w:ascii="宋体"/>
          <w:szCs w:val="21"/>
        </w:rPr>
      </w:pPr>
      <w:r w:rsidRPr="00326EE4">
        <w:rPr>
          <w:rFonts w:ascii="宋体" w:hAnsi="宋体" w:hint="eastAsia"/>
          <w:szCs w:val="21"/>
        </w:rPr>
        <w:t>汉语拼音：</w:t>
      </w:r>
    </w:p>
    <w:p w:rsidR="00264676" w:rsidRPr="00326EE4" w:rsidRDefault="00264676" w:rsidP="002B61AF">
      <w:pPr>
        <w:ind w:firstLineChars="200" w:firstLine="31680"/>
        <w:rPr>
          <w:rFonts w:ascii="宋体"/>
          <w:szCs w:val="21"/>
        </w:rPr>
      </w:pPr>
      <w:r w:rsidRPr="00326EE4">
        <w:rPr>
          <w:rFonts w:ascii="宋体" w:hAnsi="宋体" w:hint="eastAsia"/>
          <w:szCs w:val="21"/>
        </w:rPr>
        <w:t>【成份】</w:t>
      </w:r>
      <w:r w:rsidRPr="00326EE4">
        <w:rPr>
          <w:rFonts w:ascii="宋体" w:hAnsi="宋体"/>
          <w:szCs w:val="21"/>
        </w:rPr>
        <w:t xml:space="preserve"> </w:t>
      </w:r>
      <w:r w:rsidRPr="00326EE4">
        <w:rPr>
          <w:rFonts w:ascii="宋体" w:hAnsi="宋体" w:hint="eastAsia"/>
          <w:szCs w:val="21"/>
        </w:rPr>
        <w:t>本品为复方制剂，其组份为：每片含布洛芬</w:t>
      </w:r>
      <w:r w:rsidRPr="00326EE4">
        <w:rPr>
          <w:rFonts w:ascii="宋体" w:hAnsi="宋体"/>
          <w:szCs w:val="21"/>
        </w:rPr>
        <w:t>200</w:t>
      </w:r>
      <w:r w:rsidRPr="00326EE4">
        <w:rPr>
          <w:rFonts w:ascii="宋体" w:hAnsi="宋体" w:hint="eastAsia"/>
          <w:szCs w:val="21"/>
        </w:rPr>
        <w:t>毫克，盐酸伪麻黄碱</w:t>
      </w:r>
      <w:r w:rsidRPr="00326EE4">
        <w:rPr>
          <w:rFonts w:ascii="宋体" w:hAnsi="宋体"/>
          <w:szCs w:val="21"/>
        </w:rPr>
        <w:t>30</w:t>
      </w:r>
      <w:r w:rsidRPr="00326EE4">
        <w:rPr>
          <w:rFonts w:ascii="宋体" w:hAnsi="宋体" w:hint="eastAsia"/>
          <w:szCs w:val="21"/>
        </w:rPr>
        <w:t>毫克。</w:t>
      </w:r>
    </w:p>
    <w:p w:rsidR="00264676" w:rsidRPr="00326EE4" w:rsidRDefault="00264676" w:rsidP="002B61AF">
      <w:pPr>
        <w:ind w:firstLineChars="200" w:firstLine="31680"/>
        <w:rPr>
          <w:rFonts w:ascii="宋体"/>
          <w:szCs w:val="21"/>
        </w:rPr>
      </w:pPr>
      <w:r w:rsidRPr="00326EE4">
        <w:rPr>
          <w:rFonts w:ascii="宋体" w:hAnsi="宋体" w:hint="eastAsia"/>
          <w:szCs w:val="21"/>
        </w:rPr>
        <w:t>【性状】</w:t>
      </w:r>
    </w:p>
    <w:p w:rsidR="00264676" w:rsidRPr="00326EE4" w:rsidRDefault="00264676" w:rsidP="002B61AF">
      <w:pPr>
        <w:ind w:firstLineChars="200" w:firstLine="31680"/>
        <w:rPr>
          <w:rFonts w:ascii="宋体"/>
          <w:szCs w:val="21"/>
        </w:rPr>
      </w:pPr>
      <w:r w:rsidRPr="00326EE4">
        <w:rPr>
          <w:rFonts w:ascii="宋体" w:hAnsi="宋体" w:hint="eastAsia"/>
          <w:szCs w:val="21"/>
        </w:rPr>
        <w:t>【适应症】用于缓解普通感冒或流行性感冒引起的发热、头痛、咽喉痛、四肢酸痛、关节痛、鼻塞、流涕、打喷嚏等症状。</w:t>
      </w:r>
    </w:p>
    <w:p w:rsidR="00264676" w:rsidRPr="00326EE4" w:rsidRDefault="00264676" w:rsidP="002B61AF">
      <w:pPr>
        <w:ind w:firstLineChars="200" w:firstLine="31680"/>
        <w:rPr>
          <w:rFonts w:ascii="宋体"/>
          <w:szCs w:val="21"/>
        </w:rPr>
      </w:pPr>
      <w:r w:rsidRPr="00326EE4">
        <w:rPr>
          <w:rFonts w:ascii="宋体" w:hAnsi="宋体" w:hint="eastAsia"/>
          <w:szCs w:val="21"/>
        </w:rPr>
        <w:t>【规格】每片含布洛芬</w:t>
      </w:r>
      <w:r w:rsidRPr="00326EE4">
        <w:rPr>
          <w:rFonts w:ascii="宋体" w:hAnsi="宋体"/>
          <w:szCs w:val="21"/>
        </w:rPr>
        <w:t>200</w:t>
      </w:r>
      <w:r w:rsidRPr="00326EE4">
        <w:rPr>
          <w:rFonts w:ascii="宋体" w:hAnsi="宋体" w:hint="eastAsia"/>
          <w:szCs w:val="21"/>
        </w:rPr>
        <w:t>毫克，盐酸伪麻黄碱</w:t>
      </w:r>
      <w:r w:rsidRPr="00326EE4">
        <w:rPr>
          <w:rFonts w:ascii="宋体" w:hAnsi="宋体"/>
          <w:szCs w:val="21"/>
        </w:rPr>
        <w:t>30</w:t>
      </w:r>
      <w:r w:rsidRPr="00326EE4">
        <w:rPr>
          <w:rFonts w:ascii="宋体" w:hAnsi="宋体" w:hint="eastAsia"/>
          <w:szCs w:val="21"/>
        </w:rPr>
        <w:t>毫克。</w:t>
      </w:r>
    </w:p>
    <w:p w:rsidR="00264676" w:rsidRPr="00326EE4" w:rsidRDefault="00264676" w:rsidP="002B61AF">
      <w:pPr>
        <w:ind w:firstLineChars="200" w:firstLine="31680"/>
        <w:rPr>
          <w:rFonts w:ascii="宋体"/>
          <w:szCs w:val="21"/>
        </w:rPr>
      </w:pPr>
      <w:r w:rsidRPr="00326EE4">
        <w:rPr>
          <w:rFonts w:ascii="宋体" w:hAnsi="宋体" w:hint="eastAsia"/>
          <w:szCs w:val="21"/>
        </w:rPr>
        <w:t>【用法用量】饭后口服。成人一次</w:t>
      </w:r>
      <w:r w:rsidRPr="00326EE4">
        <w:rPr>
          <w:rFonts w:ascii="宋体" w:hAnsi="宋体"/>
          <w:szCs w:val="21"/>
        </w:rPr>
        <w:t>2</w:t>
      </w:r>
      <w:r w:rsidRPr="00326EE4">
        <w:rPr>
          <w:rFonts w:ascii="宋体" w:hAnsi="宋体" w:hint="eastAsia"/>
          <w:szCs w:val="21"/>
        </w:rPr>
        <w:t>片，一日</w:t>
      </w:r>
      <w:r w:rsidRPr="00326EE4">
        <w:rPr>
          <w:rFonts w:ascii="宋体" w:hAnsi="宋体"/>
          <w:szCs w:val="21"/>
        </w:rPr>
        <w:t>2</w:t>
      </w:r>
      <w:r w:rsidRPr="00326EE4">
        <w:rPr>
          <w:rFonts w:ascii="宋体" w:hAnsi="宋体" w:hint="eastAsia"/>
          <w:szCs w:val="21"/>
        </w:rPr>
        <w:t>次，</w:t>
      </w:r>
      <w:r w:rsidRPr="00326EE4">
        <w:rPr>
          <w:rFonts w:ascii="宋体" w:hAnsi="宋体"/>
          <w:szCs w:val="21"/>
        </w:rPr>
        <w:t>24</w:t>
      </w:r>
      <w:r w:rsidRPr="00326EE4">
        <w:rPr>
          <w:rFonts w:ascii="宋体" w:hAnsi="宋体" w:hint="eastAsia"/>
          <w:szCs w:val="21"/>
        </w:rPr>
        <w:t>小时内不得超过</w:t>
      </w:r>
      <w:r w:rsidRPr="00326EE4">
        <w:rPr>
          <w:rFonts w:ascii="宋体" w:hAnsi="宋体"/>
          <w:szCs w:val="21"/>
        </w:rPr>
        <w:t>4</w:t>
      </w:r>
      <w:r w:rsidRPr="00326EE4">
        <w:rPr>
          <w:rFonts w:ascii="宋体" w:hAnsi="宋体" w:hint="eastAsia"/>
          <w:szCs w:val="21"/>
        </w:rPr>
        <w:t>片。</w:t>
      </w:r>
    </w:p>
    <w:p w:rsidR="00264676" w:rsidRPr="00326EE4" w:rsidRDefault="00264676" w:rsidP="002B61AF">
      <w:pPr>
        <w:ind w:firstLineChars="200" w:firstLine="31680"/>
        <w:rPr>
          <w:rFonts w:ascii="宋体" w:hAnsi="宋体"/>
          <w:szCs w:val="21"/>
        </w:rPr>
      </w:pPr>
      <w:r w:rsidRPr="00326EE4">
        <w:rPr>
          <w:rFonts w:ascii="宋体" w:hAnsi="宋体" w:hint="eastAsia"/>
          <w:szCs w:val="21"/>
        </w:rPr>
        <w:t>【不良反应】</w:t>
      </w:r>
      <w:r w:rsidRPr="00326EE4">
        <w:rPr>
          <w:rFonts w:ascii="宋体" w:hAnsi="宋体"/>
          <w:szCs w:val="21"/>
        </w:rPr>
        <w:t xml:space="preserve"> </w:t>
      </w:r>
    </w:p>
    <w:p w:rsidR="00264676" w:rsidRPr="00326EE4" w:rsidRDefault="00264676" w:rsidP="00326EE4">
      <w:pPr>
        <w:ind w:firstLine="435"/>
        <w:rPr>
          <w:rFonts w:ascii="宋体"/>
          <w:szCs w:val="21"/>
        </w:rPr>
      </w:pPr>
      <w:r w:rsidRPr="00326EE4">
        <w:rPr>
          <w:rFonts w:ascii="宋体" w:hAnsi="宋体" w:hint="eastAsia"/>
          <w:szCs w:val="21"/>
        </w:rPr>
        <w:t>本品应用后少数病人可出现恶心、呕吐、胃烧灼感或轻度消化不良、胃肠道溃疡及出血、转氨酶升高、头痛、头晕、耳鸣、视力模糊、精神紧张、嗜睡、下肢水肿或体重骤增。罕见皮疹、过敏性肾炎、膀胱炎、肾病综合征、肾乳头坏死或肾功能衰竭、支气管痉挛。</w:t>
      </w:r>
    </w:p>
    <w:p w:rsidR="00264676" w:rsidRPr="00DB3028" w:rsidRDefault="00264676" w:rsidP="002B61AF">
      <w:pPr>
        <w:ind w:firstLineChars="200" w:firstLine="31680"/>
        <w:rPr>
          <w:rFonts w:ascii="宋体"/>
          <w:szCs w:val="21"/>
        </w:rPr>
      </w:pPr>
      <w:r w:rsidRPr="00326EE4">
        <w:rPr>
          <w:rFonts w:ascii="宋体" w:hAnsi="宋体" w:hint="eastAsia"/>
          <w:szCs w:val="21"/>
        </w:rPr>
        <w:t>单用伪麻黄碱可出现以下不良反应：伪麻黄碱</w:t>
      </w:r>
      <w:r>
        <w:rPr>
          <w:rFonts w:ascii="宋体" w:hAnsi="宋体" w:hint="eastAsia"/>
          <w:szCs w:val="21"/>
        </w:rPr>
        <w:t>是拟交感神经药物，</w:t>
      </w:r>
      <w:r w:rsidRPr="00334A9C">
        <w:rPr>
          <w:rFonts w:ascii="宋体" w:hAnsi="宋体" w:hint="eastAsia"/>
          <w:szCs w:val="21"/>
        </w:rPr>
        <w:t>可能会视物模糊、头痛、烦躁、失眠、恶心、呕吐、口渴、心悸、尿频的发生率</w:t>
      </w:r>
      <w:r>
        <w:rPr>
          <w:rFonts w:ascii="宋体" w:hAnsi="宋体" w:hint="eastAsia"/>
          <w:szCs w:val="21"/>
        </w:rPr>
        <w:t>增加。可出现错觉与幻觉，有些还能发展成心律失常、循环衰竭、惊悸、昏迷和呼吸衰竭。对于高敏患者</w:t>
      </w:r>
      <w:r w:rsidRPr="00334A9C">
        <w:rPr>
          <w:rFonts w:ascii="宋体" w:hAnsi="宋体" w:hint="eastAsia"/>
          <w:szCs w:val="21"/>
        </w:rPr>
        <w:t>可能引起轻度中枢系统症状，如神经过敏、失眠、视物模糊、兴</w:t>
      </w:r>
      <w:r>
        <w:rPr>
          <w:rFonts w:ascii="宋体" w:hAnsi="宋体" w:hint="eastAsia"/>
          <w:szCs w:val="21"/>
        </w:rPr>
        <w:t>奋、头昏、乏力，现已有报道头痛、恶心、困倦、心悸、血压波动、心律</w:t>
      </w:r>
      <w:r w:rsidRPr="00334A9C">
        <w:rPr>
          <w:rFonts w:ascii="宋体" w:hAnsi="宋体" w:hint="eastAsia"/>
          <w:szCs w:val="21"/>
        </w:rPr>
        <w:t>失常等症，同时拟交感神经药物还可能出现如幻觉、紧张、战栗、呼吸困难、排尿困难、循环衰竭等不良反应。</w:t>
      </w:r>
    </w:p>
    <w:p w:rsidR="00264676" w:rsidRPr="00326EE4" w:rsidRDefault="00264676" w:rsidP="002B61AF">
      <w:pPr>
        <w:ind w:firstLineChars="200" w:firstLine="31680"/>
        <w:rPr>
          <w:rFonts w:ascii="宋体" w:cs="Arial"/>
          <w:color w:val="000000"/>
          <w:szCs w:val="21"/>
        </w:rPr>
      </w:pPr>
      <w:r w:rsidRPr="00326EE4">
        <w:rPr>
          <w:rFonts w:ascii="宋体" w:hAnsi="宋体" w:hint="eastAsia"/>
          <w:szCs w:val="21"/>
        </w:rPr>
        <w:t>单用布洛芬可出现以下不良反应：</w:t>
      </w:r>
      <w:r w:rsidRPr="00326EE4">
        <w:rPr>
          <w:rFonts w:ascii="宋体" w:hAnsi="宋体" w:cs="Arial" w:hint="eastAsia"/>
          <w:color w:val="000000"/>
          <w:szCs w:val="21"/>
        </w:rPr>
        <w:t>消化系统：可出现消化不良</w:t>
      </w:r>
      <w:r w:rsidRPr="00326EE4">
        <w:rPr>
          <w:rFonts w:ascii="宋体" w:hAnsi="宋体" w:cs="Arial"/>
          <w:color w:val="000000"/>
          <w:szCs w:val="21"/>
        </w:rPr>
        <w:t>(</w:t>
      </w:r>
      <w:r w:rsidRPr="00326EE4">
        <w:rPr>
          <w:rFonts w:ascii="宋体" w:hAnsi="宋体" w:cs="Arial" w:hint="eastAsia"/>
          <w:color w:val="000000"/>
          <w:szCs w:val="21"/>
        </w:rPr>
        <w:t>约</w:t>
      </w:r>
      <w:r w:rsidRPr="00326EE4">
        <w:rPr>
          <w:rFonts w:ascii="宋体" w:hAnsi="宋体" w:cs="Arial"/>
          <w:color w:val="000000"/>
          <w:szCs w:val="21"/>
        </w:rPr>
        <w:t>16%)</w:t>
      </w:r>
      <w:r w:rsidRPr="00326EE4">
        <w:rPr>
          <w:rFonts w:ascii="宋体" w:hAnsi="宋体" w:cs="Arial" w:hint="eastAsia"/>
          <w:color w:val="000000"/>
          <w:szCs w:val="21"/>
        </w:rPr>
        <w:t>，也较多见胃烧灼感、胃痛、恶心、呕吐等，但症状较轻，停药后即消失，不停药也可耐受；偶见消化性溃疡和消化道出血</w:t>
      </w:r>
      <w:r w:rsidRPr="00326EE4">
        <w:rPr>
          <w:rFonts w:ascii="宋体" w:hAnsi="宋体" w:cs="Arial"/>
          <w:color w:val="000000"/>
          <w:szCs w:val="21"/>
        </w:rPr>
        <w:t>(</w:t>
      </w:r>
      <w:r w:rsidRPr="00326EE4">
        <w:rPr>
          <w:rFonts w:ascii="宋体" w:hAnsi="宋体" w:cs="Arial" w:hint="eastAsia"/>
          <w:color w:val="000000"/>
          <w:szCs w:val="21"/>
        </w:rPr>
        <w:t>发生率均低于</w:t>
      </w:r>
      <w:r w:rsidRPr="00326EE4">
        <w:rPr>
          <w:rFonts w:ascii="宋体" w:hAnsi="宋体" w:cs="Arial"/>
          <w:color w:val="000000"/>
          <w:szCs w:val="21"/>
        </w:rPr>
        <w:t>1%)</w:t>
      </w:r>
      <w:r w:rsidRPr="00326EE4">
        <w:rPr>
          <w:rFonts w:ascii="宋体" w:hAnsi="宋体" w:cs="Arial" w:hint="eastAsia"/>
          <w:color w:val="000000"/>
          <w:szCs w:val="21"/>
        </w:rPr>
        <w:t>，亦有因溃疡而致穿孔的报道。神经系统：偶可出现头痛、嗜睡、晕眩、耳鸣等，发生率为</w:t>
      </w:r>
      <w:r w:rsidRPr="00326EE4">
        <w:rPr>
          <w:rFonts w:ascii="宋体" w:hAnsi="宋体" w:cs="Arial"/>
          <w:color w:val="000000"/>
          <w:szCs w:val="21"/>
        </w:rPr>
        <w:t>1%</w:t>
      </w:r>
      <w:r w:rsidRPr="00C07B6A">
        <w:rPr>
          <w:rFonts w:ascii="宋体" w:hAnsi="宋体" w:cs="Arial" w:hint="eastAsia"/>
          <w:color w:val="000000"/>
          <w:szCs w:val="21"/>
        </w:rPr>
        <w:t>～</w:t>
      </w:r>
      <w:r w:rsidRPr="00326EE4">
        <w:rPr>
          <w:rFonts w:ascii="宋体" w:hAnsi="宋体" w:cs="Arial"/>
          <w:color w:val="000000"/>
          <w:szCs w:val="21"/>
        </w:rPr>
        <w:t>3%</w:t>
      </w:r>
      <w:r w:rsidRPr="00326EE4">
        <w:rPr>
          <w:rFonts w:ascii="宋体" w:hAnsi="宋体" w:cs="Arial" w:hint="eastAsia"/>
          <w:color w:val="000000"/>
          <w:szCs w:val="21"/>
        </w:rPr>
        <w:t>；抑郁或其他精神症状、视物模糊及中毒性弱视少见。肝脏：肝毒性反应轻微，可见肝功能异常，主要表现为氨基转移酶升高。肾脏：少数患者用药后可出现下肢水肿；对一些有潜在性肾病的易感者可出现肾乳头坏死的急性肾功能不全；血尿素氮及血清肌酸酐含量升高，肌酐清除率下降。血液系统：大剂量用药可抑制血小板聚集而使出血时间延长</w:t>
      </w:r>
      <w:r w:rsidRPr="00326EE4">
        <w:rPr>
          <w:rFonts w:ascii="宋体" w:hAnsi="宋体" w:cs="Arial"/>
          <w:color w:val="000000"/>
          <w:szCs w:val="21"/>
        </w:rPr>
        <w:t>(</w:t>
      </w:r>
      <w:r w:rsidRPr="00326EE4">
        <w:rPr>
          <w:rFonts w:ascii="宋体" w:hAnsi="宋体" w:cs="Arial" w:hint="eastAsia"/>
          <w:color w:val="000000"/>
          <w:szCs w:val="21"/>
        </w:rPr>
        <w:t>停药</w:t>
      </w:r>
      <w:r w:rsidRPr="00326EE4">
        <w:rPr>
          <w:rFonts w:ascii="宋体" w:hAnsi="宋体" w:cs="Arial"/>
          <w:color w:val="000000"/>
          <w:szCs w:val="21"/>
        </w:rPr>
        <w:t>24</w:t>
      </w:r>
      <w:r w:rsidRPr="00326EE4">
        <w:rPr>
          <w:rFonts w:ascii="宋体" w:hAnsi="宋体" w:cs="Arial" w:hint="eastAsia"/>
          <w:color w:val="000000"/>
          <w:szCs w:val="21"/>
        </w:rPr>
        <w:t>小时后该作用即可消失</w:t>
      </w:r>
      <w:r w:rsidRPr="00326EE4">
        <w:rPr>
          <w:rFonts w:ascii="宋体" w:hAnsi="宋体" w:cs="Arial"/>
          <w:color w:val="000000"/>
          <w:szCs w:val="21"/>
        </w:rPr>
        <w:t>)</w:t>
      </w:r>
      <w:r w:rsidRPr="00326EE4">
        <w:rPr>
          <w:rFonts w:ascii="宋体" w:hAnsi="宋体" w:cs="Arial" w:hint="eastAsia"/>
          <w:color w:val="000000"/>
          <w:szCs w:val="21"/>
        </w:rPr>
        <w:t>，还可出现白细胞减少、粒细胞减少甚至粒细胞缺乏、血小板缺乏及全血细胞减少；个别患者可因胃肠道隐血而致贫血。皮肤：过敏性皮肤反应不常见，多为短暂性荨麻疹、紫癜性或红斑性改变，常伴有瘙痒。呼吸系统：易感者可出现支气管哮喘发作。</w:t>
      </w:r>
    </w:p>
    <w:p w:rsidR="00264676" w:rsidRPr="00326EE4" w:rsidRDefault="00264676" w:rsidP="002B61AF">
      <w:pPr>
        <w:ind w:firstLineChars="200" w:firstLine="31680"/>
        <w:rPr>
          <w:rFonts w:ascii="宋体"/>
          <w:szCs w:val="21"/>
        </w:rPr>
      </w:pPr>
      <w:r w:rsidRPr="00326EE4">
        <w:rPr>
          <w:rFonts w:ascii="宋体" w:hAnsi="宋体" w:hint="eastAsia"/>
          <w:szCs w:val="21"/>
        </w:rPr>
        <w:t>【禁忌】</w:t>
      </w:r>
      <w:r w:rsidRPr="00326EE4">
        <w:rPr>
          <w:rFonts w:ascii="宋体" w:hAnsi="宋体"/>
          <w:szCs w:val="21"/>
        </w:rPr>
        <w:t xml:space="preserve"> </w:t>
      </w:r>
      <w:r w:rsidRPr="00326EE4">
        <w:rPr>
          <w:rFonts w:ascii="宋体" w:hAnsi="宋体" w:hint="eastAsia"/>
          <w:szCs w:val="21"/>
        </w:rPr>
        <w:t>本品禁用于对本品中所含成份及肾上腺素类药物或其他化学结构与之相似的药物有过敏或特异质反应的患者。</w:t>
      </w:r>
      <w:r w:rsidRPr="00326EE4">
        <w:rPr>
          <w:rFonts w:ascii="宋体" w:hAnsi="宋体" w:cs="Arial" w:hint="eastAsia"/>
          <w:color w:val="000000"/>
          <w:szCs w:val="21"/>
        </w:rPr>
        <w:t>对阿司匹林或其他</w:t>
      </w:r>
      <w:r w:rsidRPr="00326EE4">
        <w:rPr>
          <w:rFonts w:ascii="宋体" w:hAnsi="宋体" w:hint="eastAsia"/>
          <w:szCs w:val="21"/>
        </w:rPr>
        <w:t>非甾体抗炎药（</w:t>
      </w:r>
      <w:r w:rsidRPr="00326EE4">
        <w:rPr>
          <w:rFonts w:ascii="宋体" w:hAnsi="宋体" w:cs="Arial"/>
          <w:color w:val="000000"/>
          <w:szCs w:val="21"/>
        </w:rPr>
        <w:t>NSAIDs</w:t>
      </w:r>
      <w:r w:rsidRPr="00326EE4">
        <w:rPr>
          <w:rFonts w:ascii="宋体" w:hAnsi="宋体" w:cs="Arial" w:hint="eastAsia"/>
          <w:color w:val="000000"/>
          <w:szCs w:val="21"/>
        </w:rPr>
        <w:t>）过敏者。</w:t>
      </w:r>
      <w:r w:rsidRPr="00326EE4">
        <w:rPr>
          <w:rFonts w:ascii="宋体" w:hAnsi="宋体" w:hint="eastAsia"/>
          <w:szCs w:val="21"/>
        </w:rPr>
        <w:t>正在接受单胺氧化酶抑制剂治疗或</w:t>
      </w:r>
      <w:r w:rsidRPr="00326EE4">
        <w:rPr>
          <w:rFonts w:ascii="宋体" w:hAnsi="宋体"/>
          <w:szCs w:val="21"/>
        </w:rPr>
        <w:t>14</w:t>
      </w:r>
      <w:r w:rsidRPr="00326EE4">
        <w:rPr>
          <w:rFonts w:ascii="宋体" w:hAnsi="宋体" w:hint="eastAsia"/>
          <w:szCs w:val="21"/>
        </w:rPr>
        <w:t>日内接受过这类治疗或刚停止这类治疗的患者。有窄角型青光眼、尿潴留、</w:t>
      </w:r>
      <w:r w:rsidRPr="00326EE4">
        <w:rPr>
          <w:rFonts w:ascii="宋体" w:hAnsi="宋体" w:cs="Arial" w:hint="eastAsia"/>
          <w:color w:val="000000"/>
          <w:szCs w:val="21"/>
        </w:rPr>
        <w:t>活动性消化性溃疡或溃疡合并出血</w:t>
      </w:r>
      <w:r w:rsidRPr="00326EE4">
        <w:rPr>
          <w:rFonts w:ascii="宋体" w:hAnsi="宋体" w:cs="Arial"/>
          <w:color w:val="000000"/>
          <w:szCs w:val="21"/>
        </w:rPr>
        <w:t>(</w:t>
      </w:r>
      <w:r w:rsidRPr="00326EE4">
        <w:rPr>
          <w:rFonts w:ascii="宋体" w:hAnsi="宋体" w:cs="Arial" w:hint="eastAsia"/>
          <w:color w:val="000000"/>
          <w:szCs w:val="21"/>
        </w:rPr>
        <w:t>或穿孔</w:t>
      </w:r>
      <w:r w:rsidRPr="00326EE4">
        <w:rPr>
          <w:rFonts w:ascii="宋体" w:hAnsi="宋体" w:cs="Arial"/>
          <w:color w:val="000000"/>
          <w:szCs w:val="21"/>
        </w:rPr>
        <w:t>)</w:t>
      </w:r>
      <w:r w:rsidRPr="00326EE4">
        <w:rPr>
          <w:rFonts w:ascii="宋体" w:hAnsi="宋体" w:cs="Arial" w:hint="eastAsia"/>
          <w:color w:val="000000"/>
          <w:szCs w:val="21"/>
        </w:rPr>
        <w:t>者、有失血倾向者、冠状动脉旁路移植围手术期患者、</w:t>
      </w:r>
      <w:r w:rsidRPr="00326EE4">
        <w:rPr>
          <w:rFonts w:ascii="宋体" w:hAnsi="宋体" w:hint="eastAsia"/>
          <w:szCs w:val="21"/>
        </w:rPr>
        <w:t>严重高血压或严重冠状动脉疾病患者。</w:t>
      </w:r>
    </w:p>
    <w:p w:rsidR="00264676" w:rsidRPr="00326EE4" w:rsidRDefault="00264676" w:rsidP="002B61AF">
      <w:pPr>
        <w:ind w:firstLineChars="200" w:firstLine="31680"/>
        <w:rPr>
          <w:rFonts w:ascii="宋体" w:hAnsi="宋体"/>
          <w:szCs w:val="21"/>
        </w:rPr>
      </w:pPr>
      <w:r w:rsidRPr="00326EE4">
        <w:rPr>
          <w:rFonts w:ascii="宋体" w:hAnsi="宋体" w:hint="eastAsia"/>
          <w:szCs w:val="21"/>
        </w:rPr>
        <w:t>【注意事项】</w:t>
      </w:r>
      <w:r w:rsidRPr="00326EE4">
        <w:rPr>
          <w:rFonts w:ascii="宋体" w:hAnsi="宋体"/>
          <w:szCs w:val="21"/>
        </w:rPr>
        <w:t xml:space="preserve"> </w:t>
      </w:r>
    </w:p>
    <w:p w:rsidR="00264676" w:rsidRPr="00326EE4" w:rsidRDefault="00264676" w:rsidP="002B61AF">
      <w:pPr>
        <w:ind w:firstLineChars="200" w:firstLine="31680"/>
        <w:rPr>
          <w:rFonts w:ascii="宋体"/>
          <w:szCs w:val="21"/>
        </w:rPr>
      </w:pPr>
      <w:r w:rsidRPr="00326EE4">
        <w:rPr>
          <w:rFonts w:ascii="宋体" w:hAnsi="宋体"/>
          <w:szCs w:val="21"/>
        </w:rPr>
        <w:t>1.</w:t>
      </w:r>
      <w:r w:rsidRPr="00326EE4">
        <w:rPr>
          <w:rFonts w:ascii="宋体" w:hAnsi="宋体" w:hint="eastAsia"/>
          <w:szCs w:val="21"/>
        </w:rPr>
        <w:t>运动员慎用。</w:t>
      </w:r>
    </w:p>
    <w:p w:rsidR="00264676" w:rsidRPr="00326EE4" w:rsidRDefault="00264676" w:rsidP="002B61AF">
      <w:pPr>
        <w:ind w:firstLineChars="200" w:firstLine="31680"/>
        <w:rPr>
          <w:rFonts w:ascii="宋体" w:cs="Arial"/>
          <w:color w:val="000000"/>
          <w:szCs w:val="21"/>
        </w:rPr>
      </w:pPr>
      <w:r w:rsidRPr="00326EE4">
        <w:rPr>
          <w:rFonts w:ascii="宋体" w:hAnsi="宋体"/>
          <w:szCs w:val="21"/>
        </w:rPr>
        <w:t xml:space="preserve">2. </w:t>
      </w:r>
      <w:r w:rsidRPr="00326EE4">
        <w:rPr>
          <w:rFonts w:ascii="宋体" w:hAnsi="宋体" w:cs="Arial" w:hint="eastAsia"/>
          <w:color w:val="000000"/>
          <w:szCs w:val="21"/>
        </w:rPr>
        <w:t>特别警示：因布洛芬为</w:t>
      </w:r>
      <w:r w:rsidRPr="00326EE4">
        <w:rPr>
          <w:rFonts w:ascii="宋体" w:hAnsi="宋体" w:cs="Arial"/>
          <w:color w:val="000000"/>
          <w:szCs w:val="21"/>
        </w:rPr>
        <w:t>NSAIDs</w:t>
      </w:r>
      <w:r w:rsidRPr="00326EE4">
        <w:rPr>
          <w:rFonts w:ascii="宋体" w:hAnsi="宋体" w:cs="Arial" w:hint="eastAsia"/>
          <w:color w:val="000000"/>
          <w:szCs w:val="21"/>
        </w:rPr>
        <w:t>，可出现心血管和胃肠风险。</w:t>
      </w:r>
      <w:r w:rsidRPr="00326EE4">
        <w:rPr>
          <w:rFonts w:ascii="宋体" w:hAnsi="宋体" w:cs="Arial"/>
          <w:color w:val="000000"/>
          <w:szCs w:val="21"/>
        </w:rPr>
        <w:t>(1)</w:t>
      </w:r>
      <w:r w:rsidRPr="00326EE4">
        <w:rPr>
          <w:rFonts w:ascii="宋体" w:hAnsi="宋体" w:cs="Arial" w:hint="eastAsia"/>
          <w:color w:val="000000"/>
          <w:szCs w:val="21"/>
        </w:rPr>
        <w:t>心血管风险：</w:t>
      </w:r>
      <w:r w:rsidRPr="00326EE4">
        <w:rPr>
          <w:rFonts w:ascii="宋体" w:hAnsi="宋体" w:cs="Arial"/>
          <w:color w:val="000000"/>
          <w:szCs w:val="21"/>
        </w:rPr>
        <w:t>NSAIDs</w:t>
      </w:r>
      <w:r w:rsidRPr="00326EE4">
        <w:rPr>
          <w:rFonts w:ascii="宋体" w:hAnsi="宋体" w:cs="Arial" w:hint="eastAsia"/>
          <w:color w:val="000000"/>
          <w:szCs w:val="21"/>
        </w:rPr>
        <w:t>可能使严重心血管血栓形成事件、心肌梗死、脑卒中发生的风险增加</w:t>
      </w:r>
      <w:r w:rsidRPr="00326EE4">
        <w:rPr>
          <w:rFonts w:ascii="宋体" w:hAnsi="宋体" w:cs="Arial"/>
          <w:color w:val="000000"/>
          <w:szCs w:val="21"/>
        </w:rPr>
        <w:t>(</w:t>
      </w:r>
      <w:r w:rsidRPr="00326EE4">
        <w:rPr>
          <w:rFonts w:ascii="宋体" w:hAnsi="宋体" w:cs="Arial" w:hint="eastAsia"/>
          <w:color w:val="000000"/>
          <w:szCs w:val="21"/>
        </w:rPr>
        <w:t>以上情况均可能致死</w:t>
      </w:r>
      <w:r w:rsidRPr="00326EE4">
        <w:rPr>
          <w:rFonts w:ascii="宋体" w:hAnsi="宋体" w:cs="Arial"/>
          <w:color w:val="000000"/>
          <w:szCs w:val="21"/>
        </w:rPr>
        <w:t>)</w:t>
      </w:r>
      <w:r w:rsidRPr="00326EE4">
        <w:rPr>
          <w:rFonts w:ascii="宋体" w:hAnsi="宋体" w:cs="Arial" w:hint="eastAsia"/>
          <w:color w:val="000000"/>
          <w:szCs w:val="21"/>
        </w:rPr>
        <w:t>，这种风险可能随用药持续时间而增加。有心血管疾病或心血管疾病风险因素的患者风险更大。本药禁用于冠状动脉旁路移植围手术期疼痛的治疗。</w:t>
      </w:r>
      <w:r w:rsidRPr="00326EE4">
        <w:rPr>
          <w:rFonts w:ascii="宋体" w:hAnsi="宋体" w:cs="Arial"/>
          <w:color w:val="000000"/>
          <w:szCs w:val="21"/>
        </w:rPr>
        <w:t>(2)</w:t>
      </w:r>
      <w:r w:rsidRPr="00326EE4">
        <w:rPr>
          <w:rFonts w:ascii="宋体" w:hAnsi="宋体" w:cs="Arial" w:hint="eastAsia"/>
          <w:color w:val="000000"/>
          <w:szCs w:val="21"/>
        </w:rPr>
        <w:t>胃肠道风险：</w:t>
      </w:r>
      <w:r w:rsidRPr="00326EE4">
        <w:rPr>
          <w:rFonts w:ascii="宋体" w:hAnsi="宋体" w:cs="Arial"/>
          <w:color w:val="000000"/>
          <w:szCs w:val="21"/>
        </w:rPr>
        <w:t>NSAIDs</w:t>
      </w:r>
      <w:r w:rsidRPr="00326EE4">
        <w:rPr>
          <w:rFonts w:ascii="宋体" w:hAnsi="宋体" w:cs="Arial" w:hint="eastAsia"/>
          <w:color w:val="000000"/>
          <w:szCs w:val="21"/>
        </w:rPr>
        <w:t>可能使严重胃肠道不良事件</w:t>
      </w:r>
      <w:r w:rsidRPr="00326EE4">
        <w:rPr>
          <w:rFonts w:ascii="宋体" w:hAnsi="宋体" w:cs="Arial"/>
          <w:color w:val="000000"/>
          <w:szCs w:val="21"/>
        </w:rPr>
        <w:t>(</w:t>
      </w:r>
      <w:r w:rsidRPr="00326EE4">
        <w:rPr>
          <w:rFonts w:ascii="宋体" w:hAnsi="宋体" w:cs="Arial" w:hint="eastAsia"/>
          <w:color w:val="000000"/>
          <w:szCs w:val="21"/>
        </w:rPr>
        <w:t>包括胃或肠道出血、溃疡和穿孔</w:t>
      </w:r>
      <w:r w:rsidRPr="00326EE4">
        <w:rPr>
          <w:rFonts w:ascii="宋体" w:hAnsi="宋体" w:cs="Arial"/>
          <w:color w:val="000000"/>
          <w:szCs w:val="21"/>
        </w:rPr>
        <w:t>)</w:t>
      </w:r>
      <w:r w:rsidRPr="00326EE4">
        <w:rPr>
          <w:rFonts w:ascii="宋体" w:hAnsi="宋体" w:cs="Arial" w:hint="eastAsia"/>
          <w:color w:val="000000"/>
          <w:szCs w:val="21"/>
        </w:rPr>
        <w:t>发生的风险增加</w:t>
      </w:r>
      <w:r w:rsidRPr="00326EE4">
        <w:rPr>
          <w:rFonts w:ascii="宋体" w:hAnsi="宋体" w:cs="Arial"/>
          <w:color w:val="000000"/>
          <w:szCs w:val="21"/>
        </w:rPr>
        <w:t>(</w:t>
      </w:r>
      <w:r w:rsidRPr="00326EE4">
        <w:rPr>
          <w:rFonts w:ascii="宋体" w:hAnsi="宋体" w:cs="Arial" w:hint="eastAsia"/>
          <w:color w:val="000000"/>
          <w:szCs w:val="21"/>
        </w:rPr>
        <w:t>以上情况均可能致死</w:t>
      </w:r>
      <w:r w:rsidRPr="00326EE4">
        <w:rPr>
          <w:rFonts w:ascii="宋体" w:hAnsi="宋体" w:cs="Arial"/>
          <w:color w:val="000000"/>
          <w:szCs w:val="21"/>
        </w:rPr>
        <w:t>)</w:t>
      </w:r>
      <w:r w:rsidRPr="00326EE4">
        <w:rPr>
          <w:rFonts w:ascii="宋体" w:hAnsi="宋体" w:cs="Arial" w:hint="eastAsia"/>
          <w:color w:val="000000"/>
          <w:szCs w:val="21"/>
        </w:rPr>
        <w:t>，这些事件可以发生在用药的任何时候，无警示症状。老年患者发生的风险更大。</w:t>
      </w:r>
    </w:p>
    <w:p w:rsidR="00264676" w:rsidRPr="00326EE4" w:rsidRDefault="00264676" w:rsidP="002B61AF">
      <w:pPr>
        <w:ind w:firstLineChars="200" w:firstLine="31680"/>
        <w:rPr>
          <w:rFonts w:ascii="宋体" w:cs="Arial"/>
          <w:color w:val="000000"/>
          <w:szCs w:val="21"/>
        </w:rPr>
      </w:pPr>
      <w:r w:rsidRPr="00326EE4">
        <w:rPr>
          <w:rFonts w:ascii="宋体" w:hAnsi="宋体" w:cs="Arial"/>
          <w:color w:val="000000"/>
          <w:szCs w:val="21"/>
        </w:rPr>
        <w:t>3.</w:t>
      </w:r>
      <w:r w:rsidRPr="00326EE4">
        <w:rPr>
          <w:rFonts w:ascii="宋体" w:hAnsi="宋体" w:cs="Arial" w:hint="eastAsia"/>
          <w:color w:val="000000"/>
          <w:szCs w:val="21"/>
        </w:rPr>
        <w:t>交叉过敏：对阿司匹林或其他</w:t>
      </w:r>
      <w:r w:rsidRPr="00326EE4">
        <w:rPr>
          <w:rFonts w:ascii="宋体" w:hAnsi="宋体" w:cs="Arial"/>
          <w:color w:val="000000"/>
          <w:szCs w:val="21"/>
        </w:rPr>
        <w:t>NSAIDs</w:t>
      </w:r>
      <w:r w:rsidRPr="00326EE4">
        <w:rPr>
          <w:rFonts w:ascii="宋体" w:hAnsi="宋体" w:cs="Arial" w:hint="eastAsia"/>
          <w:color w:val="000000"/>
          <w:szCs w:val="21"/>
        </w:rPr>
        <w:t>过敏者，也可能对布洛芬过敏。</w:t>
      </w:r>
    </w:p>
    <w:p w:rsidR="00264676" w:rsidRPr="00326EE4" w:rsidRDefault="00264676" w:rsidP="002B61AF">
      <w:pPr>
        <w:ind w:firstLineChars="200" w:firstLine="31680"/>
        <w:rPr>
          <w:rFonts w:ascii="宋体"/>
          <w:szCs w:val="21"/>
        </w:rPr>
      </w:pPr>
      <w:r w:rsidRPr="00326EE4">
        <w:rPr>
          <w:rFonts w:ascii="宋体" w:hAnsi="宋体"/>
          <w:szCs w:val="21"/>
        </w:rPr>
        <w:t>4.</w:t>
      </w:r>
      <w:r w:rsidRPr="00326EE4">
        <w:rPr>
          <w:rFonts w:ascii="宋体" w:hAnsi="宋体" w:cs="Arial" w:hint="eastAsia"/>
          <w:color w:val="000000"/>
          <w:szCs w:val="21"/>
        </w:rPr>
        <w:t>支气管哮喘患者或有此病史者</w:t>
      </w:r>
      <w:r w:rsidRPr="00326EE4">
        <w:rPr>
          <w:rFonts w:ascii="宋体" w:hAnsi="宋体" w:cs="Arial"/>
          <w:color w:val="000000"/>
          <w:szCs w:val="21"/>
        </w:rPr>
        <w:t>(</w:t>
      </w:r>
      <w:r w:rsidRPr="00326EE4">
        <w:rPr>
          <w:rFonts w:ascii="宋体" w:hAnsi="宋体" w:cs="Arial" w:hint="eastAsia"/>
          <w:color w:val="000000"/>
          <w:szCs w:val="21"/>
        </w:rPr>
        <w:t>可能引起支气管痉挛</w:t>
      </w:r>
      <w:r w:rsidRPr="00326EE4">
        <w:rPr>
          <w:rFonts w:ascii="宋体" w:hAnsi="宋体" w:cs="Arial"/>
          <w:color w:val="000000"/>
          <w:szCs w:val="21"/>
        </w:rPr>
        <w:t>)</w:t>
      </w:r>
      <w:r w:rsidRPr="00326EE4">
        <w:rPr>
          <w:rFonts w:ascii="宋体" w:hAnsi="宋体" w:hint="eastAsia"/>
          <w:szCs w:val="21"/>
        </w:rPr>
        <w:t>、肝肾功能不全、</w:t>
      </w:r>
      <w:r w:rsidRPr="00326EE4">
        <w:rPr>
          <w:rFonts w:ascii="宋体" w:hAnsi="宋体" w:cs="Arial" w:hint="eastAsia"/>
          <w:color w:val="000000"/>
          <w:szCs w:val="21"/>
        </w:rPr>
        <w:t>心功能不全、高血压、血友病或其他出血性疾病</w:t>
      </w:r>
      <w:r w:rsidRPr="00326EE4">
        <w:rPr>
          <w:rFonts w:ascii="宋体" w:hAnsi="宋体" w:cs="Arial"/>
          <w:color w:val="000000"/>
          <w:szCs w:val="21"/>
        </w:rPr>
        <w:t>(</w:t>
      </w:r>
      <w:r w:rsidRPr="00326EE4">
        <w:rPr>
          <w:rFonts w:ascii="宋体" w:hAnsi="宋体" w:cs="Arial" w:hint="eastAsia"/>
          <w:color w:val="000000"/>
          <w:szCs w:val="21"/>
        </w:rPr>
        <w:t>包括凝血障碍及血小板功能异常</w:t>
      </w:r>
      <w:r w:rsidRPr="00326EE4">
        <w:rPr>
          <w:rFonts w:ascii="宋体" w:hAnsi="宋体" w:cs="Arial"/>
          <w:color w:val="000000"/>
          <w:szCs w:val="21"/>
        </w:rPr>
        <w:t>)</w:t>
      </w:r>
      <w:r w:rsidRPr="00326EE4">
        <w:rPr>
          <w:rFonts w:ascii="宋体" w:hAnsi="宋体" w:hint="eastAsia"/>
          <w:szCs w:val="21"/>
        </w:rPr>
        <w:t>、</w:t>
      </w:r>
      <w:r w:rsidRPr="00326EE4">
        <w:rPr>
          <w:rFonts w:ascii="宋体" w:hAnsi="宋体" w:cs="Arial" w:hint="eastAsia"/>
          <w:color w:val="000000"/>
          <w:szCs w:val="21"/>
        </w:rPr>
        <w:t>红斑狼疮或其他免疫疾病患者、</w:t>
      </w:r>
      <w:r w:rsidRPr="00326EE4">
        <w:rPr>
          <w:rFonts w:ascii="宋体" w:hAnsi="宋体" w:hint="eastAsia"/>
          <w:szCs w:val="21"/>
        </w:rPr>
        <w:t>消化性溃疡、幽门十二指肠梗阻、</w:t>
      </w:r>
      <w:r w:rsidRPr="00326EE4">
        <w:rPr>
          <w:rFonts w:ascii="宋体" w:hAnsi="宋体" w:cs="Arial" w:hint="eastAsia"/>
          <w:color w:val="000000"/>
          <w:szCs w:val="21"/>
        </w:rPr>
        <w:t>肠胃疾病患者、</w:t>
      </w:r>
      <w:r w:rsidRPr="00326EE4">
        <w:rPr>
          <w:rFonts w:ascii="宋体" w:hAnsi="宋体" w:hint="eastAsia"/>
          <w:szCs w:val="21"/>
        </w:rPr>
        <w:t>前列腺肥大、膀胱颈梗阻、心血管疾病、眼内压增加、甲状腺机能亢进者、肾功能不全者、糖尿病患者应慎用；接受洋地黄治疗的患者慎用。</w:t>
      </w:r>
    </w:p>
    <w:p w:rsidR="00264676" w:rsidRPr="00326EE4" w:rsidRDefault="00264676" w:rsidP="002B61AF">
      <w:pPr>
        <w:ind w:firstLineChars="200" w:firstLine="31680"/>
        <w:rPr>
          <w:rFonts w:ascii="宋体"/>
          <w:szCs w:val="21"/>
        </w:rPr>
      </w:pPr>
      <w:r w:rsidRPr="00326EE4">
        <w:rPr>
          <w:rFonts w:ascii="宋体" w:hAnsi="宋体"/>
          <w:szCs w:val="21"/>
        </w:rPr>
        <w:t>5.</w:t>
      </w:r>
      <w:r w:rsidRPr="00326EE4">
        <w:rPr>
          <w:rFonts w:ascii="宋体" w:hAnsi="宋体" w:hint="eastAsia"/>
          <w:szCs w:val="21"/>
        </w:rPr>
        <w:t>拟交感神经药可能引起中枢神经系统兴奋、抽搐、和／或伴有低血压、循环虚脱。</w:t>
      </w:r>
      <w:r w:rsidRPr="00326EE4">
        <w:rPr>
          <w:rFonts w:ascii="宋体" w:hAnsi="宋体"/>
          <w:szCs w:val="21"/>
        </w:rPr>
        <w:t>60</w:t>
      </w:r>
      <w:r w:rsidRPr="00326EE4">
        <w:rPr>
          <w:rFonts w:ascii="宋体" w:hAnsi="宋体" w:hint="eastAsia"/>
          <w:szCs w:val="21"/>
        </w:rPr>
        <w:t>岁或</w:t>
      </w:r>
      <w:r w:rsidRPr="00326EE4">
        <w:rPr>
          <w:rFonts w:ascii="宋体" w:hAnsi="宋体"/>
          <w:szCs w:val="21"/>
        </w:rPr>
        <w:t>60</w:t>
      </w:r>
      <w:r w:rsidRPr="00326EE4">
        <w:rPr>
          <w:rFonts w:ascii="宋体" w:hAnsi="宋体" w:hint="eastAsia"/>
          <w:szCs w:val="21"/>
        </w:rPr>
        <w:t>岁以上患者用拟交感神经药更易引起精神错乱、幻觉、抽搐、中枢神经系统抑制和死亡等不良反应，因而对年龄大的患者使用相同作用制剂时应谨慎。</w:t>
      </w:r>
    </w:p>
    <w:p w:rsidR="00264676" w:rsidRPr="00326EE4" w:rsidRDefault="00264676" w:rsidP="002B61AF">
      <w:pPr>
        <w:ind w:firstLineChars="200" w:firstLine="31680"/>
        <w:rPr>
          <w:rFonts w:ascii="宋体"/>
          <w:szCs w:val="21"/>
        </w:rPr>
      </w:pPr>
      <w:r w:rsidRPr="00326EE4">
        <w:rPr>
          <w:rFonts w:ascii="宋体" w:hAnsi="宋体"/>
          <w:szCs w:val="21"/>
        </w:rPr>
        <w:t>6.</w:t>
      </w:r>
      <w:r w:rsidRPr="00326EE4">
        <w:rPr>
          <w:rFonts w:ascii="宋体" w:hAnsi="宋体" w:hint="eastAsia"/>
          <w:szCs w:val="21"/>
        </w:rPr>
        <w:t>接受单胺氧化酶（</w:t>
      </w:r>
      <w:r w:rsidRPr="00326EE4">
        <w:rPr>
          <w:rFonts w:ascii="宋体" w:hAnsi="宋体"/>
          <w:szCs w:val="21"/>
        </w:rPr>
        <w:t>MAO</w:t>
      </w:r>
      <w:r w:rsidRPr="00326EE4">
        <w:rPr>
          <w:rFonts w:ascii="宋体" w:hAnsi="宋体" w:hint="eastAsia"/>
          <w:szCs w:val="21"/>
        </w:rPr>
        <w:t>）抑制剂的患者用拟交感神经药时，可能发生高血压反应，包括高血压危象。甲基多巴、美加明、利血平和藜芦生物碱的抗高血压作用可能被拟交感神经药所降低。β</w:t>
      </w:r>
      <w:r w:rsidRPr="00326EE4">
        <w:rPr>
          <w:rFonts w:ascii="宋体" w:hAnsi="宋体"/>
          <w:szCs w:val="21"/>
        </w:rPr>
        <w:t>-</w:t>
      </w:r>
      <w:r w:rsidRPr="00326EE4">
        <w:rPr>
          <w:rFonts w:ascii="宋体" w:hAnsi="宋体" w:hint="eastAsia"/>
          <w:szCs w:val="21"/>
        </w:rPr>
        <w:t>肾上腺素能的阻断剂可能与拟交感神经药有相互作用。当同时用伪麻黄碱和洋地黄时可能增加异位起搏点的活性。抗酸剂增加伪麻黄碱的吸收率。</w:t>
      </w:r>
    </w:p>
    <w:p w:rsidR="00264676" w:rsidRPr="00326EE4" w:rsidRDefault="00264676" w:rsidP="002B61AF">
      <w:pPr>
        <w:ind w:firstLineChars="200" w:firstLine="31680"/>
        <w:rPr>
          <w:rFonts w:ascii="宋体"/>
          <w:szCs w:val="21"/>
        </w:rPr>
      </w:pPr>
      <w:r w:rsidRPr="00326EE4">
        <w:rPr>
          <w:rFonts w:ascii="宋体" w:hAnsi="宋体"/>
          <w:szCs w:val="21"/>
        </w:rPr>
        <w:t>7.</w:t>
      </w:r>
      <w:r w:rsidRPr="00326EE4">
        <w:rPr>
          <w:rFonts w:ascii="宋体" w:hAnsi="宋体" w:hint="eastAsia"/>
          <w:szCs w:val="21"/>
        </w:rPr>
        <w:t>伪麻黄碱与其他中枢神经系统兴奋剂一样已被滥用。高剂量时可产生欣快感、食欲下降、体力增加的感觉、兴奋，但亦伴有焦虑、激惹和多言。继续使用任何中枢神经兴奋剂可产生耐受性，增加剂量最终造成中毒，很快停药可产生抑郁。</w:t>
      </w:r>
    </w:p>
    <w:p w:rsidR="00264676" w:rsidRPr="00326EE4" w:rsidRDefault="00264676" w:rsidP="002B61AF">
      <w:pPr>
        <w:ind w:firstLineChars="200" w:firstLine="31680"/>
        <w:rPr>
          <w:rFonts w:ascii="宋体" w:hAnsi="宋体"/>
          <w:szCs w:val="21"/>
        </w:rPr>
      </w:pPr>
      <w:r w:rsidRPr="00326EE4">
        <w:rPr>
          <w:rFonts w:ascii="宋体" w:hAnsi="宋体"/>
          <w:szCs w:val="21"/>
        </w:rPr>
        <w:t>8.</w:t>
      </w:r>
      <w:r w:rsidRPr="00326EE4">
        <w:rPr>
          <w:rFonts w:ascii="宋体" w:hAnsi="宋体" w:hint="eastAsia"/>
          <w:szCs w:val="21"/>
        </w:rPr>
        <w:t>本品为对症治疗药，不宜长期或大量使用，用药</w:t>
      </w:r>
      <w:r w:rsidRPr="00326EE4">
        <w:rPr>
          <w:rFonts w:ascii="宋体" w:hAnsi="宋体"/>
          <w:szCs w:val="21"/>
        </w:rPr>
        <w:t>3</w:t>
      </w:r>
      <w:r w:rsidRPr="00C07B6A">
        <w:rPr>
          <w:rFonts w:ascii="宋体" w:hAnsi="宋体" w:cs="Arial" w:hint="eastAsia"/>
          <w:color w:val="000000"/>
          <w:szCs w:val="21"/>
        </w:rPr>
        <w:t>～</w:t>
      </w:r>
      <w:r w:rsidRPr="00326EE4">
        <w:rPr>
          <w:rFonts w:ascii="宋体" w:hAnsi="宋体"/>
          <w:szCs w:val="21"/>
        </w:rPr>
        <w:t>7</w:t>
      </w:r>
      <w:r w:rsidRPr="00326EE4">
        <w:rPr>
          <w:rFonts w:ascii="宋体" w:hAnsi="宋体" w:hint="eastAsia"/>
          <w:szCs w:val="21"/>
        </w:rPr>
        <w:t>天，症状未缓解，请咨询医师。</w:t>
      </w:r>
      <w:r w:rsidRPr="00326EE4">
        <w:rPr>
          <w:rFonts w:ascii="宋体" w:hAnsi="宋体"/>
          <w:szCs w:val="21"/>
        </w:rPr>
        <w:t xml:space="preserve"> </w:t>
      </w:r>
      <w:r w:rsidRPr="00326EE4">
        <w:rPr>
          <w:rFonts w:ascii="宋体" w:hAnsi="宋体" w:hint="eastAsia"/>
          <w:szCs w:val="21"/>
        </w:rPr>
        <w:t>必须整片吞服，不得碾碎或溶解后服用。</w:t>
      </w:r>
      <w:r w:rsidRPr="00326EE4">
        <w:rPr>
          <w:rFonts w:ascii="宋体" w:hAnsi="宋体"/>
          <w:szCs w:val="21"/>
        </w:rPr>
        <w:t xml:space="preserve"> </w:t>
      </w:r>
      <w:r w:rsidRPr="00326EE4">
        <w:rPr>
          <w:rFonts w:ascii="宋体" w:hAnsi="宋体" w:hint="eastAsia"/>
          <w:szCs w:val="21"/>
        </w:rPr>
        <w:t>不能同时服用与本品成份相似的其他抗感冒药。</w:t>
      </w:r>
      <w:r w:rsidRPr="00326EE4">
        <w:rPr>
          <w:rFonts w:ascii="宋体" w:hAnsi="宋体"/>
          <w:szCs w:val="21"/>
        </w:rPr>
        <w:t xml:space="preserve"> </w:t>
      </w:r>
      <w:r w:rsidRPr="00326EE4">
        <w:rPr>
          <w:rFonts w:ascii="宋体" w:hAnsi="宋体" w:hint="eastAsia"/>
          <w:szCs w:val="21"/>
        </w:rPr>
        <w:t>服用本品期间不得饮酒或含有酒精的饮料。</w:t>
      </w:r>
      <w:r w:rsidRPr="00326EE4">
        <w:rPr>
          <w:rFonts w:ascii="宋体" w:hAnsi="宋体"/>
          <w:szCs w:val="21"/>
        </w:rPr>
        <w:t xml:space="preserve"> </w:t>
      </w:r>
      <w:r w:rsidRPr="00326EE4">
        <w:rPr>
          <w:rFonts w:ascii="宋体" w:hAnsi="宋体"/>
          <w:szCs w:val="21"/>
        </w:rPr>
        <w:br/>
        <w:t xml:space="preserve">    9.</w:t>
      </w:r>
      <w:r w:rsidRPr="00326EE4">
        <w:rPr>
          <w:rFonts w:ascii="宋体" w:hAnsi="宋体" w:hint="eastAsia"/>
          <w:szCs w:val="21"/>
        </w:rPr>
        <w:t>如出现胃肠道出血或溃疡、胸痛、气短、无力、言语含糊等情况，应停药并咨询医师。</w:t>
      </w:r>
      <w:r w:rsidRPr="00326EE4">
        <w:rPr>
          <w:rFonts w:ascii="宋体" w:hAnsi="宋体"/>
          <w:szCs w:val="21"/>
        </w:rPr>
        <w:t xml:space="preserve"> .</w:t>
      </w:r>
      <w:r w:rsidRPr="00326EE4">
        <w:rPr>
          <w:rFonts w:ascii="宋体" w:hAnsi="宋体" w:hint="eastAsia"/>
          <w:szCs w:val="21"/>
        </w:rPr>
        <w:t>第一次使用本品如出现皮疹或过敏症状，应停药并咨询医师。</w:t>
      </w:r>
      <w:r w:rsidRPr="00326EE4">
        <w:rPr>
          <w:rFonts w:ascii="宋体" w:hAnsi="宋体"/>
          <w:szCs w:val="21"/>
        </w:rPr>
        <w:t xml:space="preserve"> </w:t>
      </w:r>
    </w:p>
    <w:p w:rsidR="00264676" w:rsidRPr="00326EE4" w:rsidRDefault="00264676" w:rsidP="002B61AF">
      <w:pPr>
        <w:ind w:firstLineChars="200" w:firstLine="31680"/>
        <w:rPr>
          <w:rFonts w:ascii="宋体"/>
          <w:szCs w:val="21"/>
        </w:rPr>
      </w:pPr>
      <w:r w:rsidRPr="00326EE4">
        <w:rPr>
          <w:rFonts w:ascii="宋体" w:hAnsi="宋体" w:hint="eastAsia"/>
          <w:szCs w:val="21"/>
        </w:rPr>
        <w:t>【孕妇及哺乳妇女用药】</w:t>
      </w:r>
      <w:r>
        <w:rPr>
          <w:rFonts w:ascii="宋体" w:hAnsi="宋体" w:cs="Arial" w:hint="eastAsia"/>
          <w:color w:val="000000"/>
          <w:szCs w:val="21"/>
        </w:rPr>
        <w:t>妊娠晚期用</w:t>
      </w:r>
      <w:r w:rsidRPr="00326EE4">
        <w:rPr>
          <w:rFonts w:ascii="宋体" w:hAnsi="宋体" w:cs="Arial" w:hint="eastAsia"/>
          <w:color w:val="000000"/>
          <w:szCs w:val="21"/>
        </w:rPr>
        <w:t>布洛芬可使孕期延长，引起难产及产程延长，</w:t>
      </w:r>
      <w:r w:rsidRPr="00326EE4">
        <w:rPr>
          <w:rFonts w:ascii="宋体" w:hAnsi="宋体" w:hint="eastAsia"/>
          <w:szCs w:val="21"/>
        </w:rPr>
        <w:t>孕妇禁用。由于伪麻黄碱能从乳汁中分泌，因此对于哺乳期妇女应考虑停止哺乳或停止服药。</w:t>
      </w:r>
    </w:p>
    <w:p w:rsidR="00264676" w:rsidRPr="00326EE4" w:rsidRDefault="00264676" w:rsidP="002B61AF">
      <w:pPr>
        <w:ind w:firstLineChars="200" w:firstLine="31680"/>
        <w:rPr>
          <w:rFonts w:ascii="宋体"/>
          <w:szCs w:val="21"/>
        </w:rPr>
      </w:pPr>
      <w:r w:rsidRPr="00326EE4">
        <w:rPr>
          <w:rFonts w:ascii="宋体" w:hAnsi="宋体" w:hint="eastAsia"/>
          <w:szCs w:val="21"/>
        </w:rPr>
        <w:t>【儿童用药】尚无小于</w:t>
      </w:r>
      <w:r w:rsidRPr="00326EE4">
        <w:rPr>
          <w:rFonts w:ascii="宋体" w:hAnsi="宋体"/>
          <w:szCs w:val="21"/>
        </w:rPr>
        <w:t>12</w:t>
      </w:r>
      <w:r w:rsidRPr="00326EE4">
        <w:rPr>
          <w:rFonts w:ascii="宋体" w:hAnsi="宋体" w:hint="eastAsia"/>
          <w:szCs w:val="21"/>
        </w:rPr>
        <w:t>岁的儿童使用本品的安全性及有效性的资料，本品不推荐用于</w:t>
      </w:r>
      <w:r w:rsidRPr="00326EE4">
        <w:rPr>
          <w:rFonts w:ascii="宋体" w:hAnsi="宋体"/>
          <w:szCs w:val="21"/>
        </w:rPr>
        <w:t>12</w:t>
      </w:r>
      <w:r w:rsidRPr="00326EE4">
        <w:rPr>
          <w:rFonts w:ascii="宋体" w:hAnsi="宋体" w:hint="eastAsia"/>
          <w:szCs w:val="21"/>
        </w:rPr>
        <w:t>岁以下儿童。</w:t>
      </w:r>
    </w:p>
    <w:p w:rsidR="00264676" w:rsidRPr="00F02DF8" w:rsidRDefault="00264676" w:rsidP="002B61AF">
      <w:pPr>
        <w:ind w:firstLineChars="200" w:firstLine="31680"/>
        <w:rPr>
          <w:rFonts w:ascii="宋体"/>
          <w:szCs w:val="21"/>
        </w:rPr>
      </w:pPr>
      <w:r w:rsidRPr="00326EE4">
        <w:rPr>
          <w:rFonts w:ascii="宋体" w:hAnsi="宋体" w:hint="eastAsia"/>
          <w:szCs w:val="21"/>
        </w:rPr>
        <w:t>【老年用药】</w:t>
      </w:r>
      <w:r>
        <w:rPr>
          <w:rFonts w:ascii="宋体" w:hAnsi="宋体"/>
          <w:szCs w:val="21"/>
        </w:rPr>
        <w:t>60</w:t>
      </w:r>
      <w:r>
        <w:rPr>
          <w:rFonts w:ascii="宋体" w:hAnsi="宋体" w:hint="eastAsia"/>
          <w:szCs w:val="21"/>
        </w:rPr>
        <w:t>岁或</w:t>
      </w:r>
      <w:r>
        <w:rPr>
          <w:rFonts w:ascii="宋体" w:hAnsi="宋体"/>
          <w:szCs w:val="21"/>
        </w:rPr>
        <w:t>60</w:t>
      </w:r>
      <w:r>
        <w:rPr>
          <w:rFonts w:ascii="宋体" w:hAnsi="宋体" w:hint="eastAsia"/>
          <w:szCs w:val="21"/>
        </w:rPr>
        <w:t>岁以上患者用拟交感神经药更易引起精神错乱、幻觉、抽搐、中枢神经系统抑制和死亡等不良反应，因而对年龄大的患者使用相同作用制剂时应谨慎。</w:t>
      </w:r>
    </w:p>
    <w:p w:rsidR="00264676" w:rsidRPr="00326EE4" w:rsidRDefault="00264676" w:rsidP="002B61AF">
      <w:pPr>
        <w:ind w:firstLineChars="200" w:firstLine="31680"/>
        <w:rPr>
          <w:rFonts w:ascii="宋体" w:hAnsi="宋体"/>
          <w:szCs w:val="21"/>
        </w:rPr>
      </w:pPr>
      <w:r w:rsidRPr="00326EE4">
        <w:rPr>
          <w:rFonts w:ascii="宋体" w:hAnsi="宋体" w:hint="eastAsia"/>
          <w:szCs w:val="21"/>
        </w:rPr>
        <w:t>【药物相互作用】</w:t>
      </w:r>
      <w:r w:rsidRPr="00326EE4">
        <w:rPr>
          <w:rFonts w:ascii="宋体" w:hAnsi="宋体"/>
          <w:szCs w:val="21"/>
        </w:rPr>
        <w:t xml:space="preserve"> </w:t>
      </w:r>
    </w:p>
    <w:p w:rsidR="00264676" w:rsidRPr="00326EE4" w:rsidRDefault="00264676" w:rsidP="002B61AF">
      <w:pPr>
        <w:ind w:firstLineChars="200" w:firstLine="31680"/>
        <w:rPr>
          <w:rFonts w:ascii="宋体"/>
          <w:szCs w:val="21"/>
        </w:rPr>
      </w:pPr>
      <w:r w:rsidRPr="00326EE4">
        <w:rPr>
          <w:rFonts w:ascii="宋体" w:hAnsi="宋体" w:cs="Arial"/>
          <w:color w:val="000000"/>
          <w:szCs w:val="21"/>
        </w:rPr>
        <w:t>1.</w:t>
      </w:r>
      <w:r w:rsidRPr="00326EE4">
        <w:rPr>
          <w:rFonts w:ascii="宋体" w:hAnsi="宋体" w:cs="Arial" w:hint="eastAsia"/>
          <w:color w:val="000000"/>
          <w:szCs w:val="21"/>
        </w:rPr>
        <w:t>伪麻黄碱与单胺氧化酶抑制药</w:t>
      </w:r>
      <w:r w:rsidRPr="00326EE4">
        <w:rPr>
          <w:rFonts w:ascii="宋体" w:hAnsi="宋体" w:cs="Arial"/>
          <w:color w:val="000000"/>
          <w:szCs w:val="21"/>
        </w:rPr>
        <w:t>(</w:t>
      </w:r>
      <w:r w:rsidRPr="00326EE4">
        <w:rPr>
          <w:rFonts w:ascii="宋体" w:hAnsi="宋体" w:cs="Arial" w:hint="eastAsia"/>
          <w:color w:val="000000"/>
          <w:szCs w:val="21"/>
        </w:rPr>
        <w:t>氯吉兰、呋喃唑酮、异丙烟肼、异卡波肼、吗氯贝胺、烟肼酰胺、帕吉林、苯乙肼、丙卡巴肼、塞利吉林、托洛沙酮、苯环丙胺</w:t>
      </w:r>
      <w:r w:rsidRPr="00326EE4">
        <w:rPr>
          <w:rFonts w:ascii="宋体" w:hAnsi="宋体" w:cs="Arial"/>
          <w:color w:val="000000"/>
          <w:szCs w:val="21"/>
        </w:rPr>
        <w:t>)</w:t>
      </w:r>
      <w:r w:rsidRPr="00326EE4">
        <w:rPr>
          <w:rFonts w:ascii="宋体" w:hAnsi="宋体" w:cs="Arial" w:hint="eastAsia"/>
          <w:color w:val="000000"/>
          <w:szCs w:val="21"/>
        </w:rPr>
        <w:t>合用可出现重度高血压、高热、头痛，因去甲肾上腺素的作用增强。故禁止伪麻黄碱与单胺氧化酶抑制药合用，停用单胺氧化酶抑制药</w:t>
      </w:r>
      <w:r w:rsidRPr="00326EE4">
        <w:rPr>
          <w:rFonts w:ascii="宋体" w:hAnsi="宋体" w:cs="Arial"/>
          <w:color w:val="000000"/>
          <w:szCs w:val="21"/>
        </w:rPr>
        <w:t>14</w:t>
      </w:r>
      <w:r w:rsidRPr="00326EE4">
        <w:rPr>
          <w:rFonts w:ascii="宋体" w:hAnsi="宋体" w:cs="Arial" w:hint="eastAsia"/>
          <w:color w:val="000000"/>
          <w:szCs w:val="21"/>
        </w:rPr>
        <w:t>日后方可使用伪麻黄碱。</w:t>
      </w:r>
      <w:r w:rsidRPr="00326EE4">
        <w:rPr>
          <w:rFonts w:ascii="宋体" w:cs="Arial"/>
          <w:color w:val="000000"/>
          <w:szCs w:val="21"/>
        </w:rPr>
        <w:br/>
      </w:r>
      <w:r w:rsidRPr="00326EE4">
        <w:rPr>
          <w:rFonts w:ascii="宋体" w:hAnsi="宋体" w:cs="Arial"/>
          <w:color w:val="000000"/>
          <w:szCs w:val="21"/>
        </w:rPr>
        <w:t xml:space="preserve">    2. </w:t>
      </w:r>
      <w:r w:rsidRPr="00326EE4">
        <w:rPr>
          <w:rFonts w:ascii="宋体" w:hAnsi="宋体" w:cs="Arial" w:hint="eastAsia"/>
          <w:color w:val="000000"/>
          <w:szCs w:val="21"/>
        </w:rPr>
        <w:t>伪麻黄碱与双氢麦角胺合用可导致血压急剧升高，故禁止两者合用。伪麻黄碱与吗啉噁酮合用可出现血压升高，因后者可抑制前者的代谢，合用时需谨慎。拟交感神经药与枳壳合用可出现高血压危象</w:t>
      </w:r>
      <w:r w:rsidRPr="00326EE4">
        <w:rPr>
          <w:rFonts w:ascii="宋体" w:hAnsi="宋体" w:cs="Arial"/>
          <w:color w:val="000000"/>
          <w:szCs w:val="21"/>
        </w:rPr>
        <w:t>(</w:t>
      </w:r>
      <w:r w:rsidRPr="00326EE4">
        <w:rPr>
          <w:rFonts w:ascii="宋体" w:hAnsi="宋体" w:cs="Arial" w:hint="eastAsia"/>
          <w:color w:val="000000"/>
          <w:szCs w:val="21"/>
        </w:rPr>
        <w:t>头痛、高热、高血压</w:t>
      </w:r>
      <w:r w:rsidRPr="00326EE4">
        <w:rPr>
          <w:rFonts w:ascii="宋体" w:hAnsi="宋体" w:cs="Arial"/>
          <w:color w:val="000000"/>
          <w:szCs w:val="21"/>
        </w:rPr>
        <w:t>)</w:t>
      </w:r>
      <w:r w:rsidRPr="00326EE4">
        <w:rPr>
          <w:rFonts w:ascii="宋体" w:hAnsi="宋体" w:cs="Arial" w:hint="eastAsia"/>
          <w:color w:val="000000"/>
          <w:szCs w:val="21"/>
        </w:rPr>
        <w:t>，机制为相加的拟交感神经作用，故应避免拟交感神经药与枳壳合用。伪麻黄碱可增强甲氧胺福林的升压作用，合用时应谨慎，并监测血压。伪麻黄碱与甲基多巴合用可导致血压升高和心律失常，合用时应监测血压，若出现高血压，停用伪麻黄碱，严重时给予酚妥拉明。伪麻黄碱与</w:t>
      </w:r>
      <w:r>
        <w:rPr>
          <w:rFonts w:ascii="宋体" w:hAnsi="宋体" w:cs="Arial" w:hint="eastAsia"/>
          <w:color w:val="000000"/>
          <w:szCs w:val="21"/>
        </w:rPr>
        <w:t>胍乙啶合用可导致血压升高和心律失常，因前者可拮抗后者的中枢作用，</w:t>
      </w:r>
      <w:r w:rsidRPr="00326EE4">
        <w:rPr>
          <w:rFonts w:ascii="宋体" w:hAnsi="宋体" w:cs="Arial" w:hint="eastAsia"/>
          <w:color w:val="000000"/>
          <w:szCs w:val="21"/>
        </w:rPr>
        <w:t>合用时应监测血压和心律，若发生不良反应，停用伪麻黄碱。</w:t>
      </w:r>
      <w:r w:rsidRPr="00326EE4">
        <w:rPr>
          <w:rFonts w:ascii="宋体" w:hAnsi="宋体" w:hint="eastAsia"/>
          <w:szCs w:val="21"/>
        </w:rPr>
        <w:t>拟交感神经药可降低美加明、利血平和藜芦生物碱的抗高血压作用。β</w:t>
      </w:r>
      <w:r w:rsidRPr="00326EE4">
        <w:rPr>
          <w:rFonts w:ascii="宋体" w:hAnsi="宋体"/>
          <w:szCs w:val="21"/>
        </w:rPr>
        <w:t>-</w:t>
      </w:r>
      <w:r w:rsidRPr="00326EE4">
        <w:rPr>
          <w:rFonts w:ascii="宋体" w:hAnsi="宋体" w:hint="eastAsia"/>
          <w:szCs w:val="21"/>
        </w:rPr>
        <w:t>肾上腺素类的阻断剂</w:t>
      </w:r>
      <w:r w:rsidRPr="00334A9C">
        <w:rPr>
          <w:rFonts w:ascii="宋体" w:hAnsi="宋体" w:hint="eastAsia"/>
          <w:szCs w:val="21"/>
        </w:rPr>
        <w:t>（如普萘洛尔、美托洛尔、拉贝洛尔等）</w:t>
      </w:r>
      <w:r w:rsidRPr="00326EE4">
        <w:rPr>
          <w:rFonts w:ascii="宋体" w:hAnsi="宋体" w:hint="eastAsia"/>
          <w:szCs w:val="21"/>
        </w:rPr>
        <w:t>可能与拟交感神经药有相互作用。</w:t>
      </w:r>
    </w:p>
    <w:p w:rsidR="00264676" w:rsidRPr="00326EE4" w:rsidRDefault="00264676" w:rsidP="002B61AF">
      <w:pPr>
        <w:ind w:firstLineChars="200" w:firstLine="31680"/>
        <w:rPr>
          <w:rFonts w:ascii="宋体"/>
          <w:szCs w:val="21"/>
        </w:rPr>
      </w:pPr>
      <w:r w:rsidRPr="00326EE4">
        <w:rPr>
          <w:rFonts w:ascii="宋体" w:hAnsi="宋体"/>
          <w:szCs w:val="21"/>
        </w:rPr>
        <w:t xml:space="preserve"> </w:t>
      </w:r>
      <w:r w:rsidRPr="00326EE4">
        <w:rPr>
          <w:rFonts w:ascii="宋体" w:hAnsi="宋体" w:cs="Arial"/>
          <w:color w:val="000000"/>
          <w:szCs w:val="21"/>
        </w:rPr>
        <w:t>3.</w:t>
      </w:r>
      <w:r w:rsidRPr="00326EE4">
        <w:rPr>
          <w:rFonts w:ascii="宋体" w:hAnsi="宋体" w:hint="eastAsia"/>
          <w:szCs w:val="21"/>
        </w:rPr>
        <w:t>抗酸剂</w:t>
      </w:r>
      <w:r w:rsidRPr="00334A9C">
        <w:rPr>
          <w:rFonts w:ascii="宋体" w:hAnsi="宋体" w:hint="eastAsia"/>
          <w:szCs w:val="21"/>
        </w:rPr>
        <w:t>（如奥美拉唑等）</w:t>
      </w:r>
      <w:r w:rsidRPr="00326EE4">
        <w:rPr>
          <w:rFonts w:ascii="宋体" w:hAnsi="宋体" w:hint="eastAsia"/>
          <w:szCs w:val="21"/>
        </w:rPr>
        <w:t>可增加伪麻黄碱的吸收率，</w:t>
      </w:r>
      <w:r w:rsidRPr="00326EE4">
        <w:rPr>
          <w:rFonts w:ascii="宋体" w:hAnsi="宋体" w:cs="Arial" w:hint="eastAsia"/>
          <w:color w:val="000000"/>
          <w:szCs w:val="21"/>
        </w:rPr>
        <w:t>伪麻黄碱与碳酸氢钠合用可导致伪麻黄碱毒性</w:t>
      </w:r>
      <w:r w:rsidRPr="00326EE4">
        <w:rPr>
          <w:rFonts w:ascii="宋体" w:hAnsi="宋体" w:cs="Arial"/>
          <w:color w:val="000000"/>
          <w:szCs w:val="21"/>
        </w:rPr>
        <w:t>(</w:t>
      </w:r>
      <w:r w:rsidRPr="00326EE4">
        <w:rPr>
          <w:rFonts w:ascii="宋体" w:hAnsi="宋体" w:cs="Arial" w:hint="eastAsia"/>
          <w:color w:val="000000"/>
          <w:szCs w:val="21"/>
        </w:rPr>
        <w:t>激动、高血压、心悸</w:t>
      </w:r>
      <w:r w:rsidRPr="00326EE4">
        <w:rPr>
          <w:rFonts w:ascii="宋体" w:hAnsi="宋体" w:cs="Arial"/>
          <w:color w:val="000000"/>
          <w:szCs w:val="21"/>
        </w:rPr>
        <w:t>)</w:t>
      </w:r>
      <w:r w:rsidRPr="00326EE4">
        <w:rPr>
          <w:rFonts w:ascii="宋体" w:hAnsi="宋体" w:cs="Arial" w:hint="eastAsia"/>
          <w:color w:val="000000"/>
          <w:szCs w:val="21"/>
        </w:rPr>
        <w:t>，合用时需监测可能发生的不良反应，必要时减量，常需碱化尿液的患者可能需要减少两者的剂量。伪麻黄碱与碘苄胍</w:t>
      </w:r>
      <w:r w:rsidRPr="00326EE4">
        <w:rPr>
          <w:rFonts w:ascii="宋体" w:hAnsi="宋体" w:cs="Arial"/>
          <w:color w:val="000000"/>
          <w:szCs w:val="21"/>
        </w:rPr>
        <w:t>I-131</w:t>
      </w:r>
      <w:r w:rsidRPr="00326EE4">
        <w:rPr>
          <w:rFonts w:ascii="宋体" w:hAnsi="宋体" w:cs="Arial" w:hint="eastAsia"/>
          <w:color w:val="000000"/>
          <w:szCs w:val="21"/>
        </w:rPr>
        <w:t>合用可导致扫描仪测定时出现假阴性结果，因前者可减少后者的吸收，使用碘苄胍</w:t>
      </w:r>
      <w:r w:rsidRPr="00326EE4">
        <w:rPr>
          <w:rFonts w:ascii="宋体" w:hAnsi="宋体" w:cs="Arial"/>
          <w:color w:val="000000"/>
          <w:szCs w:val="21"/>
        </w:rPr>
        <w:t>I-131</w:t>
      </w:r>
      <w:r w:rsidRPr="00326EE4">
        <w:rPr>
          <w:rFonts w:ascii="宋体" w:hAnsi="宋体" w:cs="Arial" w:hint="eastAsia"/>
          <w:color w:val="000000"/>
          <w:szCs w:val="21"/>
        </w:rPr>
        <w:t>前应停用伪麻黄碱。</w:t>
      </w:r>
      <w:r w:rsidRPr="00326EE4">
        <w:rPr>
          <w:rFonts w:ascii="宋体" w:hAnsi="宋体" w:hint="eastAsia"/>
          <w:szCs w:val="21"/>
        </w:rPr>
        <w:t>伪麻黄碱和洋地黄同时应用时可能增加异位起搏点的活性。</w:t>
      </w:r>
      <w:r w:rsidRPr="00326EE4">
        <w:rPr>
          <w:rFonts w:ascii="宋体" w:cs="Arial"/>
          <w:color w:val="000000"/>
          <w:szCs w:val="21"/>
        </w:rPr>
        <w:br/>
      </w:r>
      <w:r w:rsidRPr="00326EE4">
        <w:rPr>
          <w:rFonts w:ascii="宋体" w:hAnsi="宋体" w:cs="Arial"/>
          <w:color w:val="000000"/>
          <w:szCs w:val="21"/>
        </w:rPr>
        <w:t xml:space="preserve">   </w:t>
      </w:r>
      <w:r w:rsidRPr="00326EE4">
        <w:rPr>
          <w:rFonts w:ascii="宋体" w:hAnsi="宋体"/>
          <w:szCs w:val="21"/>
        </w:rPr>
        <w:t>4.</w:t>
      </w:r>
      <w:r w:rsidRPr="00326EE4">
        <w:rPr>
          <w:rFonts w:ascii="宋体" w:hAnsi="宋体" w:hint="eastAsia"/>
          <w:szCs w:val="21"/>
        </w:rPr>
        <w:t>布洛芬</w:t>
      </w:r>
      <w:r w:rsidRPr="00326EE4">
        <w:rPr>
          <w:rFonts w:ascii="宋体" w:hAnsi="宋体" w:cs="Arial" w:hint="eastAsia"/>
          <w:color w:val="000000"/>
          <w:szCs w:val="21"/>
        </w:rPr>
        <w:t>与维拉帕米、硝苯地平同用，布洛芬的血药浓度升高。</w:t>
      </w:r>
      <w:r w:rsidRPr="00326EE4">
        <w:rPr>
          <w:rFonts w:ascii="宋体" w:hAnsi="宋体" w:hint="eastAsia"/>
          <w:szCs w:val="21"/>
        </w:rPr>
        <w:t>布洛芬</w:t>
      </w:r>
      <w:r w:rsidRPr="00326EE4">
        <w:rPr>
          <w:rFonts w:ascii="宋体" w:hAnsi="宋体" w:cs="Arial" w:hint="eastAsia"/>
          <w:color w:val="000000"/>
          <w:szCs w:val="21"/>
        </w:rPr>
        <w:t>与丙磺舒同用，</w:t>
      </w:r>
      <w:r w:rsidRPr="00326EE4">
        <w:rPr>
          <w:rFonts w:ascii="宋体" w:hAnsi="宋体" w:hint="eastAsia"/>
          <w:szCs w:val="21"/>
        </w:rPr>
        <w:t>布洛芬</w:t>
      </w:r>
      <w:r w:rsidRPr="00326EE4">
        <w:rPr>
          <w:rFonts w:ascii="宋体" w:hAnsi="宋体" w:cs="Arial" w:hint="eastAsia"/>
          <w:color w:val="000000"/>
          <w:szCs w:val="21"/>
        </w:rPr>
        <w:t>排泄减少、血药浓度升高，毒性增加。</w:t>
      </w:r>
      <w:r w:rsidRPr="00326EE4">
        <w:rPr>
          <w:rFonts w:ascii="宋体" w:hAnsi="宋体" w:hint="eastAsia"/>
          <w:szCs w:val="21"/>
        </w:rPr>
        <w:t>布洛芬</w:t>
      </w:r>
      <w:r w:rsidRPr="00326EE4">
        <w:rPr>
          <w:rFonts w:ascii="宋体" w:hAnsi="宋体" w:cs="Arial" w:hint="eastAsia"/>
          <w:color w:val="000000"/>
          <w:szCs w:val="21"/>
        </w:rPr>
        <w:t>与抗糖尿病药</w:t>
      </w:r>
      <w:r w:rsidRPr="00326EE4">
        <w:rPr>
          <w:rFonts w:ascii="宋体" w:hAnsi="宋体" w:cs="Arial"/>
          <w:color w:val="000000"/>
          <w:szCs w:val="21"/>
        </w:rPr>
        <w:t>(</w:t>
      </w:r>
      <w:r w:rsidRPr="00326EE4">
        <w:rPr>
          <w:rFonts w:ascii="宋体" w:hAnsi="宋体" w:cs="Arial" w:hint="eastAsia"/>
          <w:color w:val="000000"/>
          <w:szCs w:val="21"/>
        </w:rPr>
        <w:t>包括口服降糖药</w:t>
      </w:r>
      <w:r w:rsidRPr="00326EE4">
        <w:rPr>
          <w:rFonts w:ascii="宋体" w:hAnsi="宋体" w:cs="Arial"/>
          <w:color w:val="000000"/>
          <w:szCs w:val="21"/>
        </w:rPr>
        <w:t>)</w:t>
      </w:r>
      <w:r w:rsidRPr="00326EE4">
        <w:rPr>
          <w:rFonts w:ascii="宋体" w:hAnsi="宋体" w:cs="Arial" w:hint="eastAsia"/>
          <w:color w:val="000000"/>
          <w:szCs w:val="21"/>
        </w:rPr>
        <w:t>同用，可增强抗糖尿病药的降糖作用。</w:t>
      </w:r>
      <w:r w:rsidRPr="00326EE4">
        <w:rPr>
          <w:rFonts w:ascii="宋体" w:hAnsi="宋体" w:hint="eastAsia"/>
          <w:szCs w:val="21"/>
        </w:rPr>
        <w:t>布洛芬</w:t>
      </w:r>
      <w:r w:rsidRPr="00326EE4">
        <w:rPr>
          <w:rFonts w:ascii="宋体" w:hAnsi="宋体" w:cs="Arial" w:hint="eastAsia"/>
          <w:color w:val="000000"/>
          <w:szCs w:val="21"/>
        </w:rPr>
        <w:t>可升高地高辛的血药浓度。</w:t>
      </w:r>
      <w:r w:rsidRPr="00326EE4">
        <w:rPr>
          <w:rFonts w:ascii="宋体" w:hAnsi="宋体" w:hint="eastAsia"/>
          <w:szCs w:val="21"/>
        </w:rPr>
        <w:t>布洛芬</w:t>
      </w:r>
      <w:r w:rsidRPr="00326EE4">
        <w:rPr>
          <w:rFonts w:ascii="宋体" w:hAnsi="宋体" w:cs="Arial" w:hint="eastAsia"/>
          <w:color w:val="000000"/>
          <w:szCs w:val="21"/>
        </w:rPr>
        <w:t>与甲氨蝶呤同用，可减少甲氨蝶呤的排泄，升高其血药浓度，甚至可达中毒水平。</w:t>
      </w:r>
      <w:r w:rsidRPr="00326EE4">
        <w:rPr>
          <w:rFonts w:ascii="宋体" w:hAnsi="宋体" w:hint="eastAsia"/>
          <w:szCs w:val="21"/>
        </w:rPr>
        <w:t>布洛芬</w:t>
      </w:r>
      <w:r w:rsidRPr="00326EE4">
        <w:rPr>
          <w:rFonts w:ascii="宋体" w:hAnsi="宋体" w:cs="Arial" w:hint="eastAsia"/>
          <w:color w:val="000000"/>
          <w:szCs w:val="21"/>
        </w:rPr>
        <w:t>可抑制苯妥英的降解。</w:t>
      </w:r>
      <w:r w:rsidRPr="00326EE4">
        <w:rPr>
          <w:rFonts w:ascii="宋体" w:hAnsi="宋体" w:hint="eastAsia"/>
          <w:szCs w:val="21"/>
        </w:rPr>
        <w:t>布洛芬</w:t>
      </w:r>
      <w:r w:rsidRPr="00326EE4">
        <w:rPr>
          <w:rFonts w:ascii="宋体" w:hAnsi="宋体" w:cs="Arial" w:hint="eastAsia"/>
          <w:color w:val="000000"/>
          <w:szCs w:val="21"/>
        </w:rPr>
        <w:t>与抗高血压药、呋塞米同用，可减弱后者的降压作用。与呋塞米同用时，还可减弱后者的排钠作用。</w:t>
      </w:r>
      <w:r w:rsidRPr="00326EE4">
        <w:rPr>
          <w:rFonts w:ascii="宋体" w:hAnsi="宋体" w:hint="eastAsia"/>
          <w:szCs w:val="21"/>
        </w:rPr>
        <w:t>布洛芬</w:t>
      </w:r>
      <w:r w:rsidRPr="00326EE4">
        <w:rPr>
          <w:rFonts w:ascii="宋体" w:hAnsi="宋体" w:cs="Arial" w:hint="eastAsia"/>
          <w:color w:val="000000"/>
          <w:szCs w:val="21"/>
        </w:rPr>
        <w:t>与其他</w:t>
      </w:r>
      <w:r w:rsidRPr="00326EE4">
        <w:rPr>
          <w:rFonts w:ascii="宋体" w:hAnsi="宋体" w:cs="Arial"/>
          <w:color w:val="000000"/>
          <w:szCs w:val="21"/>
        </w:rPr>
        <w:t>NSAIDs</w:t>
      </w:r>
      <w:r w:rsidRPr="00326EE4">
        <w:rPr>
          <w:rFonts w:ascii="宋体" w:hAnsi="宋体" w:cs="Arial" w:hint="eastAsia"/>
          <w:color w:val="000000"/>
          <w:szCs w:val="21"/>
        </w:rPr>
        <w:t>、皮质激素、促肾上腺皮质激素同用可增加胃肠道不良反应，并有致溃疡和</w:t>
      </w:r>
      <w:r w:rsidRPr="00326EE4">
        <w:rPr>
          <w:rFonts w:ascii="宋体" w:hAnsi="宋体" w:cs="Arial"/>
          <w:color w:val="000000"/>
          <w:szCs w:val="21"/>
        </w:rPr>
        <w:t>/</w:t>
      </w:r>
      <w:r w:rsidRPr="00326EE4">
        <w:rPr>
          <w:rFonts w:ascii="宋体" w:hAnsi="宋体" w:cs="Arial" w:hint="eastAsia"/>
          <w:color w:val="000000"/>
          <w:szCs w:val="21"/>
        </w:rPr>
        <w:t>或出血的危险。</w:t>
      </w:r>
      <w:r w:rsidRPr="00326EE4">
        <w:rPr>
          <w:rFonts w:ascii="宋体" w:hAnsi="宋体" w:hint="eastAsia"/>
          <w:szCs w:val="21"/>
        </w:rPr>
        <w:t>布洛芬</w:t>
      </w:r>
      <w:r w:rsidRPr="00326EE4">
        <w:rPr>
          <w:rFonts w:ascii="宋体" w:hAnsi="宋体" w:cs="Arial" w:hint="eastAsia"/>
          <w:color w:val="000000"/>
          <w:szCs w:val="21"/>
        </w:rPr>
        <w:t>与肝素、双香豆素等抗凝药及血小板聚集抑制药同用，有增加出血的危险。同用抗凝血药的患者，服药的最初几日应随时监测其凝血酶原时间。</w:t>
      </w:r>
      <w:r w:rsidRPr="00326EE4">
        <w:rPr>
          <w:rFonts w:ascii="宋体" w:hAnsi="宋体" w:hint="eastAsia"/>
          <w:szCs w:val="21"/>
        </w:rPr>
        <w:t>布洛芬</w:t>
      </w:r>
      <w:r w:rsidRPr="00326EE4">
        <w:rPr>
          <w:rFonts w:ascii="宋体" w:hAnsi="宋体" w:cs="Arial" w:hint="eastAsia"/>
          <w:color w:val="000000"/>
          <w:szCs w:val="21"/>
        </w:rPr>
        <w:t>长期与对乙酰氨基酚同用可增加肾脏不良反应。使用</w:t>
      </w:r>
      <w:r w:rsidRPr="00326EE4">
        <w:rPr>
          <w:rFonts w:ascii="宋体" w:hAnsi="宋体" w:hint="eastAsia"/>
          <w:szCs w:val="21"/>
        </w:rPr>
        <w:t>布洛芬</w:t>
      </w:r>
      <w:r w:rsidRPr="00326EE4">
        <w:rPr>
          <w:rFonts w:ascii="宋体" w:hAnsi="宋体" w:cs="Arial" w:hint="eastAsia"/>
          <w:color w:val="000000"/>
          <w:szCs w:val="21"/>
        </w:rPr>
        <w:t>期间饮酒，可增加胃肠道不良反应，并有致溃疡和出血的危险。</w:t>
      </w:r>
    </w:p>
    <w:p w:rsidR="00264676" w:rsidRPr="00326EE4" w:rsidRDefault="00264676" w:rsidP="002B61AF">
      <w:pPr>
        <w:ind w:firstLineChars="200" w:firstLine="31680"/>
        <w:rPr>
          <w:rFonts w:ascii="宋体" w:hAnsi="宋体"/>
          <w:szCs w:val="21"/>
        </w:rPr>
      </w:pPr>
      <w:r w:rsidRPr="00326EE4">
        <w:rPr>
          <w:rFonts w:ascii="宋体" w:hAnsi="宋体" w:hint="eastAsia"/>
          <w:szCs w:val="21"/>
        </w:rPr>
        <w:t>【药物过量】</w:t>
      </w:r>
      <w:r w:rsidRPr="00326EE4">
        <w:rPr>
          <w:rFonts w:ascii="宋体" w:hAnsi="宋体"/>
          <w:szCs w:val="21"/>
        </w:rPr>
        <w:t xml:space="preserve"> </w:t>
      </w:r>
    </w:p>
    <w:p w:rsidR="00264676" w:rsidRPr="00326EE4" w:rsidRDefault="00264676" w:rsidP="002B61AF">
      <w:pPr>
        <w:ind w:firstLineChars="200" w:firstLine="31680"/>
        <w:rPr>
          <w:rFonts w:ascii="宋体"/>
          <w:szCs w:val="21"/>
        </w:rPr>
      </w:pPr>
      <w:r w:rsidRPr="00326EE4">
        <w:rPr>
          <w:rFonts w:ascii="宋体" w:hAnsi="宋体" w:hint="eastAsia"/>
          <w:szCs w:val="21"/>
        </w:rPr>
        <w:t>伪麻黄碱大剂量用药后，可能出现下述拟交感症状：视物模糊、烦躁、失眠、头痛、恶心、呕吐、多汗、口渴、心动过速、心前区疼痛、心悸、尿频尿急、肌无力、肌紧张、焦虑、烦躁、失眠</w:t>
      </w:r>
      <w:r>
        <w:rPr>
          <w:rFonts w:ascii="宋体" w:hAnsi="宋体" w:hint="eastAsia"/>
          <w:szCs w:val="21"/>
        </w:rPr>
        <w:t>，许多病人还可能出现精神毒性症状如错觉和幻觉，有些还可能出现心律</w:t>
      </w:r>
      <w:r w:rsidRPr="00326EE4">
        <w:rPr>
          <w:rFonts w:ascii="宋体" w:hAnsi="宋体" w:hint="eastAsia"/>
          <w:szCs w:val="21"/>
        </w:rPr>
        <w:t>失常、循环衰竭、抽搐、昏迷和呼吸衰竭。</w:t>
      </w:r>
    </w:p>
    <w:p w:rsidR="00264676" w:rsidRPr="00326EE4" w:rsidRDefault="00264676" w:rsidP="002B61AF">
      <w:pPr>
        <w:ind w:firstLineChars="200" w:firstLine="31680"/>
        <w:rPr>
          <w:rFonts w:ascii="宋体" w:cs="Arial"/>
          <w:color w:val="000000"/>
          <w:szCs w:val="21"/>
        </w:rPr>
      </w:pPr>
      <w:r w:rsidRPr="00326EE4">
        <w:rPr>
          <w:rFonts w:ascii="宋体" w:hAnsi="宋体" w:cs="Arial" w:hint="eastAsia"/>
          <w:color w:val="000000"/>
          <w:szCs w:val="21"/>
        </w:rPr>
        <w:t>布洛芬用药过量可引起头痛、呕吐、倦睡、血压降低等，通常症状在停药后即可自行消失。约</w:t>
      </w:r>
      <w:r w:rsidRPr="00326EE4">
        <w:rPr>
          <w:rFonts w:ascii="宋体" w:hAnsi="宋体" w:cs="Arial"/>
          <w:color w:val="000000"/>
          <w:szCs w:val="21"/>
        </w:rPr>
        <w:t>20%</w:t>
      </w:r>
      <w:r w:rsidRPr="00326EE4">
        <w:rPr>
          <w:rFonts w:ascii="宋体" w:hAnsi="宋体" w:cs="Arial" w:hint="eastAsia"/>
          <w:color w:val="000000"/>
          <w:szCs w:val="21"/>
        </w:rPr>
        <w:t>用药过量者在服药后</w:t>
      </w:r>
      <w:r w:rsidRPr="00326EE4">
        <w:rPr>
          <w:rFonts w:ascii="宋体" w:hAnsi="宋体" w:cs="Arial"/>
          <w:color w:val="000000"/>
          <w:szCs w:val="21"/>
        </w:rPr>
        <w:t>4</w:t>
      </w:r>
      <w:r w:rsidRPr="00326EE4">
        <w:rPr>
          <w:rFonts w:ascii="宋体" w:hAnsi="宋体" w:cs="Arial" w:hint="eastAsia"/>
          <w:color w:val="000000"/>
          <w:szCs w:val="21"/>
        </w:rPr>
        <w:t>小时出现中毒症状，包括：抽搐、昏迷、视物模糊、复视、眼颤、耳鸣、心率减慢、腹痛、恶心、血尿、肾功能不全。</w:t>
      </w:r>
    </w:p>
    <w:p w:rsidR="00264676" w:rsidRPr="00326EE4" w:rsidRDefault="00264676" w:rsidP="002B61AF">
      <w:pPr>
        <w:ind w:firstLineChars="200" w:firstLine="31680"/>
        <w:rPr>
          <w:rFonts w:ascii="宋体"/>
          <w:szCs w:val="21"/>
        </w:rPr>
      </w:pPr>
      <w:r w:rsidRPr="00326EE4">
        <w:rPr>
          <w:rFonts w:ascii="宋体" w:hAnsi="宋体" w:cs="Arial" w:hint="eastAsia"/>
          <w:color w:val="000000"/>
          <w:szCs w:val="21"/>
        </w:rPr>
        <w:t>用药过量应作紧急处理，包括催吐或洗胃，口服活性炭、抗酸药或</w:t>
      </w:r>
      <w:r w:rsidRPr="00326EE4">
        <w:rPr>
          <w:rFonts w:ascii="宋体" w:hAnsi="宋体" w:cs="Arial"/>
          <w:color w:val="000000"/>
          <w:szCs w:val="21"/>
        </w:rPr>
        <w:t>(</w:t>
      </w:r>
      <w:r w:rsidRPr="00326EE4">
        <w:rPr>
          <w:rFonts w:ascii="宋体" w:hAnsi="宋体" w:cs="Arial" w:hint="eastAsia"/>
          <w:color w:val="000000"/>
          <w:szCs w:val="21"/>
        </w:rPr>
        <w:t>和</w:t>
      </w:r>
      <w:r w:rsidRPr="00326EE4">
        <w:rPr>
          <w:rFonts w:ascii="宋体" w:hAnsi="宋体" w:cs="Arial"/>
          <w:color w:val="000000"/>
          <w:szCs w:val="21"/>
        </w:rPr>
        <w:t>)</w:t>
      </w:r>
      <w:r w:rsidRPr="00326EE4">
        <w:rPr>
          <w:rFonts w:ascii="宋体" w:hAnsi="宋体" w:cs="Arial" w:hint="eastAsia"/>
          <w:color w:val="000000"/>
          <w:szCs w:val="21"/>
        </w:rPr>
        <w:t>利尿药，输液，保持良好的血液循环及采用其他支持疗法。由于持续的呕吐、腹泻或液体摄入不足而出现明显的脱水时，需纠正水及电解质平衡。</w:t>
      </w:r>
    </w:p>
    <w:p w:rsidR="00264676" w:rsidRPr="00070C79" w:rsidRDefault="00264676" w:rsidP="002B61AF">
      <w:pPr>
        <w:ind w:firstLineChars="200" w:firstLine="31680"/>
        <w:rPr>
          <w:rFonts w:ascii="宋体"/>
          <w:color w:val="000000"/>
          <w:szCs w:val="21"/>
        </w:rPr>
      </w:pPr>
      <w:r w:rsidRPr="00326EE4">
        <w:rPr>
          <w:rFonts w:ascii="宋体" w:hAnsi="宋体" w:hint="eastAsia"/>
          <w:szCs w:val="21"/>
        </w:rPr>
        <w:t>【药理毒理】盐酸伪麻黄碱为拟肾上腺素药，可收缩鼻粘膜血管，减轻鼻塞、流涕症状。布洛芬</w:t>
      </w:r>
      <w:r w:rsidRPr="00326EE4">
        <w:rPr>
          <w:rFonts w:ascii="宋体" w:hAnsi="宋体" w:hint="eastAsia"/>
          <w:color w:val="000000"/>
          <w:szCs w:val="21"/>
        </w:rPr>
        <w:t>为非甾体类抗炎药，作用机制是通过抑制前列腺素的合成而发挥镇痛、抗炎、解热作用。</w:t>
      </w:r>
    </w:p>
    <w:p w:rsidR="00264676" w:rsidRPr="00326EE4" w:rsidRDefault="00264676" w:rsidP="002B61AF">
      <w:pPr>
        <w:ind w:firstLineChars="200" w:firstLine="31680"/>
        <w:rPr>
          <w:rFonts w:ascii="宋体"/>
          <w:szCs w:val="21"/>
        </w:rPr>
      </w:pPr>
      <w:r w:rsidRPr="00326EE4">
        <w:rPr>
          <w:rFonts w:ascii="宋体" w:hAnsi="宋体" w:hint="eastAsia"/>
          <w:szCs w:val="21"/>
        </w:rPr>
        <w:t>【药代动力学】食物对伪麻黄碱的药代动力学没有明显的影响。伪麻黄碱有</w:t>
      </w:r>
      <w:r w:rsidRPr="00326EE4">
        <w:rPr>
          <w:rFonts w:ascii="宋体" w:hAnsi="宋体"/>
          <w:szCs w:val="21"/>
        </w:rPr>
        <w:t>1%</w:t>
      </w:r>
      <w:r w:rsidRPr="00326EE4">
        <w:rPr>
          <w:rFonts w:ascii="宋体" w:hAnsi="宋体" w:hint="eastAsia"/>
          <w:szCs w:val="21"/>
        </w:rPr>
        <w:t>～</w:t>
      </w:r>
      <w:r w:rsidRPr="00326EE4">
        <w:rPr>
          <w:rFonts w:ascii="宋体" w:hAnsi="宋体"/>
          <w:szCs w:val="21"/>
        </w:rPr>
        <w:t>7%</w:t>
      </w:r>
      <w:r w:rsidRPr="00326EE4">
        <w:rPr>
          <w:rFonts w:ascii="宋体" w:hAnsi="宋体" w:hint="eastAsia"/>
          <w:szCs w:val="21"/>
        </w:rPr>
        <w:t>经去甲基作用生成伪麻黄碱。伪麻黄碱的半衰期</w:t>
      </w:r>
      <w:r w:rsidRPr="00326EE4">
        <w:rPr>
          <w:rFonts w:ascii="宋体" w:hAnsi="宋体"/>
          <w:szCs w:val="21"/>
        </w:rPr>
        <w:t>T</w:t>
      </w:r>
      <w:r w:rsidRPr="00326EE4">
        <w:rPr>
          <w:rFonts w:ascii="宋体" w:hAnsi="宋体"/>
          <w:szCs w:val="21"/>
          <w:vertAlign w:val="subscript"/>
        </w:rPr>
        <w:t>1/2Ke</w:t>
      </w:r>
      <w:r w:rsidRPr="00326EE4">
        <w:rPr>
          <w:rFonts w:ascii="宋体" w:hAnsi="宋体" w:hint="eastAsia"/>
          <w:szCs w:val="21"/>
        </w:rPr>
        <w:t>为</w:t>
      </w:r>
      <w:r w:rsidRPr="00326EE4">
        <w:rPr>
          <w:rFonts w:ascii="宋体" w:hAnsi="宋体"/>
          <w:szCs w:val="21"/>
        </w:rPr>
        <w:t>6.0</w:t>
      </w:r>
      <w:r>
        <w:rPr>
          <w:rFonts w:ascii="宋体" w:hAnsi="宋体" w:hint="eastAsia"/>
          <w:szCs w:val="21"/>
        </w:rPr>
        <w:t>小时</w:t>
      </w:r>
      <w:r w:rsidRPr="00326EE4">
        <w:rPr>
          <w:rFonts w:ascii="宋体" w:hAnsi="宋体" w:hint="eastAsia"/>
          <w:szCs w:val="21"/>
        </w:rPr>
        <w:t>。据报道称，单剂服用本品后约有</w:t>
      </w:r>
      <w:r w:rsidRPr="00326EE4">
        <w:rPr>
          <w:rFonts w:ascii="宋体" w:hAnsi="宋体"/>
          <w:szCs w:val="21"/>
        </w:rPr>
        <w:t>0.4%</w:t>
      </w:r>
      <w:r w:rsidRPr="00326EE4">
        <w:rPr>
          <w:rFonts w:ascii="宋体" w:hAnsi="宋体" w:hint="eastAsia"/>
          <w:szCs w:val="21"/>
        </w:rPr>
        <w:t>～</w:t>
      </w:r>
      <w:r w:rsidRPr="00326EE4">
        <w:rPr>
          <w:rFonts w:ascii="宋体" w:hAnsi="宋体"/>
          <w:szCs w:val="21"/>
        </w:rPr>
        <w:t>0.7%</w:t>
      </w:r>
      <w:r w:rsidRPr="00326EE4">
        <w:rPr>
          <w:rFonts w:ascii="宋体" w:hAnsi="宋体" w:hint="eastAsia"/>
          <w:szCs w:val="21"/>
        </w:rPr>
        <w:t>伪麻黄碱经由乳汁分泌，乳汁中的伪麻黄碱浓度约为血浆浓度的</w:t>
      </w:r>
      <w:r w:rsidRPr="00326EE4">
        <w:rPr>
          <w:rFonts w:ascii="宋体" w:hAnsi="宋体"/>
          <w:szCs w:val="21"/>
        </w:rPr>
        <w:t>2</w:t>
      </w:r>
      <w:r w:rsidRPr="00326EE4">
        <w:rPr>
          <w:rFonts w:ascii="宋体" w:hAnsi="宋体" w:hint="eastAsia"/>
          <w:szCs w:val="21"/>
        </w:rPr>
        <w:t>～</w:t>
      </w:r>
      <w:r w:rsidRPr="00326EE4">
        <w:rPr>
          <w:rFonts w:ascii="宋体" w:hAnsi="宋体"/>
          <w:szCs w:val="21"/>
        </w:rPr>
        <w:t>3</w:t>
      </w:r>
      <w:r w:rsidRPr="00326EE4">
        <w:rPr>
          <w:rFonts w:ascii="宋体" w:hAnsi="宋体" w:hint="eastAsia"/>
          <w:szCs w:val="21"/>
        </w:rPr>
        <w:t>倍。</w:t>
      </w:r>
    </w:p>
    <w:p w:rsidR="00264676" w:rsidRPr="00070C79" w:rsidRDefault="00264676" w:rsidP="00070C79">
      <w:pPr>
        <w:rPr>
          <w:rFonts w:ascii="宋体" w:cs="Arial"/>
          <w:color w:val="000000"/>
          <w:szCs w:val="21"/>
        </w:rPr>
      </w:pPr>
      <w:r w:rsidRPr="00326EE4">
        <w:rPr>
          <w:rFonts w:ascii="宋体" w:hAnsi="宋体" w:cs="Arial" w:hint="eastAsia"/>
          <w:color w:val="000000"/>
          <w:szCs w:val="21"/>
        </w:rPr>
        <w:t>布洛芬口服易吸收，药物吸收后广泛分布于肾上腺、卵巢、关节滑膜腔、甲状腺、皮肤和脂肪组织中，血浆蛋白结合率为</w:t>
      </w:r>
      <w:r w:rsidRPr="00326EE4">
        <w:rPr>
          <w:rFonts w:ascii="宋体" w:hAnsi="宋体" w:cs="Arial"/>
          <w:color w:val="000000"/>
          <w:szCs w:val="21"/>
        </w:rPr>
        <w:t>99%</w:t>
      </w:r>
      <w:r w:rsidRPr="00326EE4">
        <w:rPr>
          <w:rFonts w:ascii="宋体" w:hAnsi="宋体" w:cs="Arial" w:hint="eastAsia"/>
          <w:color w:val="000000"/>
          <w:szCs w:val="21"/>
        </w:rPr>
        <w:t>，主要在肝脏代谢，</w:t>
      </w:r>
      <w:r w:rsidRPr="00326EE4">
        <w:rPr>
          <w:rFonts w:ascii="宋体" w:hAnsi="宋体" w:cs="Arial"/>
          <w:color w:val="000000"/>
          <w:szCs w:val="21"/>
        </w:rPr>
        <w:t>60%</w:t>
      </w:r>
      <w:r w:rsidRPr="00C07B6A">
        <w:rPr>
          <w:rFonts w:ascii="宋体" w:hAnsi="宋体" w:cs="Arial" w:hint="eastAsia"/>
          <w:color w:val="000000"/>
          <w:szCs w:val="21"/>
        </w:rPr>
        <w:t>～</w:t>
      </w:r>
      <w:r w:rsidRPr="00326EE4">
        <w:rPr>
          <w:rFonts w:ascii="宋体" w:hAnsi="宋体" w:cs="Arial"/>
          <w:color w:val="000000"/>
          <w:szCs w:val="21"/>
        </w:rPr>
        <w:t>90%</w:t>
      </w:r>
      <w:r w:rsidRPr="00326EE4">
        <w:rPr>
          <w:rFonts w:ascii="宋体" w:hAnsi="宋体" w:cs="Arial" w:hint="eastAsia"/>
          <w:color w:val="000000"/>
          <w:szCs w:val="21"/>
        </w:rPr>
        <w:t>随尿排出，其中约</w:t>
      </w:r>
      <w:r w:rsidRPr="00326EE4">
        <w:rPr>
          <w:rFonts w:ascii="宋体" w:hAnsi="宋体" w:cs="Arial"/>
          <w:color w:val="000000"/>
          <w:szCs w:val="21"/>
        </w:rPr>
        <w:t>1%</w:t>
      </w:r>
      <w:r w:rsidRPr="00326EE4">
        <w:rPr>
          <w:rFonts w:ascii="宋体" w:hAnsi="宋体" w:cs="Arial" w:hint="eastAsia"/>
          <w:color w:val="000000"/>
          <w:szCs w:val="21"/>
        </w:rPr>
        <w:t>为原形药物。</w:t>
      </w:r>
    </w:p>
    <w:p w:rsidR="00264676" w:rsidRPr="00326EE4" w:rsidRDefault="00264676" w:rsidP="002B61AF">
      <w:pPr>
        <w:ind w:firstLineChars="200" w:firstLine="31680"/>
        <w:rPr>
          <w:rFonts w:ascii="宋体" w:hAnsi="宋体"/>
          <w:szCs w:val="21"/>
        </w:rPr>
      </w:pPr>
      <w:r w:rsidRPr="00326EE4">
        <w:rPr>
          <w:rFonts w:ascii="宋体" w:hAnsi="宋体" w:hint="eastAsia"/>
          <w:szCs w:val="21"/>
        </w:rPr>
        <w:t>【贮藏】</w:t>
      </w:r>
      <w:r w:rsidRPr="00326EE4">
        <w:rPr>
          <w:rFonts w:ascii="宋体" w:hAnsi="宋体"/>
          <w:szCs w:val="21"/>
        </w:rPr>
        <w:t xml:space="preserve"> </w:t>
      </w:r>
    </w:p>
    <w:p w:rsidR="00264676" w:rsidRPr="00326EE4" w:rsidRDefault="00264676" w:rsidP="002B61AF">
      <w:pPr>
        <w:ind w:firstLineChars="200" w:firstLine="31680"/>
        <w:rPr>
          <w:rFonts w:ascii="宋体" w:hAnsi="宋体"/>
          <w:szCs w:val="21"/>
        </w:rPr>
      </w:pPr>
      <w:r w:rsidRPr="00326EE4">
        <w:rPr>
          <w:rFonts w:ascii="宋体" w:hAnsi="宋体" w:hint="eastAsia"/>
          <w:szCs w:val="21"/>
        </w:rPr>
        <w:t>【包装】</w:t>
      </w:r>
      <w:r w:rsidRPr="00326EE4">
        <w:rPr>
          <w:rFonts w:ascii="宋体" w:hAnsi="宋体"/>
          <w:szCs w:val="21"/>
        </w:rPr>
        <w:t xml:space="preserve"> </w:t>
      </w:r>
    </w:p>
    <w:p w:rsidR="00264676" w:rsidRPr="00326EE4" w:rsidRDefault="00264676" w:rsidP="002B61AF">
      <w:pPr>
        <w:ind w:firstLineChars="200" w:firstLine="31680"/>
        <w:rPr>
          <w:rFonts w:ascii="宋体"/>
          <w:szCs w:val="21"/>
        </w:rPr>
      </w:pPr>
      <w:r w:rsidRPr="00326EE4">
        <w:rPr>
          <w:rFonts w:ascii="宋体" w:hAnsi="宋体" w:hint="eastAsia"/>
          <w:szCs w:val="21"/>
        </w:rPr>
        <w:t>【有效期】</w:t>
      </w:r>
    </w:p>
    <w:p w:rsidR="00264676" w:rsidRPr="00326EE4" w:rsidRDefault="00264676" w:rsidP="002B61AF">
      <w:pPr>
        <w:ind w:firstLineChars="200" w:firstLine="31680"/>
        <w:rPr>
          <w:rFonts w:ascii="宋体"/>
          <w:szCs w:val="21"/>
        </w:rPr>
      </w:pPr>
      <w:r w:rsidRPr="00326EE4">
        <w:rPr>
          <w:rFonts w:ascii="宋体" w:hAnsi="宋体" w:hint="eastAsia"/>
          <w:szCs w:val="21"/>
        </w:rPr>
        <w:t>【执行标准】</w:t>
      </w:r>
    </w:p>
    <w:p w:rsidR="00264676" w:rsidRPr="00326EE4" w:rsidRDefault="00264676" w:rsidP="002B61AF">
      <w:pPr>
        <w:ind w:firstLineChars="200" w:firstLine="31680"/>
        <w:rPr>
          <w:rFonts w:ascii="宋体"/>
          <w:szCs w:val="21"/>
        </w:rPr>
      </w:pPr>
      <w:r w:rsidRPr="00326EE4">
        <w:rPr>
          <w:rFonts w:ascii="宋体" w:hAnsi="宋体" w:hint="eastAsia"/>
          <w:szCs w:val="21"/>
        </w:rPr>
        <w:t>【批准文号】</w:t>
      </w:r>
    </w:p>
    <w:p w:rsidR="00264676" w:rsidRPr="00326EE4" w:rsidRDefault="00264676" w:rsidP="002B61AF">
      <w:pPr>
        <w:ind w:firstLineChars="200" w:firstLine="31680"/>
        <w:rPr>
          <w:rFonts w:ascii="宋体" w:hAnsi="宋体"/>
          <w:szCs w:val="21"/>
        </w:rPr>
      </w:pPr>
      <w:r w:rsidRPr="00326EE4">
        <w:rPr>
          <w:rFonts w:ascii="宋体" w:hAnsi="宋体" w:hint="eastAsia"/>
          <w:szCs w:val="21"/>
        </w:rPr>
        <w:t>【生产企业】</w:t>
      </w:r>
      <w:r w:rsidRPr="00326EE4">
        <w:rPr>
          <w:rFonts w:ascii="宋体" w:hAnsi="宋体"/>
          <w:szCs w:val="21"/>
        </w:rPr>
        <w:t xml:space="preserve"> </w:t>
      </w:r>
    </w:p>
    <w:p w:rsidR="00264676" w:rsidRPr="00326EE4" w:rsidRDefault="00264676" w:rsidP="002B61AF">
      <w:pPr>
        <w:ind w:firstLineChars="200" w:firstLine="31680"/>
        <w:rPr>
          <w:rFonts w:ascii="宋体" w:hAnsi="宋体"/>
          <w:szCs w:val="21"/>
        </w:rPr>
      </w:pPr>
      <w:r w:rsidRPr="00326EE4">
        <w:rPr>
          <w:rFonts w:ascii="宋体" w:hAnsi="宋体" w:hint="eastAsia"/>
          <w:szCs w:val="21"/>
        </w:rPr>
        <w:t>企业名称：</w:t>
      </w:r>
      <w:r w:rsidRPr="00326EE4">
        <w:rPr>
          <w:rFonts w:ascii="宋体" w:hAnsi="宋体"/>
          <w:szCs w:val="21"/>
        </w:rPr>
        <w:t xml:space="preserve"> </w:t>
      </w:r>
    </w:p>
    <w:p w:rsidR="00264676" w:rsidRPr="00326EE4" w:rsidRDefault="00264676" w:rsidP="002B61AF">
      <w:pPr>
        <w:ind w:firstLineChars="200" w:firstLine="31680"/>
        <w:rPr>
          <w:rFonts w:ascii="宋体" w:hAnsi="宋体"/>
          <w:szCs w:val="21"/>
        </w:rPr>
      </w:pPr>
      <w:r w:rsidRPr="00326EE4">
        <w:rPr>
          <w:rFonts w:ascii="宋体" w:hAnsi="宋体" w:hint="eastAsia"/>
          <w:szCs w:val="21"/>
        </w:rPr>
        <w:t>生产地址：</w:t>
      </w:r>
      <w:r w:rsidRPr="00326EE4">
        <w:rPr>
          <w:rFonts w:ascii="宋体" w:hAnsi="宋体"/>
          <w:szCs w:val="21"/>
        </w:rPr>
        <w:t xml:space="preserve"> </w:t>
      </w:r>
    </w:p>
    <w:p w:rsidR="00264676" w:rsidRPr="00326EE4" w:rsidRDefault="00264676" w:rsidP="002B61AF">
      <w:pPr>
        <w:ind w:firstLineChars="200" w:firstLine="31680"/>
        <w:rPr>
          <w:rFonts w:ascii="宋体" w:hAnsi="宋体"/>
          <w:szCs w:val="21"/>
        </w:rPr>
      </w:pPr>
      <w:r w:rsidRPr="00326EE4">
        <w:rPr>
          <w:rFonts w:ascii="宋体" w:hAnsi="宋体" w:hint="eastAsia"/>
          <w:szCs w:val="21"/>
        </w:rPr>
        <w:t>电话：</w:t>
      </w:r>
      <w:r w:rsidRPr="00326EE4">
        <w:rPr>
          <w:rFonts w:ascii="宋体" w:hAnsi="宋体"/>
          <w:szCs w:val="21"/>
        </w:rPr>
        <w:t xml:space="preserve"> </w:t>
      </w:r>
    </w:p>
    <w:p w:rsidR="00264676" w:rsidRPr="00326EE4" w:rsidRDefault="00264676" w:rsidP="002B61AF">
      <w:pPr>
        <w:ind w:firstLineChars="200" w:firstLine="31680"/>
        <w:rPr>
          <w:rFonts w:ascii="宋体"/>
          <w:szCs w:val="21"/>
        </w:rPr>
      </w:pPr>
      <w:r w:rsidRPr="00326EE4">
        <w:rPr>
          <w:rFonts w:ascii="宋体" w:hAnsi="宋体" w:hint="eastAsia"/>
          <w:szCs w:val="21"/>
        </w:rPr>
        <w:t>传真：</w:t>
      </w:r>
    </w:p>
    <w:p w:rsidR="00264676" w:rsidRPr="00326EE4" w:rsidRDefault="00264676" w:rsidP="002B61AF">
      <w:pPr>
        <w:ind w:firstLineChars="200" w:firstLine="31680"/>
        <w:rPr>
          <w:rFonts w:ascii="宋体"/>
          <w:szCs w:val="21"/>
        </w:rPr>
      </w:pPr>
      <w:r w:rsidRPr="00326EE4">
        <w:rPr>
          <w:rFonts w:ascii="宋体" w:hAnsi="宋体" w:hint="eastAsia"/>
          <w:szCs w:val="21"/>
        </w:rPr>
        <w:t>邮编：</w:t>
      </w:r>
    </w:p>
    <w:p w:rsidR="00264676" w:rsidRPr="00326EE4" w:rsidRDefault="00264676" w:rsidP="002B61AF">
      <w:pPr>
        <w:ind w:firstLineChars="200" w:firstLine="31680"/>
        <w:rPr>
          <w:rFonts w:ascii="宋体" w:hAnsi="宋体"/>
          <w:szCs w:val="21"/>
        </w:rPr>
      </w:pPr>
      <w:r w:rsidRPr="00326EE4">
        <w:rPr>
          <w:rFonts w:ascii="宋体" w:hAnsi="宋体" w:hint="eastAsia"/>
          <w:szCs w:val="21"/>
        </w:rPr>
        <w:t>网址：</w:t>
      </w:r>
      <w:r w:rsidRPr="00326EE4">
        <w:rPr>
          <w:rFonts w:ascii="宋体" w:hAnsi="宋体"/>
          <w:szCs w:val="21"/>
        </w:rPr>
        <w:t xml:space="preserve"> </w:t>
      </w:r>
    </w:p>
    <w:p w:rsidR="00264676" w:rsidRPr="00326EE4" w:rsidRDefault="00264676" w:rsidP="00326EE4">
      <w:pPr>
        <w:rPr>
          <w:rFonts w:ascii="宋体"/>
          <w:szCs w:val="21"/>
        </w:rPr>
      </w:pPr>
    </w:p>
    <w:sectPr w:rsidR="00264676" w:rsidRPr="00326EE4" w:rsidSect="000F5A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676" w:rsidRDefault="00264676" w:rsidP="00A744B2">
      <w:r>
        <w:separator/>
      </w:r>
    </w:p>
  </w:endnote>
  <w:endnote w:type="continuationSeparator" w:id="0">
    <w:p w:rsidR="00264676" w:rsidRDefault="00264676" w:rsidP="00A744B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676" w:rsidRDefault="00264676" w:rsidP="00A744B2">
      <w:r>
        <w:separator/>
      </w:r>
    </w:p>
  </w:footnote>
  <w:footnote w:type="continuationSeparator" w:id="0">
    <w:p w:rsidR="00264676" w:rsidRDefault="00264676" w:rsidP="00A744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2288D"/>
    <w:multiLevelType w:val="hybridMultilevel"/>
    <w:tmpl w:val="0D386DC8"/>
    <w:lvl w:ilvl="0" w:tplc="70E0E294">
      <w:start w:val="1"/>
      <w:numFmt w:val="decimal"/>
      <w:lvlText w:val="%1."/>
      <w:lvlJc w:val="left"/>
      <w:pPr>
        <w:ind w:left="780" w:hanging="360"/>
      </w:pPr>
      <w:rPr>
        <w:rFonts w:ascii="宋体" w:eastAsia="宋体" w:hAnsi="宋体" w:cs="Times New Roman" w:hint="default"/>
        <w:sz w:val="21"/>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474A"/>
    <w:rsid w:val="00070C79"/>
    <w:rsid w:val="000C3E21"/>
    <w:rsid w:val="000F5A93"/>
    <w:rsid w:val="00162F8C"/>
    <w:rsid w:val="00187805"/>
    <w:rsid w:val="00224D27"/>
    <w:rsid w:val="00264676"/>
    <w:rsid w:val="002B61AF"/>
    <w:rsid w:val="002F0EFF"/>
    <w:rsid w:val="00324B9A"/>
    <w:rsid w:val="00326EE4"/>
    <w:rsid w:val="0033193A"/>
    <w:rsid w:val="00334A9C"/>
    <w:rsid w:val="00343875"/>
    <w:rsid w:val="0039295F"/>
    <w:rsid w:val="003976CC"/>
    <w:rsid w:val="004150F2"/>
    <w:rsid w:val="0054592E"/>
    <w:rsid w:val="005618F5"/>
    <w:rsid w:val="00586A4F"/>
    <w:rsid w:val="005F6CC3"/>
    <w:rsid w:val="0062002D"/>
    <w:rsid w:val="00633DCD"/>
    <w:rsid w:val="006D474A"/>
    <w:rsid w:val="006E1B1C"/>
    <w:rsid w:val="007C46E4"/>
    <w:rsid w:val="008C7B5D"/>
    <w:rsid w:val="009128BC"/>
    <w:rsid w:val="00920161"/>
    <w:rsid w:val="009848D3"/>
    <w:rsid w:val="009D785B"/>
    <w:rsid w:val="00A744B2"/>
    <w:rsid w:val="00AC177E"/>
    <w:rsid w:val="00AC5E1C"/>
    <w:rsid w:val="00BA65C4"/>
    <w:rsid w:val="00BD3B39"/>
    <w:rsid w:val="00BF106C"/>
    <w:rsid w:val="00BF2AA2"/>
    <w:rsid w:val="00C07B6A"/>
    <w:rsid w:val="00DB3028"/>
    <w:rsid w:val="00E30765"/>
    <w:rsid w:val="00F02DF8"/>
    <w:rsid w:val="00FF7C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74A"/>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D474A"/>
    <w:rPr>
      <w:rFonts w:cs="Times New Roman"/>
      <w:color w:val="0000FF"/>
      <w:u w:val="single"/>
    </w:rPr>
  </w:style>
  <w:style w:type="paragraph" w:styleId="Header">
    <w:name w:val="header"/>
    <w:basedOn w:val="Normal"/>
    <w:link w:val="HeaderChar"/>
    <w:uiPriority w:val="99"/>
    <w:semiHidden/>
    <w:rsid w:val="00A744B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744B2"/>
    <w:rPr>
      <w:rFonts w:ascii="Times New Roman" w:eastAsia="宋体" w:hAnsi="Times New Roman" w:cs="Times New Roman"/>
      <w:sz w:val="18"/>
      <w:szCs w:val="18"/>
    </w:rPr>
  </w:style>
  <w:style w:type="paragraph" w:styleId="Footer">
    <w:name w:val="footer"/>
    <w:basedOn w:val="Normal"/>
    <w:link w:val="FooterChar"/>
    <w:uiPriority w:val="99"/>
    <w:semiHidden/>
    <w:rsid w:val="00A744B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744B2"/>
    <w:rPr>
      <w:rFonts w:ascii="Times New Roman" w:eastAsia="宋体" w:hAnsi="Times New Roman" w:cs="Times New Roman"/>
      <w:sz w:val="18"/>
      <w:szCs w:val="18"/>
    </w:rPr>
  </w:style>
  <w:style w:type="paragraph" w:styleId="ListParagraph">
    <w:name w:val="List Paragraph"/>
    <w:basedOn w:val="Normal"/>
    <w:uiPriority w:val="99"/>
    <w:qFormat/>
    <w:rsid w:val="00187805"/>
    <w:pPr>
      <w:ind w:firstLineChars="200" w:firstLine="420"/>
    </w:pPr>
  </w:style>
</w:styles>
</file>

<file path=word/webSettings.xml><?xml version="1.0" encoding="utf-8"?>
<w:webSettings xmlns:r="http://schemas.openxmlformats.org/officeDocument/2006/relationships" xmlns:w="http://schemas.openxmlformats.org/wordprocessingml/2006/main">
  <w:divs>
    <w:div w:id="646132485">
      <w:marLeft w:val="0"/>
      <w:marRight w:val="0"/>
      <w:marTop w:val="0"/>
      <w:marBottom w:val="0"/>
      <w:divBdr>
        <w:top w:val="none" w:sz="0" w:space="0" w:color="auto"/>
        <w:left w:val="none" w:sz="0" w:space="0" w:color="auto"/>
        <w:bottom w:val="none" w:sz="0" w:space="0" w:color="auto"/>
        <w:right w:val="none" w:sz="0" w:space="0" w:color="auto"/>
      </w:divBdr>
    </w:div>
    <w:div w:id="646132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634</Words>
  <Characters>3615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附件6</dc:title>
  <dc:subject/>
  <dc:creator>赵德恒</dc:creator>
  <cp:keywords/>
  <dc:description/>
  <cp:lastModifiedBy>USER</cp:lastModifiedBy>
  <cp:revision>2</cp:revision>
  <dcterms:created xsi:type="dcterms:W3CDTF">2012-11-29T01:07:00Z</dcterms:created>
  <dcterms:modified xsi:type="dcterms:W3CDTF">2012-11-29T01:07:00Z</dcterms:modified>
</cp:coreProperties>
</file>