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B2" w:rsidRDefault="00BA4BD9">
      <w:pPr>
        <w:spacing w:line="640" w:lineRule="exact"/>
        <w:jc w:val="left"/>
        <w:rPr>
          <w:rFonts w:ascii="黑体" w:eastAsia="黑体" w:hAnsi="黑体" w:cs="方正小标宋简体"/>
          <w:sz w:val="32"/>
          <w:szCs w:val="32"/>
        </w:rPr>
      </w:pPr>
      <w:r>
        <w:rPr>
          <w:rFonts w:ascii="黑体" w:eastAsia="黑体" w:hAnsi="黑体" w:cs="方正小标宋简体" w:hint="eastAsia"/>
          <w:sz w:val="32"/>
          <w:szCs w:val="32"/>
        </w:rPr>
        <w:t>附件</w:t>
      </w:r>
    </w:p>
    <w:p w:rsidR="004870B2" w:rsidRDefault="004870B2">
      <w:pPr>
        <w:spacing w:line="640" w:lineRule="exact"/>
        <w:jc w:val="center"/>
        <w:rPr>
          <w:rFonts w:ascii="方正小标宋简体" w:eastAsia="方正小标宋简体" w:hAnsi="方正小标宋简体" w:cs="方正小标宋简体"/>
          <w:sz w:val="44"/>
          <w:szCs w:val="44"/>
        </w:rPr>
      </w:pPr>
    </w:p>
    <w:p w:rsidR="004870B2" w:rsidRDefault="00BA4BD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医疗器械定期风险评价报告审核指南（试行）</w:t>
      </w:r>
    </w:p>
    <w:p w:rsidR="004870B2" w:rsidRDefault="004870B2">
      <w:pPr>
        <w:spacing w:line="540" w:lineRule="exact"/>
        <w:jc w:val="center"/>
        <w:rPr>
          <w:rFonts w:ascii="仿宋" w:eastAsia="仿宋" w:hAnsi="仿宋" w:cs="宋体"/>
          <w:kern w:val="0"/>
          <w:sz w:val="32"/>
          <w:szCs w:val="32"/>
          <w:lang w:bidi="ar"/>
        </w:rPr>
      </w:pPr>
    </w:p>
    <w:p w:rsidR="004870B2" w:rsidRDefault="00BA4BD9">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1.前言</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为指导和规范国家监测机构和省级监测机构开展</w:t>
      </w:r>
      <w:r w:rsidR="000B5744">
        <w:rPr>
          <w:rFonts w:ascii="仿宋" w:eastAsia="仿宋" w:hAnsi="仿宋" w:cs="宋体" w:hint="eastAsia"/>
          <w:kern w:val="0"/>
          <w:sz w:val="32"/>
          <w:szCs w:val="32"/>
          <w:lang w:bidi="ar"/>
        </w:rPr>
        <w:t>医疗器械</w:t>
      </w:r>
      <w:r>
        <w:rPr>
          <w:rFonts w:ascii="仿宋" w:eastAsia="仿宋" w:hAnsi="仿宋" w:cs="宋体" w:hint="eastAsia"/>
          <w:kern w:val="0"/>
          <w:sz w:val="32"/>
          <w:szCs w:val="32"/>
          <w:lang w:bidi="ar"/>
        </w:rPr>
        <w:t>定期风险评价报告审核工作，落实《医疗器械不良事件监测和再评价管理办法》（国家市场监督管理总局</w:t>
      </w:r>
      <w:r>
        <w:rPr>
          <w:rFonts w:ascii="仿宋" w:eastAsia="仿宋" w:hAnsi="仿宋" w:cs="宋体"/>
          <w:kern w:val="0"/>
          <w:sz w:val="32"/>
          <w:szCs w:val="32"/>
          <w:lang w:bidi="ar"/>
        </w:rPr>
        <w:t xml:space="preserve"> </w:t>
      </w:r>
      <w:r>
        <w:rPr>
          <w:rFonts w:ascii="仿宋" w:eastAsia="仿宋" w:hAnsi="仿宋" w:cs="宋体" w:hint="eastAsia"/>
          <w:kern w:val="0"/>
          <w:sz w:val="32"/>
          <w:szCs w:val="32"/>
          <w:lang w:bidi="ar"/>
        </w:rPr>
        <w:t>中华人民共和国国家卫生健康委员会令</w:t>
      </w:r>
      <w:r>
        <w:rPr>
          <w:rFonts w:ascii="仿宋" w:eastAsia="仿宋" w:hAnsi="仿宋" w:cs="宋体"/>
          <w:kern w:val="0"/>
          <w:sz w:val="32"/>
          <w:szCs w:val="32"/>
          <w:lang w:bidi="ar"/>
        </w:rPr>
        <w:t xml:space="preserve"> </w:t>
      </w:r>
      <w:r>
        <w:rPr>
          <w:rFonts w:ascii="仿宋" w:eastAsia="仿宋" w:hAnsi="仿宋" w:cs="宋体" w:hint="eastAsia"/>
          <w:kern w:val="0"/>
          <w:sz w:val="32"/>
          <w:szCs w:val="32"/>
          <w:lang w:bidi="ar"/>
        </w:rPr>
        <w:t>第1号）（以下简称《办法》）第四十条定期风险评价报告审核有关规定，根据《医疗器械定期风险评价报告撰写规范》（以下简称《撰写规范》）制定本审核指南。本指南所称注册人与《办法》中所称医疗器械上市许可持有人内涵相同。</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本指南依据当前对定期风险评价报告撰写和审核工作的认识而制定，提出了定期风险评价报告各要素的审核要点，并且根据对报告质量的要求，列举几种常见的退回情形，</w:t>
      </w:r>
      <w:r>
        <w:rPr>
          <w:rFonts w:ascii="仿宋" w:eastAsia="仿宋" w:hAnsi="仿宋" w:hint="eastAsia"/>
          <w:sz w:val="32"/>
          <w:szCs w:val="32"/>
        </w:rPr>
        <w:t>为监测机构的审核行为提供具体、可操作的指导，有助于形成对注册人报告撰写行为的良好反馈，进一步提升定期风险评价报告的质量，是《撰写规范》的重要补充</w:t>
      </w:r>
      <w:r>
        <w:rPr>
          <w:rFonts w:ascii="仿宋" w:eastAsia="仿宋" w:hAnsi="仿宋" w:cs="宋体" w:hint="eastAsia"/>
          <w:kern w:val="0"/>
          <w:sz w:val="32"/>
          <w:szCs w:val="32"/>
          <w:lang w:bidi="ar"/>
        </w:rPr>
        <w:t>。</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值得注意的是，如果在审核定期风险评价报告的过程中，发现注册人的产品存在不合理的质量安全风险，应当按照风险信号处置有关工作程序，及时指导注册人进行风险处置和报告。实施过程中，如果遇到法规和技术指南文件的修订，应以最新文件为准，对本</w:t>
      </w:r>
      <w:r w:rsidR="00E625DE">
        <w:rPr>
          <w:rFonts w:ascii="仿宋" w:eastAsia="仿宋" w:hAnsi="仿宋" w:cs="宋体" w:hint="eastAsia"/>
          <w:kern w:val="0"/>
          <w:sz w:val="32"/>
          <w:szCs w:val="32"/>
          <w:lang w:bidi="ar"/>
        </w:rPr>
        <w:t>指南</w:t>
      </w:r>
      <w:r>
        <w:rPr>
          <w:rFonts w:ascii="仿宋" w:eastAsia="仿宋" w:hAnsi="仿宋" w:cs="宋体" w:hint="eastAsia"/>
          <w:kern w:val="0"/>
          <w:sz w:val="32"/>
          <w:szCs w:val="32"/>
          <w:lang w:bidi="ar"/>
        </w:rPr>
        <w:t>进行相应调整和完善。</w:t>
      </w:r>
    </w:p>
    <w:p w:rsidR="004870B2" w:rsidRDefault="00BA4BD9">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 xml:space="preserve">2. </w:t>
      </w:r>
      <w:r>
        <w:rPr>
          <w:rFonts w:ascii="黑体" w:eastAsia="黑体" w:hAnsi="黑体" w:cs="宋体"/>
          <w:kern w:val="0"/>
          <w:sz w:val="32"/>
          <w:szCs w:val="32"/>
          <w:lang w:bidi="ar"/>
        </w:rPr>
        <w:t>适用范围</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lastRenderedPageBreak/>
        <w:t>本指南适用于国家监测机构和省级监测机构开展医疗器械定期风险评价报告审核工作，具体包括对注册人及其代理人提交的首个注册周期内的第二、三类医疗器械定期风险评价报告进行的审核工作。</w:t>
      </w:r>
    </w:p>
    <w:p w:rsidR="004870B2" w:rsidRDefault="00BA4BD9">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3.定期风险评价报告审核要点</w:t>
      </w:r>
    </w:p>
    <w:p w:rsidR="004870B2" w:rsidRPr="007F2720" w:rsidRDefault="00BA4BD9">
      <w:pPr>
        <w:spacing w:line="540" w:lineRule="exact"/>
        <w:ind w:firstLineChars="221" w:firstLine="707"/>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3.1提交表审核要点</w:t>
      </w:r>
    </w:p>
    <w:p w:rsidR="004870B2" w:rsidRDefault="00BA4BD9">
      <w:pPr>
        <w:spacing w:line="540" w:lineRule="exact"/>
        <w:ind w:firstLineChars="221" w:firstLine="707"/>
        <w:rPr>
          <w:rFonts w:ascii="仿宋" w:eastAsia="仿宋" w:hAnsi="仿宋"/>
          <w:sz w:val="32"/>
          <w:szCs w:val="32"/>
        </w:rPr>
      </w:pPr>
      <w:r>
        <w:rPr>
          <w:rFonts w:ascii="仿宋" w:eastAsia="仿宋" w:hAnsi="仿宋" w:cs="宋体" w:hint="eastAsia"/>
          <w:kern w:val="0"/>
          <w:sz w:val="32"/>
          <w:szCs w:val="32"/>
          <w:lang w:bidi="ar"/>
        </w:rPr>
        <w:t>3.1.1 定期风险评价报告提交表内容是否与报告正文、产品注册证及说明书等相关文件中的内容一致。</w:t>
      </w:r>
    </w:p>
    <w:p w:rsidR="004870B2" w:rsidRDefault="00BA4BD9">
      <w:pPr>
        <w:spacing w:line="540" w:lineRule="exact"/>
        <w:ind w:firstLineChars="221" w:firstLine="707"/>
        <w:rPr>
          <w:rStyle w:val="font31"/>
          <w:rFonts w:ascii="仿宋" w:eastAsia="仿宋" w:hAnsi="仿宋" w:hint="default"/>
          <w:color w:val="auto"/>
          <w:sz w:val="32"/>
          <w:szCs w:val="32"/>
          <w:lang w:bidi="ar"/>
        </w:rPr>
      </w:pPr>
      <w:r>
        <w:rPr>
          <w:rStyle w:val="font31"/>
          <w:rFonts w:ascii="仿宋" w:eastAsia="仿宋" w:hAnsi="仿宋" w:hint="default"/>
          <w:color w:val="auto"/>
          <w:sz w:val="32"/>
          <w:szCs w:val="32"/>
          <w:lang w:bidi="ar"/>
        </w:rPr>
        <w:t xml:space="preserve">3.1.2 </w:t>
      </w:r>
      <w:r>
        <w:rPr>
          <w:rStyle w:val="font01"/>
          <w:rFonts w:ascii="仿宋" w:eastAsia="仿宋" w:hAnsi="仿宋" w:hint="default"/>
          <w:color w:val="auto"/>
          <w:sz w:val="32"/>
          <w:szCs w:val="32"/>
          <w:lang w:bidi="ar"/>
        </w:rPr>
        <w:t>系统中提交的是否为第</w:t>
      </w:r>
      <w:r>
        <w:rPr>
          <w:rFonts w:ascii="仿宋" w:eastAsia="仿宋" w:hAnsi="仿宋" w:cs="宋体" w:hint="eastAsia"/>
          <w:kern w:val="0"/>
          <w:sz w:val="32"/>
          <w:szCs w:val="32"/>
          <w:lang w:bidi="ar"/>
        </w:rPr>
        <w:t>二、三</w:t>
      </w:r>
      <w:r>
        <w:rPr>
          <w:rStyle w:val="font31"/>
          <w:rFonts w:ascii="仿宋" w:eastAsia="仿宋" w:hAnsi="仿宋" w:hint="default"/>
          <w:color w:val="auto"/>
          <w:sz w:val="32"/>
          <w:szCs w:val="32"/>
          <w:lang w:bidi="ar"/>
        </w:rPr>
        <w:t>类医疗器械首个注册周期的定期风险评价报告。</w:t>
      </w:r>
    </w:p>
    <w:p w:rsidR="004870B2" w:rsidRDefault="00BA4BD9">
      <w:pPr>
        <w:spacing w:line="540" w:lineRule="exact"/>
        <w:ind w:firstLineChars="221" w:firstLine="707"/>
        <w:rPr>
          <w:rFonts w:ascii="仿宋" w:eastAsia="仿宋" w:hAnsi="仿宋"/>
          <w:sz w:val="32"/>
          <w:szCs w:val="32"/>
        </w:rPr>
      </w:pPr>
      <w:r>
        <w:rPr>
          <w:rStyle w:val="font31"/>
          <w:rFonts w:ascii="仿宋" w:eastAsia="仿宋" w:hAnsi="仿宋" w:hint="default"/>
          <w:color w:val="auto"/>
          <w:sz w:val="32"/>
          <w:szCs w:val="32"/>
          <w:lang w:bidi="ar"/>
        </w:rPr>
        <w:t>3.1.3 提交时间是否在注册每满1年后的60日内。</w:t>
      </w:r>
    </w:p>
    <w:p w:rsidR="004870B2" w:rsidRDefault="00BA4BD9">
      <w:pPr>
        <w:spacing w:line="540" w:lineRule="exact"/>
        <w:ind w:firstLineChars="221" w:firstLine="707"/>
        <w:rPr>
          <w:rFonts w:ascii="仿宋" w:eastAsia="仿宋" w:hAnsi="仿宋" w:cs="宋体"/>
          <w:kern w:val="0"/>
          <w:sz w:val="32"/>
          <w:szCs w:val="32"/>
          <w:lang w:val="en" w:bidi="ar"/>
        </w:rPr>
      </w:pPr>
      <w:r>
        <w:rPr>
          <w:rFonts w:ascii="仿宋" w:eastAsia="仿宋" w:hAnsi="仿宋" w:cs="宋体" w:hint="eastAsia"/>
          <w:kern w:val="0"/>
          <w:sz w:val="32"/>
          <w:szCs w:val="32"/>
          <w:lang w:bidi="ar"/>
        </w:rPr>
        <w:t>3.1.4 数据汇总时间范围是否以首次取得注册证明文件之日起，每满1年的日期为数据汇总截止日期。</w:t>
      </w:r>
      <w:r>
        <w:rPr>
          <w:rFonts w:ascii="仿宋" w:eastAsia="仿宋" w:hAnsi="仿宋" w:cs="宋体" w:hint="eastAsia"/>
          <w:kern w:val="0"/>
          <w:sz w:val="32"/>
          <w:szCs w:val="32"/>
          <w:lang w:val="en" w:bidi="ar"/>
        </w:rPr>
        <w:t>对于符合合并撰写报告要求的，数据汇总时间范围是否满足不同产品报告的时限要求。</w:t>
      </w:r>
    </w:p>
    <w:p w:rsidR="004870B2" w:rsidRDefault="00BA4BD9">
      <w:pPr>
        <w:spacing w:line="540" w:lineRule="exact"/>
        <w:ind w:firstLineChars="221" w:firstLine="707"/>
        <w:rPr>
          <w:rFonts w:ascii="仿宋" w:eastAsia="仿宋" w:hAnsi="仿宋"/>
          <w:sz w:val="32"/>
          <w:szCs w:val="32"/>
        </w:rPr>
      </w:pPr>
      <w:r>
        <w:rPr>
          <w:rFonts w:ascii="仿宋" w:eastAsia="仿宋" w:hAnsi="仿宋" w:hint="eastAsia"/>
          <w:sz w:val="32"/>
          <w:szCs w:val="32"/>
        </w:rPr>
        <w:t>3.1.5 数据汇总时间在医疗器械整个生命周期内是否连续不间断。</w:t>
      </w:r>
    </w:p>
    <w:p w:rsidR="004870B2" w:rsidRPr="007F2720" w:rsidRDefault="00BA4BD9">
      <w:pPr>
        <w:spacing w:line="540" w:lineRule="exact"/>
        <w:ind w:firstLineChars="221" w:firstLine="707"/>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3.2 报告格式审核要点</w:t>
      </w:r>
    </w:p>
    <w:p w:rsidR="004870B2" w:rsidRDefault="00BA4BD9">
      <w:pPr>
        <w:spacing w:line="540" w:lineRule="exact"/>
        <w:ind w:firstLineChars="221" w:firstLine="707"/>
        <w:rPr>
          <w:rFonts w:ascii="黑体" w:eastAsia="黑体" w:hAnsi="黑体"/>
          <w:sz w:val="32"/>
          <w:szCs w:val="32"/>
        </w:rPr>
      </w:pPr>
      <w:r>
        <w:rPr>
          <w:rFonts w:ascii="仿宋" w:eastAsia="仿宋" w:hAnsi="仿宋" w:hint="eastAsia"/>
          <w:sz w:val="32"/>
          <w:szCs w:val="32"/>
        </w:rPr>
        <w:t>3.2.1 报告是否包含封面、目录和正文三部分内容。</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3.2.2 封面是否包括以下信息要素：产品名称、注册</w:t>
      </w:r>
      <w:proofErr w:type="gramStart"/>
      <w:r>
        <w:rPr>
          <w:rFonts w:ascii="仿宋" w:eastAsia="仿宋" w:hAnsi="仿宋" w:cs="宋体" w:hint="eastAsia"/>
          <w:kern w:val="0"/>
          <w:sz w:val="32"/>
          <w:szCs w:val="32"/>
          <w:lang w:bidi="ar"/>
        </w:rPr>
        <w:t>证批准</w:t>
      </w:r>
      <w:proofErr w:type="gramEnd"/>
      <w:r>
        <w:rPr>
          <w:rFonts w:ascii="仿宋" w:eastAsia="仿宋" w:hAnsi="仿宋" w:cs="宋体" w:hint="eastAsia"/>
          <w:kern w:val="0"/>
          <w:sz w:val="32"/>
          <w:szCs w:val="32"/>
          <w:lang w:bidi="ar"/>
        </w:rPr>
        <w:t>日期、报告类别（首次注册/延续注册）、报告次数、报告期、本期国内销量、本期境外销量、本期不良事件报告数量，企业名称、联系地址、邮编、负责产品安全的部门、负责人及联系方式（包括手机、固定电话、电子邮箱等），报告提交时间，以及隐私保护等相关信息。</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lastRenderedPageBreak/>
        <w:t>3.2.3 目录层级是否清晰，是否至少包含二级目录。</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3.2.4 注册人是否提交中文定期风险评价报告或附有中文翻译（</w:t>
      </w:r>
      <w:proofErr w:type="gramStart"/>
      <w:r>
        <w:rPr>
          <w:rFonts w:ascii="仿宋" w:eastAsia="仿宋" w:hAnsi="仿宋" w:cs="宋体" w:hint="eastAsia"/>
          <w:kern w:val="0"/>
          <w:sz w:val="32"/>
          <w:szCs w:val="32"/>
          <w:lang w:bidi="ar"/>
        </w:rPr>
        <w:t>个</w:t>
      </w:r>
      <w:proofErr w:type="gramEnd"/>
      <w:r>
        <w:rPr>
          <w:rFonts w:ascii="仿宋" w:eastAsia="仿宋" w:hAnsi="仿宋" w:cs="宋体" w:hint="eastAsia"/>
          <w:kern w:val="0"/>
          <w:sz w:val="32"/>
          <w:szCs w:val="32"/>
          <w:lang w:bidi="ar"/>
        </w:rPr>
        <w:t>例事件列表部分除外）的英文版定期风险评价报告。</w:t>
      </w:r>
    </w:p>
    <w:p w:rsidR="004870B2" w:rsidRPr="007F2720" w:rsidRDefault="00BA4BD9">
      <w:pPr>
        <w:spacing w:line="540" w:lineRule="exact"/>
        <w:ind w:firstLineChars="221" w:firstLine="707"/>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3.3 报告内容审核要点</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3.3.1 正文内容是否包括：产品基本信息、国内外上市情况、既往风险控制措施、不良事件报告信息、其他风险信息、产品风险分析、本期结论以及附件等核心内容。</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3.3.2 产品基本信息内容是否包括：医疗器械名称、型号</w:t>
      </w:r>
      <w:r w:rsidR="00C60BB3">
        <w:rPr>
          <w:rFonts w:ascii="仿宋" w:eastAsia="仿宋" w:hAnsi="仿宋" w:cs="宋体" w:hint="eastAsia"/>
          <w:kern w:val="0"/>
          <w:sz w:val="32"/>
          <w:szCs w:val="32"/>
          <w:lang w:bidi="ar"/>
        </w:rPr>
        <w:t>和</w:t>
      </w:r>
      <w:r>
        <w:rPr>
          <w:rFonts w:ascii="仿宋" w:eastAsia="仿宋" w:hAnsi="仿宋" w:cs="宋体" w:hint="eastAsia"/>
          <w:kern w:val="0"/>
          <w:sz w:val="32"/>
          <w:szCs w:val="32"/>
          <w:lang w:bidi="ar"/>
        </w:rPr>
        <w:t>/</w:t>
      </w:r>
      <w:r w:rsidR="00C60BB3">
        <w:rPr>
          <w:rFonts w:ascii="仿宋" w:eastAsia="仿宋" w:hAnsi="仿宋" w:cs="宋体" w:hint="eastAsia"/>
          <w:kern w:val="0"/>
          <w:sz w:val="32"/>
          <w:szCs w:val="32"/>
          <w:lang w:bidi="ar"/>
        </w:rPr>
        <w:t>或者</w:t>
      </w:r>
      <w:r>
        <w:rPr>
          <w:rFonts w:ascii="仿宋" w:eastAsia="仿宋" w:hAnsi="仿宋" w:cs="宋体" w:hint="eastAsia"/>
          <w:kern w:val="0"/>
          <w:sz w:val="32"/>
          <w:szCs w:val="32"/>
          <w:lang w:bidi="ar"/>
        </w:rPr>
        <w:t>规格、注册证编号、结构及组成</w:t>
      </w:r>
      <w:r w:rsidR="00C60BB3">
        <w:rPr>
          <w:rFonts w:ascii="仿宋" w:eastAsia="仿宋" w:hAnsi="仿宋" w:cs="宋体" w:hint="eastAsia"/>
          <w:kern w:val="0"/>
          <w:sz w:val="32"/>
          <w:szCs w:val="32"/>
          <w:lang w:bidi="ar"/>
        </w:rPr>
        <w:t>（</w:t>
      </w:r>
      <w:r w:rsidR="00C60BB3">
        <w:rPr>
          <w:rFonts w:ascii="仿宋" w:eastAsia="仿宋" w:hAnsi="仿宋" w:cs="宋体" w:hint="eastAsia"/>
          <w:kern w:val="0"/>
          <w:sz w:val="32"/>
          <w:szCs w:val="32"/>
          <w:lang w:bidi="ar"/>
        </w:rPr>
        <w:t>主要组成成分</w:t>
      </w:r>
      <w:r w:rsidR="00C60BB3">
        <w:rPr>
          <w:rFonts w:ascii="仿宋" w:eastAsia="仿宋" w:hAnsi="仿宋" w:cs="宋体" w:hint="eastAsia"/>
          <w:kern w:val="0"/>
          <w:sz w:val="32"/>
          <w:szCs w:val="32"/>
          <w:lang w:bidi="ar"/>
        </w:rPr>
        <w:t>）</w:t>
      </w:r>
      <w:r>
        <w:rPr>
          <w:rFonts w:ascii="仿宋" w:eastAsia="仿宋" w:hAnsi="仿宋" w:cs="宋体" w:hint="eastAsia"/>
          <w:kern w:val="0"/>
          <w:sz w:val="32"/>
          <w:szCs w:val="32"/>
          <w:lang w:bidi="ar"/>
        </w:rPr>
        <w:t>、适用范围（预期用途）、有效期等。</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3.3.3 是否汇总报告产品的国内外上市信息。内容是否包括：国家和地区、批准注册时间、注册状态；获批时与风险控制有关的要求；适用范围（预期用途）等与其他主要国家和地区的差异。</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3.3.4 是否</w:t>
      </w:r>
      <w:r w:rsidR="00791DEE">
        <w:rPr>
          <w:rFonts w:ascii="仿宋" w:eastAsia="仿宋" w:hAnsi="仿宋" w:cs="宋体" w:hint="eastAsia"/>
          <w:kern w:val="0"/>
          <w:sz w:val="32"/>
          <w:szCs w:val="32"/>
          <w:lang w:bidi="ar"/>
        </w:rPr>
        <w:t>涵盖</w:t>
      </w:r>
      <w:r>
        <w:rPr>
          <w:rFonts w:ascii="仿宋" w:eastAsia="仿宋" w:hAnsi="仿宋" w:cs="宋体" w:hint="eastAsia"/>
          <w:kern w:val="0"/>
          <w:sz w:val="32"/>
          <w:szCs w:val="32"/>
          <w:lang w:bidi="ar"/>
        </w:rPr>
        <w:t>报告期内</w:t>
      </w:r>
      <w:r w:rsidR="00C60BB3">
        <w:rPr>
          <w:rFonts w:ascii="仿宋" w:eastAsia="仿宋" w:hAnsi="仿宋" w:cs="宋体" w:hint="eastAsia"/>
          <w:kern w:val="0"/>
          <w:sz w:val="32"/>
          <w:szCs w:val="32"/>
          <w:lang w:bidi="ar"/>
        </w:rPr>
        <w:t>因医疗器械风险问题而</w:t>
      </w:r>
      <w:r>
        <w:rPr>
          <w:rFonts w:ascii="仿宋" w:eastAsia="仿宋" w:hAnsi="仿宋" w:cs="宋体" w:hint="eastAsia"/>
          <w:kern w:val="0"/>
          <w:sz w:val="32"/>
          <w:szCs w:val="32"/>
          <w:lang w:bidi="ar"/>
        </w:rPr>
        <w:t>采取</w:t>
      </w:r>
      <w:r w:rsidR="00791DEE">
        <w:rPr>
          <w:rFonts w:ascii="仿宋" w:eastAsia="仿宋" w:hAnsi="仿宋" w:cs="宋体" w:hint="eastAsia"/>
          <w:kern w:val="0"/>
          <w:sz w:val="32"/>
          <w:szCs w:val="32"/>
          <w:lang w:bidi="ar"/>
        </w:rPr>
        <w:t>的所有风险</w:t>
      </w:r>
      <w:r>
        <w:rPr>
          <w:rFonts w:ascii="仿宋" w:eastAsia="仿宋" w:hAnsi="仿宋" w:cs="宋体" w:hint="eastAsia"/>
          <w:kern w:val="0"/>
          <w:sz w:val="32"/>
          <w:szCs w:val="32"/>
          <w:lang w:bidi="ar"/>
        </w:rPr>
        <w:t>控制措施，</w:t>
      </w:r>
      <w:r w:rsidR="00791DEE">
        <w:rPr>
          <w:rFonts w:ascii="仿宋" w:eastAsia="仿宋" w:hAnsi="仿宋" w:cs="宋体" w:hint="eastAsia"/>
          <w:kern w:val="0"/>
          <w:sz w:val="32"/>
          <w:szCs w:val="32"/>
          <w:lang w:bidi="ar"/>
        </w:rPr>
        <w:t>并描述原因。</w:t>
      </w:r>
      <w:r>
        <w:rPr>
          <w:rFonts w:ascii="仿宋" w:eastAsia="仿宋" w:hAnsi="仿宋" w:cs="宋体" w:hint="eastAsia"/>
          <w:kern w:val="0"/>
          <w:sz w:val="32"/>
          <w:szCs w:val="32"/>
          <w:lang w:bidi="ar"/>
        </w:rPr>
        <w:t>如未采取相关风险控制措施，应写“无”</w:t>
      </w:r>
      <w:r w:rsidR="00791DEE">
        <w:rPr>
          <w:rFonts w:ascii="仿宋" w:eastAsia="仿宋" w:hAnsi="仿宋" w:cs="宋体" w:hint="eastAsia"/>
          <w:kern w:val="0"/>
          <w:sz w:val="32"/>
          <w:szCs w:val="32"/>
          <w:lang w:bidi="ar"/>
        </w:rPr>
        <w:t>。风险控制措施主要包括</w:t>
      </w:r>
      <w:r>
        <w:rPr>
          <w:rFonts w:ascii="仿宋" w:eastAsia="仿宋" w:hAnsi="仿宋" w:cs="宋体" w:hint="eastAsia"/>
          <w:kern w:val="0"/>
          <w:sz w:val="32"/>
          <w:szCs w:val="32"/>
          <w:lang w:bidi="ar"/>
        </w:rPr>
        <w:t>：</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撤销医疗器械批准证明文件；</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停止生产、销售相关产品；</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通知医疗器械经营企业、使用单位暂停销售和使用；</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实施产品召回；</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对生产质量管理体系进行自查，并对相关问题进行整改；</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修改说明书、标签、操作手册等；</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改进生产工艺、设计、产品技术要求等；</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lastRenderedPageBreak/>
        <w:t>开展医疗器械再评价；</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按规定进行变更注册或者备案；</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其他风险控制措施。</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 xml:space="preserve">3.3.5 </w:t>
      </w:r>
      <w:proofErr w:type="gramStart"/>
      <w:r>
        <w:rPr>
          <w:rFonts w:ascii="仿宋" w:eastAsia="仿宋" w:hAnsi="仿宋" w:cs="宋体" w:hint="eastAsia"/>
          <w:kern w:val="0"/>
          <w:sz w:val="32"/>
          <w:szCs w:val="32"/>
          <w:lang w:bidi="ar"/>
        </w:rPr>
        <w:t>个</w:t>
      </w:r>
      <w:proofErr w:type="gramEnd"/>
      <w:r>
        <w:rPr>
          <w:rFonts w:ascii="仿宋" w:eastAsia="仿宋" w:hAnsi="仿宋" w:cs="宋体" w:hint="eastAsia"/>
          <w:kern w:val="0"/>
          <w:sz w:val="32"/>
          <w:szCs w:val="32"/>
          <w:lang w:bidi="ar"/>
        </w:rPr>
        <w:t>例不良事件报告部分是否包括个例不良事件报告列表和汇总表；如报告期内未收集到不良事件报告，是否已用文字进行描述。</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 xml:space="preserve">3.3.6 </w:t>
      </w:r>
      <w:proofErr w:type="gramStart"/>
      <w:r>
        <w:rPr>
          <w:rFonts w:ascii="仿宋" w:eastAsia="仿宋" w:hAnsi="仿宋" w:cs="宋体" w:hint="eastAsia"/>
          <w:kern w:val="0"/>
          <w:sz w:val="32"/>
          <w:szCs w:val="32"/>
          <w:lang w:bidi="ar"/>
        </w:rPr>
        <w:t>个</w:t>
      </w:r>
      <w:proofErr w:type="gramEnd"/>
      <w:r>
        <w:rPr>
          <w:rFonts w:ascii="仿宋" w:eastAsia="仿宋" w:hAnsi="仿宋" w:cs="宋体" w:hint="eastAsia"/>
          <w:kern w:val="0"/>
          <w:sz w:val="32"/>
          <w:szCs w:val="32"/>
          <w:lang w:bidi="ar"/>
        </w:rPr>
        <w:t>例不良事件报告列表是否包括</w:t>
      </w:r>
      <w:r w:rsidR="00E625DE">
        <w:rPr>
          <w:rFonts w:ascii="仿宋" w:eastAsia="仿宋" w:hAnsi="仿宋" w:hint="eastAsia"/>
          <w:sz w:val="32"/>
          <w:szCs w:val="32"/>
        </w:rPr>
        <w:t>《撰写规范》附表4</w:t>
      </w:r>
      <w:r w:rsidR="00C60BB3">
        <w:rPr>
          <w:rFonts w:ascii="仿宋" w:eastAsia="仿宋" w:hAnsi="仿宋" w:hint="eastAsia"/>
          <w:sz w:val="32"/>
          <w:szCs w:val="32"/>
        </w:rPr>
        <w:t>列出的主要</w:t>
      </w:r>
      <w:r w:rsidR="00E625DE">
        <w:rPr>
          <w:rFonts w:ascii="仿宋" w:eastAsia="仿宋" w:hAnsi="仿宋" w:hint="eastAsia"/>
          <w:sz w:val="32"/>
          <w:szCs w:val="32"/>
        </w:rPr>
        <w:t>内容</w:t>
      </w:r>
      <w:r>
        <w:rPr>
          <w:rFonts w:ascii="仿宋" w:eastAsia="仿宋" w:hAnsi="仿宋" w:cs="宋体" w:hint="eastAsia"/>
          <w:kern w:val="0"/>
          <w:sz w:val="32"/>
          <w:szCs w:val="32"/>
          <w:lang w:bidi="ar"/>
        </w:rPr>
        <w:t>，汇总表是否按国家或地区对不良事件数量和不良事件表现等信息进行汇总。</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3.3.7 是否明确群体不良事件的发生情况。如有，是否提供群体不良事件的基本信息和调查处置情况；如无，是否用文字进行描述。</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 xml:space="preserve">3.3.8 </w:t>
      </w:r>
      <w:r w:rsidR="00C60BB3">
        <w:rPr>
          <w:rFonts w:ascii="仿宋" w:eastAsia="仿宋" w:hAnsi="仿宋" w:cs="宋体" w:hint="eastAsia"/>
          <w:kern w:val="0"/>
          <w:sz w:val="32"/>
          <w:szCs w:val="32"/>
          <w:lang w:bidi="ar"/>
        </w:rPr>
        <w:t>是否明确</w:t>
      </w:r>
      <w:r>
        <w:rPr>
          <w:rFonts w:ascii="仿宋" w:eastAsia="仿宋" w:hAnsi="仿宋" w:cs="宋体" w:hint="eastAsia"/>
          <w:kern w:val="0"/>
          <w:sz w:val="32"/>
          <w:szCs w:val="32"/>
          <w:lang w:bidi="ar"/>
        </w:rPr>
        <w:t>与产品风险相关文献研究、风险评价、重点监测、再评价</w:t>
      </w:r>
      <w:r w:rsidR="00910F28">
        <w:rPr>
          <w:rFonts w:ascii="仿宋" w:eastAsia="仿宋" w:hAnsi="仿宋" w:cs="宋体" w:hint="eastAsia"/>
          <w:kern w:val="0"/>
          <w:sz w:val="32"/>
          <w:szCs w:val="32"/>
          <w:lang w:bidi="ar"/>
        </w:rPr>
        <w:t>的</w:t>
      </w:r>
      <w:r w:rsidR="00C60BB3">
        <w:rPr>
          <w:rFonts w:ascii="仿宋" w:eastAsia="仿宋" w:hAnsi="仿宋" w:cs="宋体" w:hint="eastAsia"/>
          <w:kern w:val="0"/>
          <w:sz w:val="32"/>
          <w:szCs w:val="32"/>
          <w:lang w:bidi="ar"/>
        </w:rPr>
        <w:t>开展</w:t>
      </w:r>
      <w:r w:rsidR="00910F28">
        <w:rPr>
          <w:rFonts w:ascii="仿宋" w:eastAsia="仿宋" w:hAnsi="仿宋" w:cs="宋体" w:hint="eastAsia"/>
          <w:kern w:val="0"/>
          <w:sz w:val="32"/>
          <w:szCs w:val="32"/>
          <w:lang w:bidi="ar"/>
        </w:rPr>
        <w:t>情况</w:t>
      </w:r>
      <w:r>
        <w:rPr>
          <w:rFonts w:ascii="仿宋" w:eastAsia="仿宋" w:hAnsi="仿宋" w:cs="宋体" w:hint="eastAsia"/>
          <w:kern w:val="0"/>
          <w:sz w:val="32"/>
          <w:szCs w:val="32"/>
          <w:lang w:bidi="ar"/>
        </w:rPr>
        <w:t>。如有，是否提供详细介绍。</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 xml:space="preserve">3.3.9 </w:t>
      </w:r>
      <w:r w:rsidR="00910F28">
        <w:rPr>
          <w:rFonts w:ascii="仿宋" w:eastAsia="仿宋" w:hAnsi="仿宋" w:cs="宋体" w:hint="eastAsia"/>
          <w:kern w:val="0"/>
          <w:sz w:val="32"/>
          <w:szCs w:val="32"/>
          <w:lang w:bidi="ar"/>
        </w:rPr>
        <w:t>是否明确</w:t>
      </w:r>
      <w:r>
        <w:rPr>
          <w:rFonts w:ascii="仿宋" w:eastAsia="仿宋" w:hAnsi="仿宋" w:cs="宋体" w:hint="eastAsia"/>
          <w:kern w:val="0"/>
          <w:sz w:val="32"/>
          <w:szCs w:val="32"/>
          <w:lang w:bidi="ar"/>
        </w:rPr>
        <w:t>数据截止日期后、报告提交前</w:t>
      </w:r>
      <w:r w:rsidR="00C60BB3">
        <w:rPr>
          <w:rFonts w:ascii="仿宋" w:eastAsia="仿宋" w:hAnsi="仿宋" w:cs="宋体" w:hint="eastAsia"/>
          <w:kern w:val="0"/>
          <w:sz w:val="32"/>
          <w:szCs w:val="32"/>
          <w:lang w:bidi="ar"/>
        </w:rPr>
        <w:t>因产品风险原因而</w:t>
      </w:r>
      <w:r>
        <w:rPr>
          <w:rFonts w:ascii="仿宋" w:eastAsia="仿宋" w:hAnsi="仿宋" w:cs="宋体" w:hint="eastAsia"/>
          <w:kern w:val="0"/>
          <w:sz w:val="32"/>
          <w:szCs w:val="32"/>
          <w:lang w:bidi="ar"/>
        </w:rPr>
        <w:t>采取措施</w:t>
      </w:r>
      <w:r w:rsidR="00910F28">
        <w:rPr>
          <w:rFonts w:ascii="仿宋" w:eastAsia="仿宋" w:hAnsi="仿宋" w:cs="宋体" w:hint="eastAsia"/>
          <w:kern w:val="0"/>
          <w:sz w:val="32"/>
          <w:szCs w:val="32"/>
          <w:lang w:bidi="ar"/>
        </w:rPr>
        <w:t>的情况。</w:t>
      </w:r>
      <w:r>
        <w:rPr>
          <w:rFonts w:ascii="仿宋" w:eastAsia="仿宋" w:hAnsi="仿宋" w:cs="宋体" w:hint="eastAsia"/>
          <w:kern w:val="0"/>
          <w:sz w:val="32"/>
          <w:szCs w:val="32"/>
          <w:lang w:bidi="ar"/>
        </w:rPr>
        <w:t>如有，是否进行了说明。</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3.3.10 风险分析是否从设计开发、生产管理、流通与储存、操作使用、维修保养、售后服务等方面综合开展。是否重点分析不良事件发生的主要原因，以及不良事件的特点是否发生改变、不良事件的报告频率是否增加、不良事件的特点和频率变化对产品总体安全性的影响等。</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 xml:space="preserve">3.3.11 </w:t>
      </w:r>
      <w:r w:rsidR="00C60BB3">
        <w:rPr>
          <w:rFonts w:ascii="仿宋" w:eastAsia="仿宋" w:hAnsi="仿宋" w:cs="宋体" w:hint="eastAsia"/>
          <w:kern w:val="0"/>
          <w:sz w:val="32"/>
          <w:szCs w:val="32"/>
          <w:lang w:bidi="ar"/>
        </w:rPr>
        <w:t>本期结论是否包括与产品上市时或既往</w:t>
      </w:r>
      <w:r>
        <w:rPr>
          <w:rFonts w:ascii="仿宋" w:eastAsia="仿宋" w:hAnsi="仿宋" w:cs="宋体" w:hint="eastAsia"/>
          <w:kern w:val="0"/>
          <w:sz w:val="32"/>
          <w:szCs w:val="32"/>
          <w:lang w:bidi="ar"/>
        </w:rPr>
        <w:t>报告</w:t>
      </w:r>
      <w:r w:rsidR="00C60BB3">
        <w:rPr>
          <w:rFonts w:ascii="仿宋" w:eastAsia="仿宋" w:hAnsi="仿宋" w:cs="宋体" w:hint="eastAsia"/>
          <w:kern w:val="0"/>
          <w:sz w:val="32"/>
          <w:szCs w:val="32"/>
          <w:lang w:bidi="ar"/>
        </w:rPr>
        <w:t>的</w:t>
      </w:r>
      <w:r w:rsidR="00A7517F">
        <w:rPr>
          <w:rFonts w:ascii="仿宋" w:eastAsia="仿宋" w:hAnsi="仿宋" w:cs="宋体" w:hint="eastAsia"/>
          <w:kern w:val="0"/>
          <w:sz w:val="32"/>
          <w:szCs w:val="32"/>
          <w:lang w:bidi="ar"/>
        </w:rPr>
        <w:t>风险</w:t>
      </w:r>
      <w:r w:rsidR="00C60BB3">
        <w:rPr>
          <w:rFonts w:ascii="仿宋" w:eastAsia="仿宋" w:hAnsi="仿宋" w:cs="宋体" w:hint="eastAsia"/>
          <w:kern w:val="0"/>
          <w:sz w:val="32"/>
          <w:szCs w:val="32"/>
          <w:lang w:bidi="ar"/>
        </w:rPr>
        <w:t>分析结果</w:t>
      </w:r>
      <w:r w:rsidR="00A7517F">
        <w:rPr>
          <w:rFonts w:ascii="仿宋" w:eastAsia="仿宋" w:hAnsi="仿宋" w:cs="宋体" w:hint="eastAsia"/>
          <w:kern w:val="0"/>
          <w:sz w:val="32"/>
          <w:szCs w:val="32"/>
          <w:lang w:bidi="ar"/>
        </w:rPr>
        <w:t>差异</w:t>
      </w:r>
      <w:r>
        <w:rPr>
          <w:rFonts w:ascii="仿宋" w:eastAsia="仿宋" w:hAnsi="仿宋" w:cs="宋体" w:hint="eastAsia"/>
          <w:kern w:val="0"/>
          <w:sz w:val="32"/>
          <w:szCs w:val="32"/>
          <w:lang w:bidi="ar"/>
        </w:rPr>
        <w:t>、风险差异的可接受程度、采取的风险控制措施及其必要性等。</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3.3.12 报告是否提供注册批准证明文件、产品说明书、</w:t>
      </w:r>
      <w:r>
        <w:rPr>
          <w:rFonts w:ascii="仿宋" w:eastAsia="仿宋" w:hAnsi="仿宋" w:cs="宋体" w:hint="eastAsia"/>
          <w:kern w:val="0"/>
          <w:sz w:val="32"/>
          <w:szCs w:val="32"/>
          <w:lang w:bidi="ar"/>
        </w:rPr>
        <w:lastRenderedPageBreak/>
        <w:t>参考文献等必要的附件。</w:t>
      </w:r>
    </w:p>
    <w:p w:rsidR="004870B2" w:rsidRDefault="00BA4BD9">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4. 定期风险评价报告退回情形</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为确保定期风险评价报告的质量，出现以下情形审核人员应将报告退回，并要求注册人补充或修正。退回情形分为4大类：合理性问题、规范性问题、完整性问题和其他问题。</w:t>
      </w:r>
    </w:p>
    <w:p w:rsidR="004870B2" w:rsidRPr="007F2720" w:rsidRDefault="00BA4BD9">
      <w:pPr>
        <w:spacing w:line="540" w:lineRule="exact"/>
        <w:ind w:firstLineChars="221" w:firstLine="707"/>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4.1 合理性问题</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4.1.1 报告超出法规要求范围。如通过</w:t>
      </w:r>
      <w:r w:rsidR="00A7517F">
        <w:rPr>
          <w:rFonts w:ascii="仿宋" w:eastAsia="仿宋" w:hAnsi="仿宋" w:cs="宋体" w:hint="eastAsia"/>
          <w:kern w:val="0"/>
          <w:sz w:val="32"/>
          <w:szCs w:val="32"/>
          <w:lang w:bidi="ar"/>
        </w:rPr>
        <w:t>国家</w:t>
      </w:r>
      <w:r>
        <w:rPr>
          <w:rFonts w:ascii="仿宋" w:eastAsia="仿宋" w:hAnsi="仿宋" w:cs="宋体" w:hint="eastAsia"/>
          <w:kern w:val="0"/>
          <w:sz w:val="32"/>
          <w:szCs w:val="32"/>
          <w:lang w:bidi="ar"/>
        </w:rPr>
        <w:t>医疗器械不良事件监测信息系统在线提交第二、三类医疗器械延续注册之后或第一类医疗器械的定期风险评价报告。</w:t>
      </w:r>
    </w:p>
    <w:p w:rsidR="004870B2" w:rsidRDefault="00BA4BD9">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4.1.2 报告存在明显矛盾或漏洞。如注册人报告中汇总的不良事件报告例数少于国家医疗器械不良事件监测信息系统查询到的数量（不包括经注册人所在地省级监测机构确认为错报误报的报告）。</w:t>
      </w:r>
    </w:p>
    <w:p w:rsidR="004870B2" w:rsidRPr="007F2720" w:rsidRDefault="00BA4BD9">
      <w:pPr>
        <w:spacing w:line="540" w:lineRule="exact"/>
        <w:ind w:firstLineChars="221" w:firstLine="707"/>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4.2 规范性问题</w:t>
      </w:r>
    </w:p>
    <w:p w:rsidR="004870B2" w:rsidRDefault="00BA4BD9">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4.2.1 数据汇总时间不符合要求，包括</w:t>
      </w:r>
      <w:r w:rsidR="00A7517F">
        <w:rPr>
          <w:rFonts w:ascii="仿宋" w:eastAsia="仿宋" w:hAnsi="仿宋" w:cs="宋体" w:hint="eastAsia"/>
          <w:kern w:val="0"/>
          <w:sz w:val="32"/>
          <w:szCs w:val="32"/>
          <w:lang w:bidi="ar"/>
        </w:rPr>
        <w:t>数据汇总</w:t>
      </w:r>
      <w:r>
        <w:rPr>
          <w:rFonts w:ascii="仿宋" w:eastAsia="仿宋" w:hAnsi="仿宋" w:cs="宋体" w:hint="eastAsia"/>
          <w:kern w:val="0"/>
          <w:sz w:val="32"/>
          <w:szCs w:val="32"/>
          <w:lang w:bidi="ar"/>
        </w:rPr>
        <w:t>周期</w:t>
      </w:r>
      <w:r w:rsidR="00A7517F">
        <w:rPr>
          <w:rFonts w:ascii="仿宋" w:eastAsia="仿宋" w:hAnsi="仿宋" w:cs="宋体" w:hint="eastAsia"/>
          <w:kern w:val="0"/>
          <w:sz w:val="32"/>
          <w:szCs w:val="32"/>
          <w:lang w:bidi="ar"/>
        </w:rPr>
        <w:t>起始</w:t>
      </w:r>
      <w:r w:rsidR="00C85D9B">
        <w:rPr>
          <w:rFonts w:ascii="仿宋" w:eastAsia="仿宋" w:hAnsi="仿宋" w:cs="宋体" w:hint="eastAsia"/>
          <w:kern w:val="0"/>
          <w:sz w:val="32"/>
          <w:szCs w:val="32"/>
          <w:lang w:bidi="ar"/>
        </w:rPr>
        <w:t>或</w:t>
      </w:r>
      <w:r w:rsidR="00A7517F">
        <w:rPr>
          <w:rFonts w:ascii="仿宋" w:eastAsia="仿宋" w:hAnsi="仿宋" w:cs="宋体" w:hint="eastAsia"/>
          <w:kern w:val="0"/>
          <w:sz w:val="32"/>
          <w:szCs w:val="32"/>
          <w:lang w:bidi="ar"/>
        </w:rPr>
        <w:t>截止</w:t>
      </w:r>
      <w:r w:rsidR="000C0C60">
        <w:rPr>
          <w:rFonts w:ascii="仿宋" w:eastAsia="仿宋" w:hAnsi="仿宋" w:cs="宋体" w:hint="eastAsia"/>
          <w:kern w:val="0"/>
          <w:sz w:val="32"/>
          <w:szCs w:val="32"/>
          <w:lang w:bidi="ar"/>
        </w:rPr>
        <w:t>日期</w:t>
      </w:r>
      <w:r>
        <w:rPr>
          <w:rFonts w:ascii="仿宋" w:eastAsia="仿宋" w:hAnsi="仿宋" w:cs="宋体" w:hint="eastAsia"/>
          <w:kern w:val="0"/>
          <w:sz w:val="32"/>
          <w:szCs w:val="32"/>
          <w:lang w:bidi="ar"/>
        </w:rPr>
        <w:t>不正确。如注册</w:t>
      </w:r>
      <w:proofErr w:type="gramStart"/>
      <w:r>
        <w:rPr>
          <w:rFonts w:ascii="仿宋" w:eastAsia="仿宋" w:hAnsi="仿宋" w:cs="宋体" w:hint="eastAsia"/>
          <w:kern w:val="0"/>
          <w:sz w:val="32"/>
          <w:szCs w:val="32"/>
          <w:lang w:bidi="ar"/>
        </w:rPr>
        <w:t>证批准</w:t>
      </w:r>
      <w:proofErr w:type="gramEnd"/>
      <w:r>
        <w:rPr>
          <w:rFonts w:ascii="仿宋" w:eastAsia="仿宋" w:hAnsi="仿宋" w:cs="宋体" w:hint="eastAsia"/>
          <w:kern w:val="0"/>
          <w:sz w:val="32"/>
          <w:szCs w:val="32"/>
          <w:lang w:bidi="ar"/>
        </w:rPr>
        <w:t>日期为2021年8月15日，但报告的数据汇总截止日期写的是2022年12月31日（应为2022年8月14日）；本次报告数据截止日期为2023年8月14日，下期报告数据起始日期却为2023年10月1日，缺失2023年8月15日至9月30日的数据。</w:t>
      </w:r>
    </w:p>
    <w:p w:rsidR="004870B2" w:rsidRDefault="00BA4BD9">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4.2.2 报告语言不符合要求。如提交了英文报告，但未按规定提供除个例事件列表外的中文译文。</w:t>
      </w:r>
    </w:p>
    <w:p w:rsidR="004870B2" w:rsidRPr="007F2720" w:rsidRDefault="00BA4BD9">
      <w:pPr>
        <w:spacing w:line="540" w:lineRule="exact"/>
        <w:ind w:firstLineChars="200" w:firstLine="640"/>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4.3 完整性问题</w:t>
      </w:r>
    </w:p>
    <w:p w:rsidR="004870B2" w:rsidRDefault="00BA4BD9">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4.3.1 报告内容不完整。如仅提供附件表格，缺少文字描述；报告直接呈现正文，缺少封面、目录；正文缺少核心</w:t>
      </w:r>
      <w:r>
        <w:rPr>
          <w:rFonts w:ascii="仿宋" w:eastAsia="仿宋" w:hAnsi="仿宋" w:cs="宋体" w:hint="eastAsia"/>
          <w:kern w:val="0"/>
          <w:sz w:val="32"/>
          <w:szCs w:val="32"/>
          <w:lang w:bidi="ar"/>
        </w:rPr>
        <w:lastRenderedPageBreak/>
        <w:t>内容；或者无不良事件，但未在正文中用文字</w:t>
      </w:r>
      <w:r w:rsidR="00C85D9B">
        <w:rPr>
          <w:rFonts w:ascii="仿宋" w:eastAsia="仿宋" w:hAnsi="仿宋" w:cs="宋体" w:hint="eastAsia"/>
          <w:kern w:val="0"/>
          <w:sz w:val="32"/>
          <w:szCs w:val="32"/>
          <w:lang w:bidi="ar"/>
        </w:rPr>
        <w:t>描述</w:t>
      </w:r>
      <w:r>
        <w:rPr>
          <w:rFonts w:ascii="仿宋" w:eastAsia="仿宋" w:hAnsi="仿宋" w:cs="宋体" w:hint="eastAsia"/>
          <w:kern w:val="0"/>
          <w:sz w:val="32"/>
          <w:szCs w:val="32"/>
          <w:lang w:bidi="ar"/>
        </w:rPr>
        <w:t>等。</w:t>
      </w:r>
    </w:p>
    <w:p w:rsidR="004870B2" w:rsidRDefault="00BA4BD9">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4.3.2 数据汇总截止日期后</w:t>
      </w:r>
      <w:r w:rsidR="008C0B75">
        <w:rPr>
          <w:rFonts w:ascii="仿宋" w:eastAsia="仿宋" w:hAnsi="仿宋" w:cs="宋体" w:hint="eastAsia"/>
          <w:kern w:val="0"/>
          <w:sz w:val="32"/>
          <w:szCs w:val="32"/>
          <w:lang w:bidi="ar"/>
        </w:rPr>
        <w:t>、报告提交</w:t>
      </w:r>
      <w:r w:rsidR="00C85D9B" w:rsidRPr="00C85D9B">
        <w:rPr>
          <w:rFonts w:ascii="仿宋" w:eastAsia="仿宋" w:hAnsi="仿宋" w:cs="宋体" w:hint="eastAsia"/>
          <w:kern w:val="0"/>
          <w:sz w:val="32"/>
          <w:szCs w:val="32"/>
          <w:lang w:bidi="ar"/>
        </w:rPr>
        <w:t>前</w:t>
      </w:r>
      <w:r>
        <w:rPr>
          <w:rFonts w:ascii="仿宋" w:eastAsia="仿宋" w:hAnsi="仿宋" w:cs="宋体" w:hint="eastAsia"/>
          <w:kern w:val="0"/>
          <w:sz w:val="32"/>
          <w:szCs w:val="32"/>
          <w:lang w:bidi="ar"/>
        </w:rPr>
        <w:t>关键事项未描述。如数据汇总截止日期（2023年8月14日）后、报告提交日期（2023年10月13日）前，企业因产品风险原因对产品进行了召回，但报告中“其他风险信息”部分未作任何描述。</w:t>
      </w:r>
    </w:p>
    <w:p w:rsidR="004870B2" w:rsidRDefault="00BA4BD9">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4.3.3 关键附件缺失，影响信息核实。如报告中提及修订了说明书，但未</w:t>
      </w:r>
      <w:bookmarkStart w:id="0" w:name="_GoBack"/>
      <w:bookmarkEnd w:id="0"/>
      <w:r>
        <w:rPr>
          <w:rFonts w:ascii="仿宋" w:eastAsia="仿宋" w:hAnsi="仿宋" w:cs="宋体" w:hint="eastAsia"/>
          <w:kern w:val="0"/>
          <w:sz w:val="32"/>
          <w:szCs w:val="32"/>
          <w:lang w:bidi="ar"/>
        </w:rPr>
        <w:t>提供新版说明书作为参考文件；或者从文献资料中识别了风险信号，但是未附参考文献全文。</w:t>
      </w:r>
    </w:p>
    <w:p w:rsidR="004870B2" w:rsidRPr="007F2720" w:rsidRDefault="00BA4BD9">
      <w:pPr>
        <w:spacing w:line="540" w:lineRule="exact"/>
        <w:ind w:firstLineChars="200" w:firstLine="640"/>
        <w:rPr>
          <w:rFonts w:ascii="楷体" w:eastAsia="楷体" w:hAnsi="楷体" w:cs="宋体"/>
          <w:kern w:val="0"/>
          <w:sz w:val="32"/>
          <w:szCs w:val="32"/>
          <w:lang w:bidi="ar"/>
        </w:rPr>
      </w:pPr>
      <w:r w:rsidRPr="007F2720">
        <w:rPr>
          <w:rFonts w:ascii="楷体" w:eastAsia="楷体" w:hAnsi="楷体" w:cs="宋体" w:hint="eastAsia"/>
          <w:kern w:val="0"/>
          <w:sz w:val="32"/>
          <w:szCs w:val="32"/>
          <w:lang w:bidi="ar"/>
        </w:rPr>
        <w:t>4.4 其他问题</w:t>
      </w:r>
    </w:p>
    <w:p w:rsidR="004870B2" w:rsidRDefault="00BA4BD9">
      <w:pPr>
        <w:spacing w:line="540" w:lineRule="exact"/>
        <w:ind w:firstLineChars="200" w:firstLine="640"/>
      </w:pPr>
      <w:r>
        <w:rPr>
          <w:rFonts w:ascii="仿宋" w:eastAsia="仿宋" w:hAnsi="仿宋" w:cs="宋体" w:hint="eastAsia"/>
          <w:kern w:val="0"/>
          <w:sz w:val="32"/>
          <w:szCs w:val="32"/>
          <w:lang w:bidi="ar"/>
        </w:rPr>
        <w:t>审核人员认为其他有必要退回的情形。</w:t>
      </w:r>
    </w:p>
    <w:sectPr w:rsidR="004870B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0E" w:rsidRDefault="00732B0E">
      <w:r>
        <w:separator/>
      </w:r>
    </w:p>
  </w:endnote>
  <w:endnote w:type="continuationSeparator" w:id="0">
    <w:p w:rsidR="00732B0E" w:rsidRDefault="0073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419172"/>
    </w:sdtPr>
    <w:sdtEndPr>
      <w:rPr>
        <w:rFonts w:ascii="Times New Roman" w:hAnsi="Times New Roman" w:cs="Times New Roman"/>
        <w:sz w:val="28"/>
        <w:szCs w:val="28"/>
      </w:rPr>
    </w:sdtEndPr>
    <w:sdtContent>
      <w:p w:rsidR="004870B2" w:rsidRDefault="00BA4BD9">
        <w:pPr>
          <w:pStyle w:val="a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C0B75" w:rsidRPr="008C0B75">
          <w:rPr>
            <w:rFonts w:ascii="Times New Roman" w:hAnsi="Times New Roman" w:cs="Times New Roman"/>
            <w:noProof/>
            <w:sz w:val="28"/>
            <w:szCs w:val="28"/>
            <w:lang w:val="zh-CN"/>
          </w:rPr>
          <w:t>6</w:t>
        </w:r>
        <w:r>
          <w:rPr>
            <w:rFonts w:ascii="Times New Roman" w:hAnsi="Times New Roman" w:cs="Times New Roman"/>
            <w:sz w:val="28"/>
            <w:szCs w:val="28"/>
          </w:rPr>
          <w:fldChar w:fldCharType="end"/>
        </w:r>
      </w:p>
    </w:sdtContent>
  </w:sdt>
  <w:p w:rsidR="004870B2" w:rsidRDefault="004870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0E" w:rsidRDefault="00732B0E">
      <w:r>
        <w:separator/>
      </w:r>
    </w:p>
  </w:footnote>
  <w:footnote w:type="continuationSeparator" w:id="0">
    <w:p w:rsidR="00732B0E" w:rsidRDefault="00732B0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丽">
    <w15:presenceInfo w15:providerId="WPS Office" w15:userId="1682981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270A9"/>
    <w:rsid w:val="6E6270A9"/>
    <w:rsid w:val="CBFBCAB2"/>
    <w:rsid w:val="D4AA498B"/>
    <w:rsid w:val="F6474F73"/>
    <w:rsid w:val="F8FFB027"/>
    <w:rsid w:val="FB9FD807"/>
    <w:rsid w:val="FBEFF3F5"/>
    <w:rsid w:val="FD5BF5EF"/>
    <w:rsid w:val="0006347C"/>
    <w:rsid w:val="00083F92"/>
    <w:rsid w:val="000B5744"/>
    <w:rsid w:val="000C0C60"/>
    <w:rsid w:val="0010699A"/>
    <w:rsid w:val="00116961"/>
    <w:rsid w:val="001A65A1"/>
    <w:rsid w:val="001C5173"/>
    <w:rsid w:val="0020452D"/>
    <w:rsid w:val="00207C7C"/>
    <w:rsid w:val="00243FA5"/>
    <w:rsid w:val="00286C74"/>
    <w:rsid w:val="003276EE"/>
    <w:rsid w:val="00334C6C"/>
    <w:rsid w:val="003913BA"/>
    <w:rsid w:val="0039717D"/>
    <w:rsid w:val="003B3FE5"/>
    <w:rsid w:val="003B770A"/>
    <w:rsid w:val="004143D7"/>
    <w:rsid w:val="00476828"/>
    <w:rsid w:val="004870B2"/>
    <w:rsid w:val="0049561F"/>
    <w:rsid w:val="004A7AD9"/>
    <w:rsid w:val="0054045F"/>
    <w:rsid w:val="0057182A"/>
    <w:rsid w:val="005E0907"/>
    <w:rsid w:val="005E32AB"/>
    <w:rsid w:val="005E7362"/>
    <w:rsid w:val="00600E81"/>
    <w:rsid w:val="006155D7"/>
    <w:rsid w:val="00644088"/>
    <w:rsid w:val="00646F69"/>
    <w:rsid w:val="00655015"/>
    <w:rsid w:val="00661832"/>
    <w:rsid w:val="006708A0"/>
    <w:rsid w:val="00672ACC"/>
    <w:rsid w:val="006E6054"/>
    <w:rsid w:val="00723F91"/>
    <w:rsid w:val="00732B0E"/>
    <w:rsid w:val="0076306B"/>
    <w:rsid w:val="00786C8E"/>
    <w:rsid w:val="00791DEE"/>
    <w:rsid w:val="007A6836"/>
    <w:rsid w:val="007C2E45"/>
    <w:rsid w:val="007E5AA5"/>
    <w:rsid w:val="007F2720"/>
    <w:rsid w:val="00842783"/>
    <w:rsid w:val="008930E8"/>
    <w:rsid w:val="008C0B75"/>
    <w:rsid w:val="00910F28"/>
    <w:rsid w:val="00923DA9"/>
    <w:rsid w:val="0093091D"/>
    <w:rsid w:val="00936435"/>
    <w:rsid w:val="00A22BA3"/>
    <w:rsid w:val="00A54A7D"/>
    <w:rsid w:val="00A66641"/>
    <w:rsid w:val="00A7517F"/>
    <w:rsid w:val="00B7774C"/>
    <w:rsid w:val="00BA024B"/>
    <w:rsid w:val="00BA4BD9"/>
    <w:rsid w:val="00BC4D00"/>
    <w:rsid w:val="00BD2B1E"/>
    <w:rsid w:val="00C60BB3"/>
    <w:rsid w:val="00C7222C"/>
    <w:rsid w:val="00C85D9B"/>
    <w:rsid w:val="00CA2BD0"/>
    <w:rsid w:val="00CF62CB"/>
    <w:rsid w:val="00D22124"/>
    <w:rsid w:val="00D26CB6"/>
    <w:rsid w:val="00D91E4B"/>
    <w:rsid w:val="00D961B1"/>
    <w:rsid w:val="00DC28EC"/>
    <w:rsid w:val="00DC5503"/>
    <w:rsid w:val="00DE4E38"/>
    <w:rsid w:val="00E248EF"/>
    <w:rsid w:val="00E258BE"/>
    <w:rsid w:val="00E625DE"/>
    <w:rsid w:val="00ED60B3"/>
    <w:rsid w:val="00EE1257"/>
    <w:rsid w:val="00EF3309"/>
    <w:rsid w:val="00EF66EB"/>
    <w:rsid w:val="00F07608"/>
    <w:rsid w:val="00F160B4"/>
    <w:rsid w:val="00FB78C7"/>
    <w:rsid w:val="191517F6"/>
    <w:rsid w:val="1EBF3069"/>
    <w:rsid w:val="2EE781FE"/>
    <w:rsid w:val="2EF7FA1E"/>
    <w:rsid w:val="4BB308C1"/>
    <w:rsid w:val="5996843F"/>
    <w:rsid w:val="5FFB93F0"/>
    <w:rsid w:val="68D8DCC4"/>
    <w:rsid w:val="6AFE0B89"/>
    <w:rsid w:val="6E6270A9"/>
    <w:rsid w:val="77DFA780"/>
    <w:rsid w:val="7FBF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qFormat="1"/>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semiHidden/>
    <w:unhideWhenUsed/>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Pr>
      <w:b/>
      <w:bCs/>
    </w:rPr>
  </w:style>
  <w:style w:type="character" w:styleId="a8">
    <w:name w:val="annotation reference"/>
    <w:basedOn w:val="a0"/>
    <w:semiHidden/>
    <w:unhideWhenUsed/>
    <w:qFormat/>
    <w:rPr>
      <w:sz w:val="21"/>
      <w:szCs w:val="21"/>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Char0">
    <w:name w:val="批注框文本 Char"/>
    <w:basedOn w:val="a0"/>
    <w:link w:val="a4"/>
    <w:semiHidden/>
    <w:qFormat/>
    <w:rPr>
      <w:kern w:val="2"/>
      <w:sz w:val="18"/>
      <w:szCs w:val="18"/>
    </w:rPr>
  </w:style>
  <w:style w:type="character" w:customStyle="1" w:styleId="Char1">
    <w:name w:val="页眉 Char"/>
    <w:basedOn w:val="a0"/>
    <w:link w:val="a6"/>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2">
    <w:name w:val="批注主题 Char"/>
    <w:basedOn w:val="Char"/>
    <w:link w:val="a7"/>
    <w:semiHidden/>
    <w:qFormat/>
    <w:rPr>
      <w:b/>
      <w:bCs/>
      <w:kern w:val="2"/>
      <w:sz w:val="21"/>
      <w:szCs w:val="24"/>
    </w:rPr>
  </w:style>
  <w:style w:type="paragraph" w:customStyle="1" w:styleId="1">
    <w:name w:val="修订1"/>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qFormat="1"/>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semiHidden/>
    <w:unhideWhenUsed/>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Pr>
      <w:b/>
      <w:bCs/>
    </w:rPr>
  </w:style>
  <w:style w:type="character" w:styleId="a8">
    <w:name w:val="annotation reference"/>
    <w:basedOn w:val="a0"/>
    <w:semiHidden/>
    <w:unhideWhenUsed/>
    <w:qFormat/>
    <w:rPr>
      <w:sz w:val="21"/>
      <w:szCs w:val="21"/>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Char0">
    <w:name w:val="批注框文本 Char"/>
    <w:basedOn w:val="a0"/>
    <w:link w:val="a4"/>
    <w:semiHidden/>
    <w:qFormat/>
    <w:rPr>
      <w:kern w:val="2"/>
      <w:sz w:val="18"/>
      <w:szCs w:val="18"/>
    </w:rPr>
  </w:style>
  <w:style w:type="character" w:customStyle="1" w:styleId="Char1">
    <w:name w:val="页眉 Char"/>
    <w:basedOn w:val="a0"/>
    <w:link w:val="a6"/>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2">
    <w:name w:val="批注主题 Char"/>
    <w:basedOn w:val="Char"/>
    <w:link w:val="a7"/>
    <w:semiHidden/>
    <w:qFormat/>
    <w:rPr>
      <w:b/>
      <w:bCs/>
      <w:kern w:val="2"/>
      <w:sz w:val="21"/>
      <w:szCs w:val="24"/>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王淑敏</dc:creator>
  <cp:lastModifiedBy>赵一飞</cp:lastModifiedBy>
  <cp:revision>6</cp:revision>
  <dcterms:created xsi:type="dcterms:W3CDTF">2026-04-08T04:37:00Z</dcterms:created>
  <dcterms:modified xsi:type="dcterms:W3CDTF">2026-04-08T05:51:00Z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0F7793A6563445B5B3F85D1903F7B6C8_11</vt:lpwstr>
  </property>
  <property fmtid="{D5CDD505-2E9C-101B-9397-08002B2CF9AE}" pid="4" name="KSOTemplateDocerSaveRecord">
    <vt:lpwstr>eyJoZGlkIjoiZGZhZWU4ZDk2ZWRlZTk5ZmIwMDI4ZGZlYzRhNzNmODAiLCJ1c2VySWQiOiI0MjQ0Mjg1NDEifQ==</vt:lpwstr>
  </property>
</Properties>
</file>