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FED" w:rsidRDefault="00E05B64">
      <w:pPr>
        <w:snapToGrid w:val="0"/>
        <w:spacing w:line="600" w:lineRule="exact"/>
        <w:jc w:val="left"/>
        <w:rPr>
          <w:rFonts w:ascii="黑体" w:eastAsia="黑体" w:hAnsi="Calibri" w:cs="Calibri"/>
          <w:sz w:val="32"/>
          <w:szCs w:val="32"/>
          <w:lang w:bidi="en-US"/>
        </w:rPr>
      </w:pPr>
      <w:bookmarkStart w:id="0" w:name="word_number_fieldΩ1"/>
      <w:bookmarkStart w:id="1" w:name="_GoBack"/>
      <w:bookmarkEnd w:id="0"/>
      <w:bookmarkEnd w:id="1"/>
      <w:r>
        <w:rPr>
          <w:rFonts w:ascii="黑体" w:eastAsia="黑体" w:hAnsi="Calibri" w:cs="Calibri" w:hint="eastAsia"/>
          <w:sz w:val="32"/>
          <w:szCs w:val="32"/>
          <w:lang w:bidi="en-US"/>
        </w:rPr>
        <w:t>附件</w:t>
      </w:r>
    </w:p>
    <w:p w:rsidR="00DD2FED" w:rsidRDefault="00DD2FED">
      <w:pPr>
        <w:snapToGrid w:val="0"/>
        <w:spacing w:line="560" w:lineRule="exact"/>
        <w:jc w:val="left"/>
        <w:rPr>
          <w:rFonts w:ascii="黑体" w:eastAsia="黑体" w:hAnsi="Calibri" w:cs="Calibri"/>
          <w:sz w:val="32"/>
          <w:szCs w:val="32"/>
          <w:lang w:bidi="en-US"/>
        </w:rPr>
      </w:pPr>
    </w:p>
    <w:p w:rsidR="00DD2FED" w:rsidRDefault="00E05B64">
      <w:pPr>
        <w:snapToGrid w:val="0"/>
        <w:spacing w:line="560" w:lineRule="exact"/>
        <w:jc w:val="center"/>
        <w:rPr>
          <w:rFonts w:ascii="方正小标宋简体" w:eastAsia="方正小标宋简体" w:hAnsi="宋体" w:cs="Calibri"/>
          <w:sz w:val="44"/>
          <w:szCs w:val="44"/>
        </w:rPr>
      </w:pPr>
      <w:r>
        <w:rPr>
          <w:rFonts w:ascii="方正小标宋简体" w:eastAsia="方正小标宋简体" w:hAnsi="宋体" w:cs="Calibri" w:hint="eastAsia"/>
          <w:sz w:val="44"/>
          <w:szCs w:val="44"/>
        </w:rPr>
        <w:t>医疗器械行业标准信息表</w:t>
      </w:r>
    </w:p>
    <w:p w:rsidR="00DD2FED" w:rsidRDefault="00DD2FED">
      <w:pPr>
        <w:snapToGrid w:val="0"/>
        <w:spacing w:line="560" w:lineRule="exact"/>
        <w:jc w:val="center"/>
        <w:rPr>
          <w:rFonts w:ascii="方正小标宋简体" w:eastAsia="方正小标宋简体" w:hAnsi="宋体" w:cs="Calibri"/>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620"/>
        <w:gridCol w:w="1939"/>
        <w:gridCol w:w="600"/>
        <w:gridCol w:w="1576"/>
        <w:gridCol w:w="6229"/>
        <w:gridCol w:w="1991"/>
      </w:tblGrid>
      <w:tr w:rsidR="00DD2FED">
        <w:trPr>
          <w:cantSplit/>
          <w:trHeight w:val="583"/>
          <w:tblHeader/>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ind w:right="120"/>
              <w:jc w:val="center"/>
              <w:rPr>
                <w:rFonts w:eastAsia="黑体"/>
                <w:bCs/>
                <w:sz w:val="24"/>
              </w:rPr>
            </w:pPr>
            <w:r>
              <w:rPr>
                <w:rFonts w:eastAsia="黑体"/>
                <w:bCs/>
                <w:sz w:val="24"/>
              </w:rPr>
              <w:t>序号</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黑体"/>
                <w:bCs/>
                <w:sz w:val="24"/>
              </w:rPr>
            </w:pPr>
            <w:r>
              <w:rPr>
                <w:rFonts w:eastAsia="黑体"/>
                <w:bCs/>
                <w:sz w:val="24"/>
              </w:rPr>
              <w:t>标准</w:t>
            </w:r>
            <w:r>
              <w:rPr>
                <w:rFonts w:eastAsia="黑体"/>
                <w:bCs/>
                <w:sz w:val="24"/>
              </w:rPr>
              <w:br/>
            </w:r>
            <w:r>
              <w:rPr>
                <w:rFonts w:eastAsia="黑体"/>
                <w:bCs/>
                <w:sz w:val="24"/>
              </w:rPr>
              <w:t>编号</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黑体"/>
                <w:bCs/>
                <w:sz w:val="24"/>
              </w:rPr>
            </w:pPr>
            <w:r>
              <w:rPr>
                <w:rFonts w:eastAsia="黑体"/>
                <w:bCs/>
                <w:sz w:val="24"/>
              </w:rPr>
              <w:t>标准名称</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黑体"/>
                <w:bCs/>
                <w:sz w:val="24"/>
              </w:rPr>
            </w:pPr>
            <w:r>
              <w:rPr>
                <w:rFonts w:eastAsia="黑体"/>
                <w:bCs/>
                <w:sz w:val="24"/>
              </w:rPr>
              <w:t>制修订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黑体"/>
                <w:bCs/>
                <w:sz w:val="24"/>
              </w:rPr>
            </w:pPr>
            <w:r>
              <w:rPr>
                <w:rFonts w:eastAsia="黑体"/>
                <w:bCs/>
                <w:sz w:val="24"/>
              </w:rPr>
              <w:t>替代</w:t>
            </w:r>
            <w:r>
              <w:rPr>
                <w:rFonts w:eastAsia="黑体"/>
                <w:bCs/>
                <w:sz w:val="24"/>
              </w:rPr>
              <w:br/>
            </w:r>
            <w:r>
              <w:rPr>
                <w:rFonts w:eastAsia="黑体"/>
                <w:bCs/>
                <w:sz w:val="24"/>
              </w:rPr>
              <w:t>标准</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黑体"/>
                <w:bCs/>
                <w:sz w:val="24"/>
              </w:rPr>
            </w:pPr>
            <w:r>
              <w:rPr>
                <w:rFonts w:eastAsia="黑体"/>
                <w:bCs/>
                <w:sz w:val="24"/>
              </w:rPr>
              <w:t>适用范围</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黑体"/>
                <w:bCs/>
                <w:sz w:val="24"/>
              </w:rPr>
            </w:pPr>
            <w:r>
              <w:rPr>
                <w:rFonts w:eastAsia="黑体"/>
                <w:bCs/>
                <w:sz w:val="24"/>
              </w:rPr>
              <w:t>实施</w:t>
            </w:r>
          </w:p>
          <w:p w:rsidR="00DD2FED" w:rsidRDefault="00E05B64">
            <w:pPr>
              <w:adjustRightInd w:val="0"/>
              <w:snapToGrid w:val="0"/>
              <w:spacing w:line="280" w:lineRule="exact"/>
              <w:jc w:val="center"/>
              <w:rPr>
                <w:rFonts w:eastAsia="黑体"/>
                <w:bCs/>
                <w:sz w:val="24"/>
              </w:rPr>
            </w:pPr>
            <w:r>
              <w:rPr>
                <w:rFonts w:eastAsia="黑体"/>
                <w:bCs/>
                <w:sz w:val="24"/>
              </w:rPr>
              <w:t>日期</w:t>
            </w:r>
          </w:p>
        </w:tc>
      </w:tr>
      <w:tr w:rsidR="00DD2FED">
        <w:trPr>
          <w:cantSplit/>
          <w:trHeight w:val="254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0272-2023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氧化锌</w:t>
            </w:r>
            <w:r>
              <w:rPr>
                <w:rFonts w:eastAsia="仿宋_GB2312"/>
                <w:color w:val="000000"/>
                <w:sz w:val="24"/>
              </w:rPr>
              <w:t>/</w:t>
            </w:r>
            <w:r>
              <w:rPr>
                <w:rFonts w:eastAsia="仿宋_GB2312"/>
                <w:color w:val="000000"/>
                <w:sz w:val="24"/>
              </w:rPr>
              <w:t>丁香酚水门汀和不含丁香酚的氧化锌水门汀</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 0272-2009</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本文件规定了用于牙科修复中的暂时粘固、垫底和暂时充填的非水基氧化锌</w:t>
            </w:r>
            <w:r>
              <w:rPr>
                <w:rFonts w:eastAsia="仿宋_GB2312"/>
                <w:color w:val="000000"/>
                <w:sz w:val="24"/>
              </w:rPr>
              <w:t>/</w:t>
            </w:r>
            <w:r>
              <w:rPr>
                <w:rFonts w:eastAsia="仿宋_GB2312"/>
                <w:color w:val="000000"/>
                <w:sz w:val="24"/>
              </w:rPr>
              <w:t>丁香酚水门汀，以及暂时粘固用含氧化锌和芳香油的无丁香酚水门汀的要求。本文件适用于用于牙科修复中的暂时粘固、垫底和暂时充填的非水基氧化锌</w:t>
            </w:r>
            <w:r>
              <w:rPr>
                <w:rFonts w:eastAsia="仿宋_GB2312"/>
                <w:color w:val="000000"/>
                <w:sz w:val="24"/>
              </w:rPr>
              <w:t>/</w:t>
            </w:r>
            <w:r>
              <w:rPr>
                <w:rFonts w:eastAsia="仿宋_GB2312"/>
                <w:color w:val="000000"/>
                <w:sz w:val="24"/>
              </w:rPr>
              <w:t>丁香酚水门汀，以及暂时粘固用含氧化锌和芳香油的无丁香酚水门汀。</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300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2</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0503-2023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环氧乙烷灭菌器</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 0503-2016</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本文件规定了环氧乙烷灭菌器</w:t>
            </w:r>
            <w:r>
              <w:rPr>
                <w:rFonts w:eastAsia="仿宋_GB2312" w:hint="eastAsia"/>
                <w:color w:val="000000"/>
                <w:sz w:val="24"/>
              </w:rPr>
              <w:t>（</w:t>
            </w:r>
            <w:r>
              <w:rPr>
                <w:rFonts w:eastAsia="仿宋_GB2312"/>
                <w:color w:val="000000"/>
                <w:sz w:val="24"/>
              </w:rPr>
              <w:t>以下简称灭菌器</w:t>
            </w:r>
            <w:r>
              <w:rPr>
                <w:rFonts w:eastAsia="仿宋_GB2312" w:hint="eastAsia"/>
                <w:color w:val="000000"/>
                <w:sz w:val="24"/>
              </w:rPr>
              <w:t>）</w:t>
            </w:r>
            <w:r>
              <w:rPr>
                <w:rFonts w:eastAsia="仿宋_GB2312"/>
                <w:color w:val="000000"/>
                <w:sz w:val="24"/>
              </w:rPr>
              <w:t>的分类、要求，描述了相应的试验方法。本文件适用于采用环氧乙烷气体</w:t>
            </w:r>
            <w:r>
              <w:rPr>
                <w:rFonts w:eastAsia="仿宋_GB2312" w:hint="eastAsia"/>
                <w:color w:val="000000"/>
                <w:sz w:val="24"/>
              </w:rPr>
              <w:t>（</w:t>
            </w:r>
            <w:r>
              <w:rPr>
                <w:rFonts w:eastAsia="仿宋_GB2312"/>
                <w:color w:val="000000"/>
                <w:sz w:val="24"/>
              </w:rPr>
              <w:t>无论是纯环氧乙烷气体还是与其他气体的混合物</w:t>
            </w:r>
            <w:r>
              <w:rPr>
                <w:rFonts w:eastAsia="仿宋_GB2312" w:hint="eastAsia"/>
                <w:color w:val="000000"/>
                <w:sz w:val="24"/>
              </w:rPr>
              <w:t>）</w:t>
            </w:r>
            <w:r>
              <w:rPr>
                <w:rFonts w:eastAsia="仿宋_GB2312"/>
                <w:color w:val="000000"/>
                <w:sz w:val="24"/>
              </w:rPr>
              <w:t>作为灭菌剂的自动控制型灭菌器。灭菌器可用于医疗器械工业生产灭菌和医疗机构中的灭菌。本文件不适用于直接将环氧乙烷或含有环氧乙烷的混合物注入包装或柔性腔内的灭菌方式及设备。本文件未规定灭菌器的压力容器要求，也未规定环氧乙烷灭菌中产生的废气、废水等废弃物处理要求和环氧乙烷残留量。</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247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lastRenderedPageBreak/>
              <w:t>3</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0793.3-2023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血液透析和相关治疗用液体的制备和质量管理</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部分：血液透析和相关治疗用浓缩物</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 0598-2015</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本文件规定了血液透析和相关治疗用浓缩物的技术要求。本文件适用于血液透析和相关治疗用浓缩物。本文件不适用于在透析液使用机构利用预包装的盐和水配制成的浓缩物以及透析液的再生系统。</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137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4</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0989.3-2023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手术植入物</w:t>
            </w:r>
            <w:r>
              <w:rPr>
                <w:rFonts w:eastAsia="仿宋_GB2312"/>
                <w:color w:val="000000"/>
                <w:sz w:val="24"/>
              </w:rPr>
              <w:t xml:space="preserve"> </w:t>
            </w:r>
            <w:r>
              <w:rPr>
                <w:rFonts w:eastAsia="仿宋_GB2312"/>
                <w:color w:val="000000"/>
                <w:sz w:val="24"/>
              </w:rPr>
              <w:t>有源植入式医疗器械</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部分：植入式神经刺激器</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本文件规定了对植入式神经刺激器的专用要求。本文件适用于对中枢神经系统或外周神经系统进行电刺激的有源植入式医疗器械。</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6</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387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5</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1881-2023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医用正压送风式呼吸器</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本文件规定了医用正压送风式呼吸器的分类和标记、要求、检测方法、标志和使用说明、包装和储存。本文件适用于医疗工作环境或其它经评估存在病原微生物气溶胶暴露风险的环境下</w:t>
            </w:r>
            <w:r>
              <w:rPr>
                <w:rFonts w:eastAsia="仿宋_GB2312" w:hint="eastAsia"/>
                <w:color w:val="000000"/>
                <w:sz w:val="24"/>
              </w:rPr>
              <w:t>，</w:t>
            </w:r>
            <w:r>
              <w:rPr>
                <w:rFonts w:eastAsia="仿宋_GB2312"/>
                <w:color w:val="000000"/>
                <w:sz w:val="24"/>
              </w:rPr>
              <w:t>用于过滤空气中的微生物颗粒</w:t>
            </w:r>
            <w:r>
              <w:rPr>
                <w:rFonts w:eastAsia="仿宋_GB2312" w:hint="eastAsia"/>
                <w:color w:val="000000"/>
                <w:sz w:val="24"/>
              </w:rPr>
              <w:t>，</w:t>
            </w:r>
            <w:r>
              <w:rPr>
                <w:rFonts w:eastAsia="仿宋_GB2312"/>
                <w:color w:val="000000"/>
                <w:sz w:val="24"/>
              </w:rPr>
              <w:t>阻隔飞沫、血液等污染物的正压送风式呼吸防置。本文件不适用于有毒有害气体防护的动力送风式呼吸器，也不适用于工业粉尘、燃烧、爆炸、缺氧环境及逃生用呼吸器。</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179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lastRenderedPageBreak/>
              <w:t>6</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1885-2023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传染病患者运送负压隔离舱</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传染病患者运送负压隔离舱的要求、试验方法、标识与使用说明书。本文件适用于隔离运送传染病患者以防止病原体向外环境扩散的负压隔离舱。本文件不适用于火灾、核事故、化学物质泄漏等安全事故中伤员转运用的隔离舱。</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306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7</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 1887-2023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医用正压防护服</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医用正压防护服的结构组成、要求、检测方法、标识和使用说明、包装和储存。本文件适用于经评估存在病原微生物气溶胶暴露风险的医疗工作环境等场景下，用于过滤空气中的微生物颗粒，阻隔飞沫、血液等污染物的医用正压防护服。本文件不适用于服装部分为可重复使用的医用正压防护服。本文件不适用于生物安全四级实验室或同等风险作业环境下的个体防护装备。本文件不适用于粉尘、化学气体、燃烧、爆炸、缺氧等环境下的个体防护装备。</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262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8</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0338-2023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气管切开插管和接头</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YY/T 0338.1-2002 YY/T 0338.2-2002</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成人用和小儿用气管切开插管和接头的要求。本文件适用于主要为需进行麻醉、人工通气或其他辅助呼吸的患者而设计的插管。本文件适用于具有共同特性的专用气管切开插管，例如那些在机器端没有接头的适用于自主呼吸患者的气管切开插管，以及具有加强管壁或由金属制成的插管或带肩部的插管、锥形插管、具有用于抽吸或监测或输送药物或其他气体的插管。</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145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lastRenderedPageBreak/>
              <w:t>9</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0776-2023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肝脏射频消融治疗设备</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YY/T 0776-2010</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本文件规定了肝脏射频消融治疗设备及其配用附件的要求、试验方法。本文件适用于肝脏射频消融治疗设备及其配用附件。</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4356"/>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10</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0907-2023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医用无针注射器</w:t>
            </w:r>
            <w:r>
              <w:rPr>
                <w:rFonts w:eastAsia="仿宋_GB2312"/>
                <w:color w:val="000000"/>
                <w:sz w:val="24"/>
              </w:rPr>
              <w:t xml:space="preserve"> </w:t>
            </w:r>
            <w:r>
              <w:rPr>
                <w:rFonts w:eastAsia="仿宋_GB2312"/>
                <w:color w:val="000000"/>
                <w:sz w:val="24"/>
              </w:rPr>
              <w:t>要求及试验方法</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YY/T 0907-2013</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在临床和相关医疗环境下使用的或个人使用的一次或多次使用的医用无针注射器（以下简称无针注射器）的要求和试验方法。本文件适用于在临床和相关医疗环境下使用的或个人使用的一次或多次使用的无针注射器。本文件不适用于无针注射器的如下给药方式：使无针注射装置本身的一部分的穿刺进入或穿透皮肤或黏膜（比如针头、尖部、微针、植入式缓慢释放药品装置）；产生气溶胶、液滴、粉末或其他形式用于吸入、吹入、鼻腔或口腔沉积（比如喷雾、吸入器、雾化器）；皮肤或黏膜表面的沉积液、粉末或其他物质被动地扩散或被人体摄入（比如透皮吸收贴片、液滴）；应用于声能或电磁能（比如超声或离子导入装置）；输液系统，用置入人体的人工管道、导管和</w:t>
            </w:r>
            <w:r>
              <w:rPr>
                <w:rFonts w:eastAsia="仿宋_GB2312"/>
                <w:color w:val="000000"/>
                <w:sz w:val="24"/>
              </w:rPr>
              <w:t>/</w:t>
            </w:r>
            <w:r>
              <w:rPr>
                <w:rFonts w:eastAsia="仿宋_GB2312"/>
                <w:color w:val="000000"/>
                <w:sz w:val="24"/>
              </w:rPr>
              <w:t>或针头进行药品添加或测量。</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11</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0992-2023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内镜清洗工作站</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YY/T 0992-2016</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内镜清洗工作站（以下简称内镜工作站）的分类与型式、要求、标志、使用说明书、包装、运输和储存，描述了相应的试验方法。本文件适用于主要用在医疗机构对软式或硬式内镜进行手动清洗，并可使用化学消毒剂进行消毒的内镜工作站。本文件不适用于对除软式内镜和硬式内镜外的其他医疗器械进行清洗消毒的产品。</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lastRenderedPageBreak/>
              <w:t>12</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1437-2023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医疗器械</w:t>
            </w:r>
            <w:r>
              <w:rPr>
                <w:rFonts w:eastAsia="仿宋_GB2312"/>
                <w:color w:val="000000"/>
                <w:sz w:val="24"/>
              </w:rPr>
              <w:t xml:space="preserve">  GB/T 42062</w:t>
            </w:r>
            <w:r>
              <w:rPr>
                <w:rFonts w:eastAsia="仿宋_GB2312"/>
                <w:color w:val="000000"/>
                <w:sz w:val="24"/>
              </w:rPr>
              <w:t>应用指南</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修订</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YY/T 1437-2016</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本文件提供了按照</w:t>
            </w:r>
            <w:r>
              <w:rPr>
                <w:rFonts w:eastAsia="仿宋_GB2312"/>
                <w:color w:val="000000"/>
                <w:sz w:val="24"/>
              </w:rPr>
              <w:t>GB/T 42062-2022</w:t>
            </w:r>
            <w:r>
              <w:rPr>
                <w:rFonts w:eastAsia="仿宋_GB2312"/>
                <w:color w:val="000000"/>
                <w:sz w:val="24"/>
              </w:rPr>
              <w:t>开发、实施和保持医疗器械风险管理系统的指南。风险管理过程可以是质量管理体系（例如基于</w:t>
            </w:r>
            <w:r>
              <w:rPr>
                <w:rFonts w:eastAsia="仿宋_GB2312"/>
                <w:color w:val="000000"/>
                <w:sz w:val="24"/>
              </w:rPr>
              <w:t>GB/T 42061-2022</w:t>
            </w:r>
            <w:r>
              <w:rPr>
                <w:rFonts w:eastAsia="仿宋_GB2312"/>
                <w:color w:val="000000"/>
                <w:sz w:val="24"/>
              </w:rPr>
              <w:t>的体系）的组成部分，但在</w:t>
            </w:r>
            <w:r>
              <w:rPr>
                <w:rFonts w:eastAsia="仿宋_GB2312"/>
                <w:color w:val="000000"/>
                <w:sz w:val="24"/>
              </w:rPr>
              <w:t>GB/T 42062-2022</w:t>
            </w:r>
            <w:r>
              <w:rPr>
                <w:rFonts w:eastAsia="仿宋_GB2312"/>
                <w:color w:val="000000"/>
                <w:sz w:val="24"/>
              </w:rPr>
              <w:t>中并无此要求。</w:t>
            </w:r>
            <w:r>
              <w:rPr>
                <w:rFonts w:eastAsia="仿宋_GB2312"/>
                <w:color w:val="000000"/>
                <w:sz w:val="24"/>
              </w:rPr>
              <w:t>GB/T 42061-2022</w:t>
            </w:r>
            <w:r>
              <w:rPr>
                <w:rFonts w:eastAsia="仿宋_GB2312"/>
                <w:color w:val="000000"/>
                <w:sz w:val="24"/>
              </w:rPr>
              <w:t>中与风险管理有关的某些要求（第</w:t>
            </w:r>
            <w:r>
              <w:rPr>
                <w:rFonts w:eastAsia="仿宋_GB2312"/>
                <w:color w:val="000000"/>
                <w:sz w:val="24"/>
              </w:rPr>
              <w:t>7</w:t>
            </w:r>
            <w:r>
              <w:rPr>
                <w:rFonts w:eastAsia="仿宋_GB2312"/>
                <w:color w:val="000000"/>
                <w:sz w:val="24"/>
              </w:rPr>
              <w:t>章</w:t>
            </w:r>
            <w:r>
              <w:rPr>
                <w:rFonts w:eastAsia="仿宋_GB2312"/>
                <w:color w:val="000000"/>
                <w:sz w:val="24"/>
              </w:rPr>
              <w:t>“</w:t>
            </w:r>
            <w:r>
              <w:rPr>
                <w:rFonts w:eastAsia="仿宋_GB2312"/>
                <w:color w:val="000000"/>
                <w:sz w:val="24"/>
              </w:rPr>
              <w:t>产品实现</w:t>
            </w:r>
            <w:r>
              <w:rPr>
                <w:rFonts w:eastAsia="仿宋_GB2312"/>
                <w:color w:val="000000"/>
                <w:sz w:val="24"/>
              </w:rPr>
              <w:t>”</w:t>
            </w:r>
            <w:r>
              <w:rPr>
                <w:rFonts w:eastAsia="仿宋_GB2312"/>
                <w:color w:val="000000"/>
                <w:sz w:val="24"/>
              </w:rPr>
              <w:t>和</w:t>
            </w:r>
            <w:r>
              <w:rPr>
                <w:rFonts w:eastAsia="仿宋_GB2312"/>
                <w:color w:val="000000"/>
                <w:sz w:val="24"/>
              </w:rPr>
              <w:t>8.2.1“</w:t>
            </w:r>
            <w:r>
              <w:rPr>
                <w:rFonts w:eastAsia="仿宋_GB2312"/>
                <w:color w:val="000000"/>
                <w:sz w:val="24"/>
              </w:rPr>
              <w:t>反馈</w:t>
            </w:r>
            <w:r>
              <w:rPr>
                <w:rFonts w:eastAsia="仿宋_GB2312"/>
                <w:color w:val="000000"/>
                <w:sz w:val="24"/>
              </w:rPr>
              <w:t>”</w:t>
            </w:r>
            <w:r>
              <w:rPr>
                <w:rFonts w:eastAsia="仿宋_GB2312"/>
                <w:color w:val="000000"/>
                <w:sz w:val="24"/>
              </w:rPr>
              <w:t>），能通过应用</w:t>
            </w:r>
            <w:r>
              <w:rPr>
                <w:rFonts w:eastAsia="仿宋_GB2312"/>
                <w:color w:val="000000"/>
                <w:sz w:val="24"/>
              </w:rPr>
              <w:t>GB/T 42062-2022</w:t>
            </w:r>
            <w:r>
              <w:rPr>
                <w:rFonts w:eastAsia="仿宋_GB2312"/>
                <w:color w:val="000000"/>
                <w:sz w:val="24"/>
              </w:rPr>
              <w:t>来实现，见</w:t>
            </w:r>
            <w:r>
              <w:rPr>
                <w:rFonts w:eastAsia="仿宋_GB2312"/>
                <w:color w:val="000000"/>
                <w:sz w:val="24"/>
              </w:rPr>
              <w:t>YY/T 0595-2020</w:t>
            </w:r>
            <w:r>
              <w:rPr>
                <w:rFonts w:eastAsia="仿宋_GB2312"/>
                <w:color w:val="000000"/>
                <w:sz w:val="24"/>
              </w:rPr>
              <w:t>。</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13</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1754.3-2023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医疗器械临床前动物研究</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w:t>
            </w:r>
            <w:r>
              <w:rPr>
                <w:rFonts w:eastAsia="仿宋_GB2312" w:hint="eastAsia"/>
                <w:color w:val="000000"/>
                <w:sz w:val="24"/>
              </w:rPr>
              <w:t>：</w:t>
            </w:r>
            <w:r>
              <w:rPr>
                <w:rFonts w:eastAsia="仿宋_GB2312"/>
                <w:color w:val="000000"/>
                <w:sz w:val="24"/>
              </w:rPr>
              <w:t>用于评价补片组织学反应与生物力学性能的动物腹壁切口疝模型</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本文件规定了腹腔内置补片组织学反应与生物力学性能的测试与评价方法。本文件适用于腹腔内置补片的临床前动物试验研究。</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14</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1766.3-2023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X</w:t>
            </w:r>
            <w:r>
              <w:rPr>
                <w:rFonts w:eastAsia="仿宋_GB2312"/>
                <w:color w:val="000000"/>
                <w:sz w:val="24"/>
              </w:rPr>
              <w:t>射线计算机体层摄影设备图像质量评价方法</w:t>
            </w:r>
            <w:r>
              <w:rPr>
                <w:rFonts w:eastAsia="仿宋_GB2312"/>
                <w:color w:val="000000"/>
                <w:sz w:val="24"/>
              </w:rPr>
              <w:t xml:space="preserve"> </w:t>
            </w:r>
            <w:r>
              <w:rPr>
                <w:rFonts w:eastAsia="仿宋_GB2312"/>
                <w:color w:val="000000"/>
                <w:sz w:val="24"/>
              </w:rPr>
              <w:t>第</w:t>
            </w:r>
            <w:r>
              <w:rPr>
                <w:rFonts w:eastAsia="仿宋_GB2312"/>
                <w:color w:val="000000"/>
                <w:sz w:val="24"/>
              </w:rPr>
              <w:t>3</w:t>
            </w:r>
            <w:r>
              <w:rPr>
                <w:rFonts w:eastAsia="仿宋_GB2312"/>
                <w:color w:val="000000"/>
                <w:sz w:val="24"/>
              </w:rPr>
              <w:t>部分：双能量成像与能谱应用性能评价</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w:t>
            </w:r>
            <w:r>
              <w:rPr>
                <w:rFonts w:eastAsia="仿宋_GB2312"/>
                <w:color w:val="000000"/>
                <w:sz w:val="24"/>
              </w:rPr>
              <w:t>X</w:t>
            </w:r>
            <w:r>
              <w:rPr>
                <w:rFonts w:eastAsia="仿宋_GB2312"/>
                <w:color w:val="000000"/>
                <w:sz w:val="24"/>
              </w:rPr>
              <w:t>射线计算机体层摄影设备（以下简称</w:t>
            </w:r>
            <w:r>
              <w:rPr>
                <w:rFonts w:eastAsia="仿宋_GB2312"/>
                <w:color w:val="000000"/>
                <w:sz w:val="24"/>
              </w:rPr>
              <w:t>CT</w:t>
            </w:r>
            <w:r>
              <w:rPr>
                <w:rFonts w:eastAsia="仿宋_GB2312"/>
                <w:color w:val="000000"/>
                <w:sz w:val="24"/>
              </w:rPr>
              <w:t>扫描装置）进行双能量成像以及能谱应用的性能评价方法。本文件适用于全身及专用</w:t>
            </w:r>
            <w:r>
              <w:rPr>
                <w:rFonts w:eastAsia="仿宋_GB2312"/>
                <w:color w:val="000000"/>
                <w:sz w:val="24"/>
              </w:rPr>
              <w:t>CT</w:t>
            </w:r>
            <w:r>
              <w:rPr>
                <w:rFonts w:eastAsia="仿宋_GB2312"/>
                <w:color w:val="000000"/>
                <w:sz w:val="24"/>
              </w:rPr>
              <w:t>扫描装置，包括为放射治疗计划提供图像数据的</w:t>
            </w:r>
            <w:r>
              <w:rPr>
                <w:rFonts w:eastAsia="仿宋_GB2312"/>
                <w:color w:val="000000"/>
                <w:sz w:val="24"/>
              </w:rPr>
              <w:t>CT</w:t>
            </w:r>
            <w:r>
              <w:rPr>
                <w:rFonts w:eastAsia="仿宋_GB2312"/>
                <w:color w:val="000000"/>
                <w:sz w:val="24"/>
              </w:rPr>
              <w:t>扫描装置，但不包括口腔</w:t>
            </w:r>
            <w:r>
              <w:rPr>
                <w:rFonts w:eastAsia="仿宋_GB2312"/>
                <w:color w:val="000000"/>
                <w:sz w:val="24"/>
              </w:rPr>
              <w:t>CT</w:t>
            </w:r>
            <w:r>
              <w:rPr>
                <w:rFonts w:eastAsia="仿宋_GB2312"/>
                <w:color w:val="000000"/>
                <w:sz w:val="24"/>
              </w:rPr>
              <w:t>扫描装置或具有三维成像功能的血管造影及移动</w:t>
            </w:r>
            <w:r>
              <w:rPr>
                <w:rFonts w:eastAsia="仿宋_GB2312"/>
                <w:color w:val="000000"/>
                <w:sz w:val="24"/>
              </w:rPr>
              <w:t>C</w:t>
            </w:r>
            <w:r>
              <w:rPr>
                <w:rFonts w:eastAsia="仿宋_GB2312"/>
                <w:color w:val="000000"/>
                <w:sz w:val="24"/>
              </w:rPr>
              <w:t>形臂设备。</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5</w:t>
            </w:r>
            <w:r>
              <w:rPr>
                <w:rFonts w:eastAsia="仿宋_GB2312"/>
                <w:color w:val="000000"/>
                <w:sz w:val="24"/>
                <w:lang w:val="en"/>
              </w:rPr>
              <w:t>年</w:t>
            </w:r>
            <w:r>
              <w:rPr>
                <w:rFonts w:eastAsia="仿宋_GB2312"/>
                <w:color w:val="000000"/>
                <w:sz w:val="24"/>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15</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1873-2023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麻醉和呼吸设备</w:t>
            </w:r>
            <w:r>
              <w:rPr>
                <w:rFonts w:eastAsia="仿宋_GB2312"/>
                <w:color w:val="000000"/>
                <w:sz w:val="24"/>
              </w:rPr>
              <w:t xml:space="preserve"> </w:t>
            </w:r>
            <w:r>
              <w:rPr>
                <w:rFonts w:eastAsia="仿宋_GB2312"/>
                <w:color w:val="000000"/>
                <w:sz w:val="24"/>
              </w:rPr>
              <w:t>笑气吸入镇静镇痛装置</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与附件组合使用的笑气吸入镇静镇痛装置的基本安全和基本性能。本文件适用于笑气吸入镇静镇痛装置及组合使用的附件（如面罩、呼吸管路等）。此类装置预期向患者呼吸系统输送笑气氧气混合气体进行镇静镇痛，其输送的笑气氧气混合气体浓度可调节。本文件不适用于使用笑气进行吸入镇静镇痛的麻醉机、笑气氧气预混合气体吸入镇静镇痛装置。</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lastRenderedPageBreak/>
              <w:t>16</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1884-2023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固定式含铜宫内节育器</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本文件规定了固定式含铜宫内节育器的组成与基本尺寸、要求、试验方法、制造商提供的信息、包装和失效期。本文件适用于固定式含铜宫内节育器，该产品固定于妇女子宫腔内，用作避孕。</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17</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1894-2023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医用磁共振设备可靠性指标验证方法</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本文件描述了医用磁共振设备可靠性指标验证的方法。本文件适用于医用磁共振设备。本文件不适用于医用磁共振设备的软件部分。</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18</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1896-2023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光谱辐射治疗设备波长范围界定方法</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本文件规定了光谱辐射治疗设备的波长范围界定方法。本文件适用于临床上波长为</w:t>
            </w:r>
            <w:r>
              <w:rPr>
                <w:rFonts w:eastAsia="仿宋_GB2312"/>
                <w:color w:val="000000"/>
                <w:sz w:val="24"/>
              </w:rPr>
              <w:t>180nm-3000nm</w:t>
            </w:r>
            <w:r>
              <w:rPr>
                <w:rFonts w:eastAsia="仿宋_GB2312"/>
                <w:color w:val="000000"/>
                <w:sz w:val="24"/>
              </w:rPr>
              <w:t>，利用包括可见光、红外光、紫外光等非相干光进行治疗的设备。</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19</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lang w:val="en"/>
              </w:rPr>
            </w:pPr>
            <w:r>
              <w:rPr>
                <w:rFonts w:eastAsia="仿宋_GB2312"/>
                <w:color w:val="000000"/>
                <w:sz w:val="24"/>
              </w:rPr>
              <w:t>YY/T 1897-2023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纳米医疗器械生物学评价</w:t>
            </w:r>
            <w:r>
              <w:rPr>
                <w:rFonts w:eastAsia="仿宋_GB2312"/>
                <w:color w:val="000000"/>
                <w:sz w:val="24"/>
              </w:rPr>
              <w:t xml:space="preserve"> </w:t>
            </w:r>
            <w:r>
              <w:rPr>
                <w:rFonts w:eastAsia="仿宋_GB2312"/>
                <w:color w:val="000000"/>
                <w:sz w:val="24"/>
              </w:rPr>
              <w:t>遗传毒性试验</w:t>
            </w:r>
            <w:r>
              <w:rPr>
                <w:rFonts w:eastAsia="仿宋_GB2312"/>
                <w:color w:val="000000"/>
                <w:sz w:val="24"/>
              </w:rPr>
              <w:t xml:space="preserve"> </w:t>
            </w:r>
            <w:r>
              <w:rPr>
                <w:rFonts w:eastAsia="仿宋_GB2312"/>
                <w:color w:val="000000"/>
                <w:sz w:val="24"/>
              </w:rPr>
              <w:t>体外哺乳动物细胞微核试验</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bCs/>
                <w:sz w:val="24"/>
              </w:rPr>
            </w:pPr>
            <w:r>
              <w:rPr>
                <w:rFonts w:eastAsia="仿宋_GB2312"/>
                <w:color w:val="000000"/>
                <w:sz w:val="24"/>
              </w:rPr>
              <w:t>本文件给出了评价纳米医疗器械或用于医疗器械的纳米材料的体外哺乳动物细胞微核试验方法，通过测定细胞暴露于纳米医疗器械或用于医疗器械的纳米材料供试液后的含微核细胞数，评价其是否具有潜在遗传毒性风险。本文件适用于采用永生化细胞胞质分裂阻断法微核试验评价纳米医疗器械或用于医疗器械的纳米材料的遗传毒性。</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bCs/>
                <w:sz w:val="24"/>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r w:rsidR="00DD2FED">
        <w:trPr>
          <w:cantSplit/>
          <w:trHeight w:val="812"/>
          <w:jc w:val="center"/>
        </w:trPr>
        <w:tc>
          <w:tcPr>
            <w:tcW w:w="545"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20</w:t>
            </w:r>
          </w:p>
        </w:tc>
        <w:tc>
          <w:tcPr>
            <w:tcW w:w="162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YY/T 1899-2023</w:t>
            </w:r>
          </w:p>
        </w:tc>
        <w:tc>
          <w:tcPr>
            <w:tcW w:w="1939"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可吸收医疗器械植入后组织病理学样本制备与评价方法</w:t>
            </w:r>
          </w:p>
        </w:tc>
        <w:tc>
          <w:tcPr>
            <w:tcW w:w="600"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制定</w:t>
            </w:r>
          </w:p>
        </w:tc>
        <w:tc>
          <w:tcPr>
            <w:tcW w:w="1576"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rPr>
            </w:pPr>
            <w:r>
              <w:rPr>
                <w:rFonts w:eastAsia="仿宋_GB2312"/>
                <w:color w:val="000000"/>
                <w:sz w:val="24"/>
              </w:rPr>
              <w:t>/</w:t>
            </w:r>
          </w:p>
        </w:tc>
        <w:tc>
          <w:tcPr>
            <w:tcW w:w="6229" w:type="dxa"/>
            <w:tcMar>
              <w:top w:w="28" w:type="dxa"/>
              <w:left w:w="28" w:type="dxa"/>
              <w:bottom w:w="28" w:type="dxa"/>
              <w:right w:w="28" w:type="dxa"/>
            </w:tcMar>
            <w:vAlign w:val="center"/>
          </w:tcPr>
          <w:p w:rsidR="00DD2FED" w:rsidRDefault="00E05B64">
            <w:pPr>
              <w:adjustRightInd w:val="0"/>
              <w:snapToGrid w:val="0"/>
              <w:spacing w:line="280" w:lineRule="exact"/>
              <w:rPr>
                <w:rFonts w:eastAsia="仿宋_GB2312"/>
                <w:color w:val="000000"/>
                <w:sz w:val="24"/>
              </w:rPr>
            </w:pPr>
            <w:r>
              <w:rPr>
                <w:rFonts w:eastAsia="仿宋_GB2312"/>
                <w:color w:val="000000"/>
                <w:sz w:val="24"/>
              </w:rPr>
              <w:t>本文件描述了可吸收医疗器械植入后局部组织病理学样本的制备、组织反应及降解情况的评价方法。本文件适用于可吸收医疗器械。</w:t>
            </w:r>
          </w:p>
        </w:tc>
        <w:tc>
          <w:tcPr>
            <w:tcW w:w="1991" w:type="dxa"/>
            <w:tcMar>
              <w:top w:w="28" w:type="dxa"/>
              <w:left w:w="28" w:type="dxa"/>
              <w:bottom w:w="28" w:type="dxa"/>
              <w:right w:w="28" w:type="dxa"/>
            </w:tcMar>
            <w:vAlign w:val="center"/>
          </w:tcPr>
          <w:p w:rsidR="00DD2FED" w:rsidRDefault="00E05B64">
            <w:pPr>
              <w:adjustRightInd w:val="0"/>
              <w:snapToGrid w:val="0"/>
              <w:spacing w:line="280" w:lineRule="exact"/>
              <w:jc w:val="center"/>
              <w:rPr>
                <w:rFonts w:eastAsia="仿宋_GB2312"/>
                <w:color w:val="000000"/>
                <w:sz w:val="24"/>
                <w:lang w:val="en"/>
              </w:rPr>
            </w:pPr>
            <w:r>
              <w:rPr>
                <w:rFonts w:eastAsia="仿宋_GB2312"/>
                <w:color w:val="000000"/>
                <w:sz w:val="24"/>
                <w:lang w:val="en"/>
              </w:rPr>
              <w:t>202</w:t>
            </w:r>
            <w:r>
              <w:rPr>
                <w:rFonts w:eastAsia="仿宋_GB2312"/>
                <w:color w:val="000000"/>
                <w:sz w:val="24"/>
              </w:rPr>
              <w:t>4</w:t>
            </w:r>
            <w:r>
              <w:rPr>
                <w:rFonts w:eastAsia="仿宋_GB2312"/>
                <w:color w:val="000000"/>
                <w:sz w:val="24"/>
                <w:lang w:val="en"/>
              </w:rPr>
              <w:t>年</w:t>
            </w:r>
            <w:r>
              <w:rPr>
                <w:rFonts w:eastAsia="仿宋_GB2312"/>
                <w:color w:val="000000"/>
                <w:sz w:val="24"/>
              </w:rPr>
              <w:t>7</w:t>
            </w:r>
            <w:r>
              <w:rPr>
                <w:rFonts w:eastAsia="仿宋_GB2312"/>
                <w:color w:val="000000"/>
                <w:sz w:val="24"/>
              </w:rPr>
              <w:t>月</w:t>
            </w:r>
            <w:r>
              <w:rPr>
                <w:rFonts w:eastAsia="仿宋_GB2312"/>
                <w:color w:val="000000"/>
                <w:sz w:val="24"/>
              </w:rPr>
              <w:t>1</w:t>
            </w:r>
            <w:r>
              <w:rPr>
                <w:rFonts w:eastAsia="仿宋_GB2312"/>
                <w:color w:val="000000"/>
                <w:sz w:val="24"/>
              </w:rPr>
              <w:t>日</w:t>
            </w:r>
          </w:p>
        </w:tc>
      </w:tr>
    </w:tbl>
    <w:p w:rsidR="00E05B64" w:rsidRDefault="00E05B64" w:rsidP="006F6B4B">
      <w:pPr>
        <w:rPr>
          <w:rFonts w:ascii="仿宋_GB2312" w:eastAsia="仿宋_GB2312" w:hAnsi="仿宋"/>
          <w:sz w:val="28"/>
          <w:szCs w:val="28"/>
        </w:rPr>
      </w:pPr>
    </w:p>
    <w:sectPr w:rsidR="00E05B64" w:rsidSect="006F6B4B">
      <w:footerReference w:type="even" r:id="rId6"/>
      <w:footerReference w:type="default" r:id="rId7"/>
      <w:pgSz w:w="16838" w:h="11906" w:orient="landscape"/>
      <w:pgMar w:top="1531" w:right="1928" w:bottom="1531" w:left="170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8CB" w:rsidRDefault="00AB28CB">
      <w:r>
        <w:separator/>
      </w:r>
    </w:p>
  </w:endnote>
  <w:endnote w:type="continuationSeparator" w:id="0">
    <w:p w:rsidR="00AB28CB" w:rsidRDefault="00AB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ED" w:rsidRDefault="006F6B4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7785" cy="131445"/>
              <wp:effectExtent l="4445" t="4445" r="444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D2FED" w:rsidRDefault="00E05B64">
                          <w:pPr>
                            <w:pStyle w:val="a5"/>
                          </w:pPr>
                          <w:r>
                            <w:fldChar w:fldCharType="begin"/>
                          </w:r>
                          <w:r>
                            <w:instrText xml:space="preserve"> PAGE  \* MERGEFORMAT </w:instrText>
                          </w:r>
                          <w:r>
                            <w:fldChar w:fldCharType="separate"/>
                          </w:r>
                          <w:r w:rsidR="00BD4A9C">
                            <w:rPr>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46.65pt;margin-top:0;width:4.55pt;height:10.3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7pvwIAALE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" filled="f" stroked="f">
              <v:textbox style="mso-fit-shape-to-text:t" inset="0,0,0,0">
                <w:txbxContent>
                  <w:p w:rsidR="00DD2FED" w:rsidRDefault="00E05B64">
                    <w:pPr>
                      <w:pStyle w:val="a5"/>
                    </w:pPr>
                    <w:r>
                      <w:fldChar w:fldCharType="begin"/>
                    </w:r>
                    <w:r>
                      <w:instrText xml:space="preserve"> PAGE  \* MERGEFORMAT </w:instrText>
                    </w:r>
                    <w:r>
                      <w:fldChar w:fldCharType="separate"/>
                    </w:r>
                    <w:r w:rsidR="00BD4A9C">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ED" w:rsidRDefault="006F6B4B">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254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D2FED" w:rsidRDefault="00E05B64">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D4A9C">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DD2FED" w:rsidRDefault="00E05B64">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D4A9C">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8CB" w:rsidRDefault="00AB28CB">
      <w:r>
        <w:separator/>
      </w:r>
    </w:p>
  </w:footnote>
  <w:footnote w:type="continuationSeparator" w:id="0">
    <w:p w:rsidR="00AB28CB" w:rsidRDefault="00AB2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8F383FCC"/>
    <w:rsid w:val="9BFD571B"/>
    <w:rsid w:val="9F9D866D"/>
    <w:rsid w:val="9FEF8731"/>
    <w:rsid w:val="A7FFA425"/>
    <w:rsid w:val="B39D92B2"/>
    <w:rsid w:val="B7FE378F"/>
    <w:rsid w:val="BABF3E82"/>
    <w:rsid w:val="BBBBE4C2"/>
    <w:rsid w:val="BBFF4831"/>
    <w:rsid w:val="BDD72450"/>
    <w:rsid w:val="BF7E8651"/>
    <w:rsid w:val="BF7FD0BB"/>
    <w:rsid w:val="BFF56BFF"/>
    <w:rsid w:val="D05753CE"/>
    <w:rsid w:val="D2BE7473"/>
    <w:rsid w:val="D7EBB15B"/>
    <w:rsid w:val="D9BBE13E"/>
    <w:rsid w:val="DED01B92"/>
    <w:rsid w:val="E7DC4206"/>
    <w:rsid w:val="E7FAD10B"/>
    <w:rsid w:val="E8FDEC29"/>
    <w:rsid w:val="EBDF7065"/>
    <w:rsid w:val="F0FB4AF0"/>
    <w:rsid w:val="F2B7F344"/>
    <w:rsid w:val="F5F78462"/>
    <w:rsid w:val="F5FF8F91"/>
    <w:rsid w:val="F77B256B"/>
    <w:rsid w:val="F77D01FD"/>
    <w:rsid w:val="F7FAAC5C"/>
    <w:rsid w:val="F7FECB59"/>
    <w:rsid w:val="FAB9FC11"/>
    <w:rsid w:val="FB576A34"/>
    <w:rsid w:val="FB9B0812"/>
    <w:rsid w:val="FCDDF367"/>
    <w:rsid w:val="FDBFDD61"/>
    <w:rsid w:val="FE3BCA35"/>
    <w:rsid w:val="FEFC3946"/>
    <w:rsid w:val="FFBE6F0D"/>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6F6B4B"/>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B28CB"/>
    <w:rsid w:val="00AC2D33"/>
    <w:rsid w:val="00B11072"/>
    <w:rsid w:val="00B16FFF"/>
    <w:rsid w:val="00B25838"/>
    <w:rsid w:val="00B64617"/>
    <w:rsid w:val="00B84EF7"/>
    <w:rsid w:val="00BA00D5"/>
    <w:rsid w:val="00BA1FC7"/>
    <w:rsid w:val="00BA78A4"/>
    <w:rsid w:val="00BD4A9C"/>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2FED"/>
    <w:rsid w:val="00DD4D3D"/>
    <w:rsid w:val="00DD5C43"/>
    <w:rsid w:val="00DF1936"/>
    <w:rsid w:val="00E05A99"/>
    <w:rsid w:val="00E05B64"/>
    <w:rsid w:val="00E21EF7"/>
    <w:rsid w:val="00E41212"/>
    <w:rsid w:val="00E41A1A"/>
    <w:rsid w:val="00E73776"/>
    <w:rsid w:val="00ED2031"/>
    <w:rsid w:val="00F64776"/>
    <w:rsid w:val="00F6624B"/>
    <w:rsid w:val="00F8685B"/>
    <w:rsid w:val="00FA60C8"/>
    <w:rsid w:val="00FD22E5"/>
    <w:rsid w:val="00FD443E"/>
    <w:rsid w:val="00FD754D"/>
    <w:rsid w:val="0BEC7EA0"/>
    <w:rsid w:val="0D9F5E9F"/>
    <w:rsid w:val="0F9E0E77"/>
    <w:rsid w:val="1AFBED50"/>
    <w:rsid w:val="1DF55B4D"/>
    <w:rsid w:val="1FEB9968"/>
    <w:rsid w:val="2A8D465A"/>
    <w:rsid w:val="3FA3FF16"/>
    <w:rsid w:val="3FADBEB7"/>
    <w:rsid w:val="3FDE8A93"/>
    <w:rsid w:val="43E2636A"/>
    <w:rsid w:val="4C1A048F"/>
    <w:rsid w:val="4EDFB060"/>
    <w:rsid w:val="591D3208"/>
    <w:rsid w:val="5AFFB0AC"/>
    <w:rsid w:val="5DAD66CE"/>
    <w:rsid w:val="5F297A5F"/>
    <w:rsid w:val="63E446CD"/>
    <w:rsid w:val="6AEF4B4E"/>
    <w:rsid w:val="6DC7B92B"/>
    <w:rsid w:val="6DFF1499"/>
    <w:rsid w:val="6FCD4C3E"/>
    <w:rsid w:val="6FFD3AA5"/>
    <w:rsid w:val="6FFFBA68"/>
    <w:rsid w:val="77696DC9"/>
    <w:rsid w:val="77FF2A40"/>
    <w:rsid w:val="7A7F240B"/>
    <w:rsid w:val="7AF7108F"/>
    <w:rsid w:val="7B87D4D9"/>
    <w:rsid w:val="7BBFABA6"/>
    <w:rsid w:val="7DBD981F"/>
    <w:rsid w:val="7ED62E8A"/>
    <w:rsid w:val="7EE72133"/>
    <w:rsid w:val="7FB6B92F"/>
    <w:rsid w:val="7FBB191A"/>
    <w:rsid w:val="7FD71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1D095C-3B48-4A07-B2D5-3D4DCB06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3318</Characters>
  <Application>Microsoft Office Word</Application>
  <DocSecurity>0</DocSecurity>
  <Lines>27</Lines>
  <Paragraphs>7</Paragraphs>
  <ScaleCrop>false</ScaleCrop>
  <Company>Xtzj.Com</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2023-06-21T15:25:00Z</cp:lastPrinted>
  <dcterms:created xsi:type="dcterms:W3CDTF">2023-06-28T07:27:00Z</dcterms:created>
  <dcterms:modified xsi:type="dcterms:W3CDTF">2023-06-28T07:30:00Z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406483A7CF175D76ED209064011661D1</vt:lpwstr>
  </property>
</Properties>
</file>