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631F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28A450D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B02A40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6"/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Style w:val="6"/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天津市</w:t>
      </w:r>
      <w:r>
        <w:rPr>
          <w:rStyle w:val="6"/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  <w:t>独资医院领域扩大开放</w:t>
      </w:r>
    </w:p>
    <w:p w14:paraId="45F6D01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6"/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Style w:val="6"/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  <w:t>试点工作</w:t>
      </w:r>
      <w:r>
        <w:rPr>
          <w:rStyle w:val="6"/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分工</w:t>
      </w:r>
    </w:p>
    <w:p w14:paraId="29614AE1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Style w:val="6"/>
          <w:rFonts w:hint="eastAsia" w:ascii="Times New Roman" w:hAnsi="Times New Roman" w:eastAsia="方正小标宋简体" w:cs="方正小标宋简体"/>
          <w:b w:val="0"/>
          <w:bCs/>
          <w:color w:val="auto"/>
          <w:sz w:val="32"/>
          <w:szCs w:val="32"/>
        </w:rPr>
      </w:pPr>
    </w:p>
    <w:p w14:paraId="71A75877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为做好我市独资医院领域扩大开放试点工作，根据《商务部 国家卫生健康委 国家药监局关于在医疗领域开展扩大开放试点工作的通知》（商资函〔2024〕568号）和国家卫生健康委、商务部、国家中医药局、国家疾控局《关于印发独资医院领域扩大开放试点工作方案的通知》（国卫医政发〔2024〕36号，以下简称“国家试点方案”），结合我市实际，明确职责分工如下。</w:t>
      </w:r>
    </w:p>
    <w:p w14:paraId="088AC4C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一、总体要求</w:t>
      </w:r>
    </w:p>
    <w:p w14:paraId="1AACF437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以习近平新时代中国特色社会主义思想为指导，全面贯彻落实党的二十届三中全会精神，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深入学习贯彻习近平总书记视察天津重要讲话精神，严格落实国家试点方案要求，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统筹发展和安全，确保试点工作平稳有序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医疗领域有序扩大开放，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引进国际高水平医疗资源，</w:t>
      </w:r>
      <w:r>
        <w:rPr>
          <w:rFonts w:hint="eastAsia" w:ascii="仿宋_GB2312" w:hAnsi="仿宋_GB2312" w:eastAsia="仿宋_GB2312" w:cs="仿宋_GB2312"/>
          <w:sz w:val="32"/>
          <w:szCs w:val="32"/>
        </w:rPr>
        <w:t>拓展多元化服务供给格局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更好服务</w:t>
      </w:r>
      <w:r>
        <w:rPr>
          <w:rFonts w:hint="eastAsia" w:ascii="Times New Roman" w:hAnsi="Times New Roman" w:eastAsia="仿宋_GB2312" w:cs="仿宋_GB2312"/>
          <w:sz w:val="32"/>
          <w:szCs w:val="32"/>
        </w:rPr>
        <w:t>群众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健康需求。</w:t>
      </w:r>
    </w:p>
    <w:p w14:paraId="1AE137C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二、职责分工</w:t>
      </w:r>
    </w:p>
    <w:p w14:paraId="0E0AE16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（一）卫生健康部门。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负责外商独资医院设置审批和执业登记，负责事中事后管理，依法履行属地行业监管责任。</w:t>
      </w:r>
    </w:p>
    <w:p w14:paraId="42F3D19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（二）商务部门。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负责加强对外商独资医院的服务保障，保障外商投资合法权益。</w:t>
      </w:r>
    </w:p>
    <w:p w14:paraId="39729A1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（三）市场监管部门。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负责审批营利性外商独资医院投资主体《营业执照》，依法实施有关市场领域监管。</w:t>
      </w:r>
    </w:p>
    <w:p w14:paraId="1DFD207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（四）民政部门。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负责对非营利性外商独资医院设立主体进行民办非企业单位登记，依法实施相关监管。</w:t>
      </w:r>
    </w:p>
    <w:p w14:paraId="6D79D73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（五）医保部门。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负责将符合医保有关规定的医院按程序纳入医保定点，依法实施基本医疗保障基金使用监管。</w:t>
      </w:r>
    </w:p>
    <w:p w14:paraId="7EC6D00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（六）药监部门。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负责外商独资医院涉及的药品、医疗器械质量监管。</w:t>
      </w:r>
    </w:p>
    <w:p w14:paraId="78DA8499">
      <w:pPr>
        <w:pStyle w:val="3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（七）疾控部门。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负责对外商独资医院开展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疾病预防控制</w:t>
      </w:r>
      <w:r>
        <w:rPr>
          <w:rFonts w:hint="eastAsia" w:ascii="Times New Roman" w:hAnsi="Times New Roman" w:eastAsia="仿宋_GB2312" w:cs="仿宋_GB2312"/>
          <w:b w:val="0"/>
          <w:spacing w:val="0"/>
          <w:sz w:val="32"/>
          <w:szCs w:val="32"/>
        </w:rPr>
        <w:t>工作进行指导、</w:t>
      </w:r>
      <w:r>
        <w:rPr>
          <w:rFonts w:hint="eastAsia" w:ascii="Times New Roman" w:hAnsi="Times New Roman" w:eastAsia="仿宋_GB2312" w:cs="仿宋_GB2312"/>
          <w:b w:val="0"/>
          <w:spacing w:val="0"/>
          <w:sz w:val="32"/>
          <w:szCs w:val="32"/>
          <w:lang w:val="en-US" w:eastAsia="zh-CN"/>
        </w:rPr>
        <w:t>监</w:t>
      </w:r>
      <w:r>
        <w:rPr>
          <w:rFonts w:hint="eastAsia" w:ascii="Times New Roman" w:hAnsi="Times New Roman" w:eastAsia="仿宋_GB2312" w:cs="仿宋_GB2312"/>
          <w:b w:val="0"/>
          <w:spacing w:val="0"/>
          <w:sz w:val="32"/>
          <w:szCs w:val="32"/>
        </w:rPr>
        <w:t>督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47AEC04B">
      <w:pPr>
        <w:pStyle w:val="3"/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三、工作要求</w:t>
      </w:r>
    </w:p>
    <w:p w14:paraId="01046A93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Times New Roman" w:hAnsi="Times New Roman" w:eastAsia="楷体_GB2312" w:cs="楷体_GB2312"/>
          <w:b w:val="0"/>
          <w:bCs/>
          <w:sz w:val="32"/>
          <w:szCs w:val="32"/>
          <w:lang w:val="en-US" w:eastAsia="zh-CN"/>
        </w:rPr>
        <w:t>（一）优化营商环境，依法准入。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各相关部门要增强优化营商环境意识，推进我市营商环境建设。各级承担相关审批职能部门，要坚持依法行政，严格依据法律法规和具体政策，做好解读宣讲，把好准入关，切实引进国际高水平医疗资源。</w:t>
      </w:r>
    </w:p>
    <w:p w14:paraId="0CA5A118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Times New Roman" w:hAnsi="Times New Roman" w:eastAsia="楷体_GB2312" w:cs="楷体_GB2312"/>
          <w:b w:val="0"/>
          <w:bCs/>
          <w:sz w:val="32"/>
          <w:szCs w:val="32"/>
          <w:lang w:val="en-US" w:eastAsia="zh-CN"/>
        </w:rPr>
        <w:t>（二）强化分工协作，提升效率。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卫生健康部门要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t>与有关部门建立协同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t>机制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优化提升工作效率。各有关部门强化分工协作，按照国家试点方案，结合职责分工，畅通部门间衔接，依法依规落实工作职责。</w:t>
      </w:r>
    </w:p>
    <w:p w14:paraId="57A6F5FB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cs="仿宋_GB2312" w:eastAsiaTheme="minorEastAsia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Times New Roman" w:hAnsi="Times New Roman" w:eastAsia="楷体_GB2312" w:cs="楷体_GB2312"/>
          <w:b w:val="0"/>
          <w:bCs/>
          <w:sz w:val="32"/>
          <w:szCs w:val="32"/>
          <w:lang w:val="en-US" w:eastAsia="zh-CN"/>
        </w:rPr>
        <w:t>（三）开展运行评估，完善管理。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外商独资医院所在区卫生健康委要会同有关部门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开展运行评估，及时协调解决试点中遇到的难点问题。市卫生健康委会同市级有关部门做好指导。遇有重大情况，及时向国家卫生健康委、商务部等部门报告。</w:t>
      </w:r>
    </w:p>
    <w:p w14:paraId="451100D4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640" w:firstLineChars="200"/>
        <w:jc w:val="both"/>
        <w:textAlignment w:val="auto"/>
        <w:rPr>
          <w:rStyle w:val="6"/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（四）依法监督管理，同等对待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。各有关部门要依法履行法定职责，对所有医疗机构一视同仁。在执法中坚持“执法+普法”相结合，促进依法执业。坚持公平、公正、规范、文明执法，处罚与教育相结合，引导自觉守法。</w:t>
      </w:r>
    </w:p>
    <w:p w14:paraId="6F709C2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（五）</w:t>
      </w:r>
      <w:r>
        <w:rPr>
          <w:rStyle w:val="6"/>
          <w:rFonts w:hint="eastAsia" w:ascii="Times New Roman" w:hAnsi="Times New Roman" w:eastAsia="楷体_GB2312" w:cs="楷体_GB2312"/>
          <w:b w:val="0"/>
          <w:bCs/>
          <w:sz w:val="32"/>
          <w:szCs w:val="32"/>
          <w:lang w:val="en-US" w:eastAsia="zh-CN"/>
        </w:rPr>
        <w:t>健全监管机制，化解风险。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各有关部门要结合外商独资医院业务开展和运行特点，不断完善事中事后监管机制，健全强化属地化监管机制和监管能力，通过不断探索完善综合监管机制，防范风险，实现有效监管。</w:t>
      </w:r>
    </w:p>
    <w:p w14:paraId="6CBBC5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F4315"/>
    <w:rsid w:val="2E7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2024-12-03T21:24:00Z</dcterms:created>
  <dc:creator>雨熹 Cisia</dc:creator>
  <cp:lastModifiedBy>雨熹 Cisia</cp:lastModifiedBy>
  <dcterms:modified xsi:type="dcterms:W3CDTF">2024-12-03T21:25:15Z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DEA39DF459FD89839D064F67F1A10301_41</vt:lpwstr>
  </property>
</Properties>
</file>