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F8FE7">
      <w:pPr>
        <w:spacing w:line="360" w:lineRule="auto"/>
        <w:rPr>
          <w:rFonts w:hint="default" w:ascii="Times New Roman" w:hAnsi="Times New Roman" w:eastAsia="黑体"/>
          <w:sz w:val="32"/>
          <w:lang w:val="en-US"/>
        </w:rPr>
      </w:pPr>
      <w:r>
        <w:rPr>
          <w:rFonts w:ascii="Times New Roman" w:hAnsi="Times New Roman" w:eastAsia="黑体"/>
          <w:sz w:val="32"/>
        </w:rPr>
        <w:t>附件</w:t>
      </w:r>
      <w:r>
        <w:rPr>
          <w:rFonts w:hint="default" w:ascii="黑体" w:hAnsi="黑体" w:eastAsia="黑体" w:cs="黑体"/>
          <w:sz w:val="32"/>
          <w:szCs w:val="32"/>
          <w:lang w:val="en-US" w:eastAsia="zh-CN"/>
        </w:rPr>
        <w:t>1</w:t>
      </w:r>
    </w:p>
    <w:p w14:paraId="0CA34F7B">
      <w:pPr>
        <w:spacing w:before="156" w:beforeLines="50" w:line="560" w:lineRule="exact"/>
        <w:jc w:val="both"/>
        <w:rPr>
          <w:rFonts w:hint="eastAsia" w:ascii="Times New Roman" w:hAnsi="Times New Roman" w:eastAsia="方正小标宋简体"/>
          <w:sz w:val="44"/>
          <w:szCs w:val="44"/>
        </w:rPr>
      </w:pPr>
    </w:p>
    <w:p w14:paraId="5140AAB3">
      <w:pPr>
        <w:spacing w:before="156" w:beforeLines="50" w:line="560" w:lineRule="exact"/>
        <w:jc w:val="center"/>
        <w:rPr>
          <w:rFonts w:hint="eastAsia" w:ascii="Times New Roman" w:hAnsi="Times New Roman" w:eastAsia="方正小标宋简体"/>
          <w:w w:val="97"/>
          <w:sz w:val="44"/>
          <w:szCs w:val="44"/>
        </w:rPr>
      </w:pPr>
      <w:r>
        <w:rPr>
          <w:rFonts w:hint="eastAsia" w:ascii="Times New Roman" w:hAnsi="Times New Roman" w:eastAsia="方正小标宋简体"/>
          <w:w w:val="97"/>
          <w:sz w:val="44"/>
          <w:szCs w:val="44"/>
        </w:rPr>
        <w:t>康复类数字疗法软件产品分类界定指导原则</w:t>
      </w:r>
    </w:p>
    <w:p w14:paraId="672B543F">
      <w:pPr>
        <w:spacing w:before="156" w:beforeLines="50"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bookmarkStart w:id="2" w:name="_GoBack"/>
      <w:bookmarkEnd w:id="2"/>
    </w:p>
    <w:p w14:paraId="64C66104">
      <w:pPr>
        <w:spacing w:line="560" w:lineRule="exact"/>
        <w:ind w:firstLine="640" w:firstLineChars="200"/>
        <w:rPr>
          <w:rFonts w:ascii="Times New Roman" w:hAnsi="Times New Roman" w:eastAsia="黑体"/>
          <w:color w:val="000000"/>
          <w:sz w:val="32"/>
          <w:szCs w:val="32"/>
        </w:rPr>
      </w:pPr>
    </w:p>
    <w:p w14:paraId="24E9E86E">
      <w:pPr>
        <w:spacing w:line="56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一、</w:t>
      </w:r>
      <w:r>
        <w:rPr>
          <w:rFonts w:hint="eastAsia" w:ascii="Times New Roman" w:hAnsi="Times New Roman" w:eastAsia="黑体"/>
          <w:color w:val="000000"/>
          <w:sz w:val="32"/>
          <w:szCs w:val="32"/>
        </w:rPr>
        <w:t>目的</w:t>
      </w:r>
    </w:p>
    <w:p w14:paraId="04380A59">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为指导康复类数字疗法软件产品管理属性和管理类别判定，根据《医疗器械监督管理条例》《医疗器械分类规则》《医疗器械分类目录》等，制定本</w:t>
      </w:r>
      <w:r>
        <w:rPr>
          <w:rFonts w:hint="eastAsia" w:ascii="Times New Roman" w:hAnsi="Times New Roman" w:eastAsia="仿宋_GB2312"/>
          <w:color w:val="000000"/>
          <w:sz w:val="32"/>
          <w:szCs w:val="32"/>
          <w:lang w:eastAsia="zh-CN"/>
        </w:rPr>
        <w:t>指导</w:t>
      </w:r>
      <w:r>
        <w:rPr>
          <w:rFonts w:hint="eastAsia" w:ascii="Times New Roman" w:hAnsi="Times New Roman" w:eastAsia="仿宋_GB2312"/>
          <w:color w:val="000000"/>
          <w:sz w:val="32"/>
          <w:szCs w:val="32"/>
        </w:rPr>
        <w:t>原则。</w:t>
      </w:r>
    </w:p>
    <w:p w14:paraId="1DC62202">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w:t>
      </w:r>
      <w:r>
        <w:rPr>
          <w:rFonts w:hint="eastAsia" w:ascii="Times New Roman" w:hAnsi="Times New Roman" w:eastAsia="黑体"/>
          <w:color w:val="000000"/>
          <w:sz w:val="32"/>
          <w:szCs w:val="32"/>
        </w:rPr>
        <w:t>范围</w:t>
      </w:r>
    </w:p>
    <w:p w14:paraId="072CE644">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w:t>
      </w:r>
      <w:r>
        <w:rPr>
          <w:rFonts w:hint="eastAsia" w:ascii="Times New Roman" w:hAnsi="Times New Roman" w:eastAsia="仿宋_GB2312"/>
          <w:color w:val="000000"/>
          <w:sz w:val="32"/>
          <w:szCs w:val="32"/>
          <w:lang w:eastAsia="zh-CN"/>
        </w:rPr>
        <w:t>指导</w:t>
      </w:r>
      <w:r>
        <w:rPr>
          <w:rFonts w:hint="eastAsia" w:ascii="Times New Roman" w:hAnsi="Times New Roman" w:eastAsia="仿宋_GB2312"/>
          <w:color w:val="000000"/>
          <w:sz w:val="32"/>
          <w:szCs w:val="32"/>
        </w:rPr>
        <w:t>原则适用于</w:t>
      </w:r>
      <w:r>
        <w:rPr>
          <w:rFonts w:ascii="Times New Roman" w:hAnsi="Times New Roman" w:eastAsia="仿宋_GB2312"/>
          <w:color w:val="000000"/>
          <w:sz w:val="32"/>
          <w:szCs w:val="32"/>
        </w:rPr>
        <w:t>采用数字技术，实现</w:t>
      </w:r>
      <w:r>
        <w:rPr>
          <w:rFonts w:hint="eastAsia" w:ascii="Times New Roman" w:hAnsi="Times New Roman" w:eastAsia="仿宋_GB2312"/>
          <w:color w:val="000000"/>
          <w:sz w:val="32"/>
          <w:szCs w:val="32"/>
        </w:rPr>
        <w:t>患者功能障碍的缓解、患者功能缺失的弥补或重建等用途的数字疗法</w:t>
      </w:r>
      <w:r>
        <w:rPr>
          <w:rFonts w:ascii="Times New Roman" w:hAnsi="Times New Roman" w:eastAsia="仿宋_GB2312"/>
          <w:color w:val="000000"/>
          <w:sz w:val="32"/>
          <w:szCs w:val="32"/>
        </w:rPr>
        <w:t>软件产品。该类</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的核心功能是康复</w:t>
      </w:r>
      <w:r>
        <w:rPr>
          <w:rFonts w:hint="eastAsia" w:ascii="Times New Roman" w:hAnsi="Times New Roman" w:eastAsia="仿宋_GB2312"/>
          <w:color w:val="000000"/>
          <w:sz w:val="32"/>
          <w:szCs w:val="32"/>
        </w:rPr>
        <w:t>训练</w:t>
      </w:r>
      <w:r>
        <w:rPr>
          <w:rFonts w:ascii="Times New Roman" w:hAnsi="Times New Roman" w:eastAsia="仿宋_GB2312"/>
          <w:color w:val="000000"/>
          <w:sz w:val="32"/>
          <w:szCs w:val="32"/>
        </w:rPr>
        <w:t>，预防、</w:t>
      </w:r>
      <w:r>
        <w:rPr>
          <w:rFonts w:hint="eastAsia" w:ascii="Times New Roman" w:hAnsi="Times New Roman" w:eastAsia="仿宋_GB2312"/>
          <w:color w:val="000000"/>
          <w:sz w:val="32"/>
          <w:szCs w:val="32"/>
        </w:rPr>
        <w:t>评估、筛查、</w:t>
      </w:r>
      <w:r>
        <w:rPr>
          <w:rFonts w:ascii="Times New Roman" w:hAnsi="Times New Roman" w:eastAsia="仿宋_GB2312"/>
          <w:color w:val="000000"/>
          <w:sz w:val="32"/>
          <w:szCs w:val="32"/>
        </w:rPr>
        <w:t>诊断</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可作为</w:t>
      </w:r>
      <w:r>
        <w:rPr>
          <w:rFonts w:hint="eastAsia" w:ascii="Times New Roman" w:hAnsi="Times New Roman" w:eastAsia="仿宋_GB2312"/>
          <w:color w:val="000000"/>
          <w:sz w:val="32"/>
          <w:szCs w:val="32"/>
        </w:rPr>
        <w:t>其辅助功能</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此类</w:t>
      </w:r>
      <w:r>
        <w:rPr>
          <w:rFonts w:ascii="Times New Roman" w:hAnsi="Times New Roman" w:eastAsia="仿宋_GB2312"/>
          <w:color w:val="000000"/>
          <w:sz w:val="32"/>
          <w:szCs w:val="32"/>
        </w:rPr>
        <w:t>产品</w:t>
      </w:r>
      <w:r>
        <w:rPr>
          <w:rFonts w:hint="eastAsia" w:ascii="Times New Roman" w:hAnsi="Times New Roman" w:eastAsia="仿宋_GB2312"/>
          <w:color w:val="000000"/>
          <w:sz w:val="32"/>
          <w:szCs w:val="32"/>
        </w:rPr>
        <w:t>可纳入</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医疗器械</w:t>
      </w:r>
      <w:r>
        <w:rPr>
          <w:rFonts w:ascii="Times New Roman" w:hAnsi="Times New Roman" w:eastAsia="仿宋_GB2312"/>
          <w:color w:val="000000"/>
          <w:sz w:val="32"/>
          <w:szCs w:val="32"/>
        </w:rPr>
        <w:t>分类目录》</w:t>
      </w:r>
      <w:r>
        <w:rPr>
          <w:rFonts w:hint="eastAsia" w:ascii="Times New Roman" w:hAnsi="Times New Roman" w:eastAsia="仿宋_GB2312"/>
          <w:color w:val="000000"/>
          <w:sz w:val="32"/>
          <w:szCs w:val="32"/>
        </w:rPr>
        <w:t>中的“21</w:t>
      </w:r>
      <w:r>
        <w:rPr>
          <w:rFonts w:ascii="Times New Roman" w:hAnsi="Times New Roman" w:eastAsia="仿宋_GB2312"/>
          <w:color w:val="000000"/>
          <w:sz w:val="32"/>
          <w:szCs w:val="32"/>
        </w:rPr>
        <w:t>-06-</w:t>
      </w:r>
      <w:r>
        <w:rPr>
          <w:rFonts w:hint="eastAsia" w:ascii="Times New Roman" w:hAnsi="Times New Roman" w:eastAsia="仿宋_GB2312"/>
          <w:color w:val="000000"/>
          <w:sz w:val="32"/>
          <w:szCs w:val="32"/>
        </w:rPr>
        <w:t>01康复训练软件”</w:t>
      </w:r>
      <w:r>
        <w:rPr>
          <w:rFonts w:ascii="Times New Roman" w:hAnsi="Times New Roman" w:eastAsia="仿宋_GB2312"/>
          <w:color w:val="000000"/>
          <w:sz w:val="32"/>
          <w:szCs w:val="32"/>
        </w:rPr>
        <w:t>。</w:t>
      </w:r>
    </w:p>
    <w:p w14:paraId="675ECE17">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w:t>
      </w:r>
      <w:r>
        <w:rPr>
          <w:rFonts w:hint="eastAsia" w:ascii="Times New Roman" w:hAnsi="Times New Roman" w:eastAsia="仿宋_GB2312"/>
          <w:color w:val="000000"/>
          <w:sz w:val="32"/>
          <w:szCs w:val="32"/>
          <w:lang w:eastAsia="zh-CN"/>
        </w:rPr>
        <w:t>指导</w:t>
      </w:r>
      <w:r>
        <w:rPr>
          <w:rFonts w:hint="eastAsia" w:ascii="Times New Roman" w:hAnsi="Times New Roman" w:eastAsia="仿宋_GB2312"/>
          <w:color w:val="000000"/>
          <w:sz w:val="32"/>
          <w:szCs w:val="32"/>
        </w:rPr>
        <w:t>原则不适用于慢性病管理、疼痛缓解、精神或心理疾病治疗等非康复训练领域</w:t>
      </w:r>
      <w:r>
        <w:rPr>
          <w:rFonts w:hint="eastAsia" w:ascii="Times New Roman" w:hAnsi="Times New Roman" w:eastAsia="仿宋_GB2312"/>
          <w:color w:val="000000"/>
          <w:sz w:val="32"/>
          <w:szCs w:val="32"/>
          <w:lang w:eastAsia="zh-CN"/>
        </w:rPr>
        <w:t>数字疗法软件产品</w:t>
      </w:r>
      <w:r>
        <w:rPr>
          <w:rFonts w:hint="eastAsia" w:ascii="Times New Roman" w:hAnsi="Times New Roman" w:eastAsia="仿宋_GB2312"/>
          <w:color w:val="000000"/>
          <w:sz w:val="32"/>
          <w:szCs w:val="32"/>
        </w:rPr>
        <w:t>。</w:t>
      </w:r>
    </w:p>
    <w:p w14:paraId="2308428F">
      <w:pPr>
        <w:widowControl/>
        <w:adjustRightInd w:val="0"/>
        <w:snapToGrid w:val="0"/>
        <w:spacing w:line="560" w:lineRule="exact"/>
        <w:ind w:firstLine="560" w:firstLineChars="200"/>
        <w:rPr>
          <w:rFonts w:hint="default" w:ascii="Times New Roman" w:hAnsi="Times New Roman" w:eastAsia="楷体_GB2312" w:cs="Times New Roman"/>
          <w:color w:val="000000"/>
          <w:sz w:val="28"/>
          <w:szCs w:val="28"/>
          <w:lang w:val="en"/>
        </w:rPr>
      </w:pPr>
      <w:r>
        <w:rPr>
          <w:rFonts w:hint="default" w:ascii="Times New Roman" w:hAnsi="Times New Roman" w:eastAsia="楷体_GB2312" w:cs="Times New Roman"/>
          <w:sz w:val="28"/>
          <w:szCs w:val="28"/>
          <w:lang w:eastAsia="zh-CN"/>
        </w:rPr>
        <w:t>注：根据</w:t>
      </w:r>
      <w:r>
        <w:rPr>
          <w:rFonts w:hint="default" w:ascii="Times New Roman" w:hAnsi="Times New Roman" w:eastAsia="楷体_GB2312" w:cs="Times New Roman"/>
          <w:sz w:val="28"/>
          <w:szCs w:val="28"/>
        </w:rPr>
        <w:t>ISO/TR 11147:2023《健康信息学 个性化数字健康 数字治疗健康软件系统》</w:t>
      </w:r>
      <w:r>
        <w:rPr>
          <w:rFonts w:hint="default"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rPr>
        <w:t>数字治疗健康软件系统是指通过生成和提供对患者健康具有明显积极治疗影响的医学干预，旨在治疗或缓解疾病、紊乱、病况或损伤的健康软件。目前可</w:t>
      </w:r>
      <w:r>
        <w:rPr>
          <w:rFonts w:hint="default" w:ascii="Times New Roman" w:hAnsi="Times New Roman" w:eastAsia="楷体_GB2312" w:cs="Times New Roman"/>
          <w:sz w:val="28"/>
          <w:szCs w:val="28"/>
          <w:lang w:eastAsia="zh-CN"/>
        </w:rPr>
        <w:t>参考</w:t>
      </w:r>
      <w:r>
        <w:rPr>
          <w:rFonts w:hint="default" w:ascii="Times New Roman" w:hAnsi="Times New Roman" w:eastAsia="楷体_GB2312" w:cs="Times New Roman"/>
          <w:sz w:val="28"/>
          <w:szCs w:val="28"/>
        </w:rPr>
        <w:t>该定义来判断是否属于数字疗法</w:t>
      </w:r>
      <w:r>
        <w:rPr>
          <w:rFonts w:hint="default" w:ascii="Times New Roman" w:hAnsi="Times New Roman" w:eastAsia="楷体_GB2312" w:cs="Times New Roman"/>
          <w:sz w:val="28"/>
          <w:szCs w:val="28"/>
          <w:lang w:eastAsia="zh-CN"/>
        </w:rPr>
        <w:t>软件</w:t>
      </w:r>
      <w:r>
        <w:rPr>
          <w:rFonts w:hint="default" w:ascii="Times New Roman" w:hAnsi="Times New Roman" w:eastAsia="楷体_GB2312" w:cs="Times New Roman"/>
          <w:sz w:val="28"/>
          <w:szCs w:val="28"/>
        </w:rPr>
        <w:t>产品。</w:t>
      </w:r>
    </w:p>
    <w:p w14:paraId="0BCEAAD2">
      <w:pPr>
        <w:spacing w:line="560" w:lineRule="exact"/>
        <w:ind w:firstLine="640" w:firstLineChars="200"/>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rPr>
        <w:t>三、管理</w:t>
      </w:r>
      <w:r>
        <w:rPr>
          <w:rFonts w:ascii="Times New Roman" w:hAnsi="Times New Roman" w:eastAsia="黑体"/>
          <w:color w:val="000000"/>
          <w:sz w:val="32"/>
          <w:szCs w:val="32"/>
        </w:rPr>
        <w:t>属性界定</w:t>
      </w:r>
      <w:r>
        <w:rPr>
          <w:rFonts w:hint="eastAsia" w:ascii="Times New Roman" w:hAnsi="Times New Roman" w:eastAsia="黑体"/>
          <w:color w:val="000000"/>
          <w:sz w:val="32"/>
          <w:szCs w:val="32"/>
          <w:lang w:eastAsia="zh-CN"/>
        </w:rPr>
        <w:t>原则</w:t>
      </w:r>
    </w:p>
    <w:p w14:paraId="73634F06">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（一）</w:t>
      </w:r>
      <w:r>
        <w:rPr>
          <w:rFonts w:hint="eastAsia" w:ascii="Times New Roman" w:hAnsi="Times New Roman" w:eastAsia="仿宋_GB2312"/>
          <w:color w:val="000000"/>
          <w:sz w:val="32"/>
          <w:szCs w:val="32"/>
        </w:rPr>
        <w:t>康复类数字疗法</w:t>
      </w:r>
      <w:r>
        <w:rPr>
          <w:rFonts w:ascii="Times New Roman" w:hAnsi="Times New Roman" w:eastAsia="仿宋_GB2312"/>
          <w:color w:val="000000"/>
          <w:sz w:val="32"/>
          <w:szCs w:val="32"/>
        </w:rPr>
        <w:t>软件</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须同时具备</w:t>
      </w:r>
      <w:r>
        <w:rPr>
          <w:rFonts w:hint="eastAsia" w:ascii="Times New Roman" w:hAnsi="Times New Roman" w:eastAsia="仿宋_GB2312"/>
          <w:color w:val="000000"/>
          <w:sz w:val="32"/>
          <w:szCs w:val="32"/>
        </w:rPr>
        <w:t>以下特性：</w:t>
      </w:r>
    </w:p>
    <w:p w14:paraId="03DE4D10">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1.向患者提供基于软件程序驱动的干预</w:t>
      </w:r>
      <w:r>
        <w:rPr>
          <w:rFonts w:ascii="Times New Roman" w:hAnsi="Times New Roman" w:eastAsia="仿宋_GB2312"/>
          <w:color w:val="000000"/>
          <w:sz w:val="32"/>
          <w:szCs w:val="32"/>
        </w:rPr>
        <w:t>措施</w:t>
      </w:r>
      <w:r>
        <w:rPr>
          <w:rFonts w:hint="eastAsia" w:ascii="Times New Roman" w:hAnsi="Times New Roman" w:eastAsia="仿宋_GB2312"/>
          <w:color w:val="000000"/>
          <w:sz w:val="32"/>
          <w:szCs w:val="32"/>
        </w:rPr>
        <w:t>，为疾病、损伤或生理结构缺陷所导致的功能障碍提供康复治疗</w:t>
      </w:r>
      <w:r>
        <w:rPr>
          <w:rFonts w:ascii="Times New Roman" w:hAnsi="Times New Roman" w:eastAsia="仿宋_GB2312"/>
          <w:color w:val="000000"/>
          <w:sz w:val="32"/>
          <w:szCs w:val="32"/>
        </w:rPr>
        <w:t>方案</w:t>
      </w:r>
      <w:r>
        <w:rPr>
          <w:rFonts w:hint="eastAsia" w:ascii="Times New Roman" w:hAnsi="Times New Roman" w:eastAsia="仿宋_GB2312"/>
          <w:color w:val="000000"/>
          <w:sz w:val="32"/>
          <w:szCs w:val="32"/>
        </w:rPr>
        <w:t>。</w:t>
      </w:r>
    </w:p>
    <w:p w14:paraId="3B300022">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具有明确的临床预期用途、使用场景、使用限制、</w:t>
      </w:r>
      <w:bookmarkStart w:id="0" w:name="hmcheck_f8bdf919f90a46d88b8f00ec1018a9e4"/>
      <w:r>
        <w:rPr>
          <w:rFonts w:hint="eastAsia" w:ascii="Times New Roman" w:hAnsi="Times New Roman" w:eastAsia="仿宋_GB2312"/>
          <w:color w:val="000000"/>
          <w:sz w:val="32"/>
          <w:szCs w:val="32"/>
        </w:rPr>
        <w:t>适应证</w:t>
      </w:r>
      <w:bookmarkEnd w:id="0"/>
      <w:bookmarkStart w:id="1" w:name="hmcheck_c6359100391f4ee28651baa5856f2c05"/>
      <w:r>
        <w:rPr>
          <w:rFonts w:hint="eastAsia" w:ascii="Times New Roman" w:hAnsi="Times New Roman" w:eastAsia="仿宋_GB2312"/>
          <w:color w:val="000000"/>
          <w:sz w:val="32"/>
          <w:szCs w:val="32"/>
        </w:rPr>
        <w:t>和禁忌证</w:t>
      </w:r>
      <w:bookmarkEnd w:id="1"/>
      <w:r>
        <w:rPr>
          <w:rFonts w:hint="eastAsia" w:ascii="Times New Roman" w:hAnsi="Times New Roman" w:eastAsia="仿宋_GB2312"/>
          <w:color w:val="000000"/>
          <w:sz w:val="32"/>
          <w:szCs w:val="32"/>
        </w:rPr>
        <w:t>。</w:t>
      </w:r>
    </w:p>
    <w:p w14:paraId="3C6E9B09">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基于循证医学证据，</w:t>
      </w:r>
      <w:r>
        <w:rPr>
          <w:rFonts w:ascii="Times New Roman" w:hAnsi="Times New Roman" w:eastAsia="仿宋_GB2312"/>
          <w:color w:val="000000"/>
          <w:sz w:val="32"/>
          <w:szCs w:val="32"/>
        </w:rPr>
        <w:t>遵循公认的康复医学理论</w:t>
      </w:r>
      <w:r>
        <w:rPr>
          <w:rFonts w:hint="eastAsia" w:ascii="Times New Roman" w:hAnsi="Times New Roman" w:eastAsia="仿宋_GB2312"/>
          <w:color w:val="000000"/>
          <w:sz w:val="32"/>
          <w:szCs w:val="32"/>
        </w:rPr>
        <w:t>，如临床指南、标准治疗方案、专家共识、临床研究等。</w:t>
      </w:r>
    </w:p>
    <w:p w14:paraId="08F698D6">
      <w:p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（二）</w:t>
      </w:r>
      <w:r>
        <w:rPr>
          <w:rFonts w:hint="eastAsia" w:ascii="仿宋_GB2312" w:hAnsi="仿宋_GB2312" w:eastAsia="仿宋_GB2312" w:cs="仿宋_GB2312"/>
          <w:color w:val="000000"/>
          <w:sz w:val="32"/>
          <w:szCs w:val="32"/>
        </w:rPr>
        <w:t>不属于康复类数字疗法软件产品的</w:t>
      </w:r>
      <w:r>
        <w:rPr>
          <w:rFonts w:hint="eastAsia" w:ascii="仿宋_GB2312" w:hAnsi="仿宋_GB2312" w:eastAsia="仿宋_GB2312" w:cs="仿宋_GB2312"/>
          <w:color w:val="000000"/>
          <w:sz w:val="32"/>
          <w:szCs w:val="32"/>
          <w:lang w:eastAsia="zh-CN"/>
        </w:rPr>
        <w:t>情形：</w:t>
      </w:r>
    </w:p>
    <w:p w14:paraId="17FD7E3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仅作为个人健康管理（健康行为与生活方式管理等）的，不用于康复训练或治疗领域。</w:t>
      </w:r>
    </w:p>
    <w:p w14:paraId="0B20BD2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2.仅作为</w:t>
      </w:r>
      <w:r>
        <w:rPr>
          <w:rFonts w:hint="eastAsia" w:ascii="Times New Roman" w:hAnsi="Times New Roman" w:eastAsia="仿宋_GB2312"/>
          <w:color w:val="000000"/>
          <w:sz w:val="32"/>
          <w:szCs w:val="32"/>
        </w:rPr>
        <w:t>康复</w:t>
      </w:r>
      <w:r>
        <w:rPr>
          <w:rFonts w:ascii="Times New Roman" w:hAnsi="Times New Roman" w:eastAsia="仿宋_GB2312"/>
          <w:color w:val="000000"/>
          <w:sz w:val="32"/>
          <w:szCs w:val="32"/>
        </w:rPr>
        <w:t>训练时</w:t>
      </w:r>
      <w:r>
        <w:rPr>
          <w:rFonts w:hint="eastAsia" w:ascii="Times New Roman" w:hAnsi="Times New Roman" w:eastAsia="仿宋_GB2312"/>
          <w:color w:val="000000"/>
          <w:sz w:val="32"/>
          <w:szCs w:val="32"/>
        </w:rPr>
        <w:t>医患沟通交流</w:t>
      </w:r>
      <w:r>
        <w:rPr>
          <w:rFonts w:ascii="Times New Roman" w:hAnsi="Times New Roman" w:eastAsia="仿宋_GB2312"/>
          <w:color w:val="000000"/>
          <w:sz w:val="32"/>
          <w:szCs w:val="32"/>
        </w:rPr>
        <w:t>平台的，</w:t>
      </w:r>
      <w:r>
        <w:rPr>
          <w:rFonts w:hint="eastAsia" w:ascii="Times New Roman" w:hAnsi="Times New Roman" w:eastAsia="仿宋_GB2312"/>
          <w:color w:val="000000"/>
          <w:sz w:val="32"/>
          <w:szCs w:val="32"/>
        </w:rPr>
        <w:t>不为</w:t>
      </w:r>
      <w:r>
        <w:rPr>
          <w:rFonts w:ascii="Times New Roman" w:hAnsi="Times New Roman" w:eastAsia="仿宋_GB2312"/>
          <w:color w:val="000000"/>
          <w:sz w:val="32"/>
          <w:szCs w:val="32"/>
        </w:rPr>
        <w:t>患者提供</w:t>
      </w:r>
      <w:r>
        <w:rPr>
          <w:rFonts w:hint="eastAsia" w:ascii="Times New Roman" w:hAnsi="Times New Roman" w:eastAsia="仿宋_GB2312"/>
          <w:color w:val="000000"/>
          <w:sz w:val="32"/>
          <w:szCs w:val="32"/>
        </w:rPr>
        <w:t>康复训练或治疗</w:t>
      </w:r>
      <w:r>
        <w:rPr>
          <w:rFonts w:ascii="Times New Roman" w:hAnsi="Times New Roman" w:eastAsia="仿宋_GB2312"/>
          <w:color w:val="000000"/>
          <w:sz w:val="32"/>
          <w:szCs w:val="32"/>
        </w:rPr>
        <w:t>方案</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干预措施</w:t>
      </w:r>
      <w:r>
        <w:rPr>
          <w:rFonts w:hint="eastAsia" w:ascii="Times New Roman" w:hAnsi="Times New Roman" w:eastAsia="仿宋_GB2312"/>
          <w:color w:val="000000"/>
          <w:sz w:val="32"/>
          <w:szCs w:val="32"/>
        </w:rPr>
        <w:t>。</w:t>
      </w:r>
    </w:p>
    <w:p w14:paraId="2478C86E">
      <w:pPr>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3.仅作为</w:t>
      </w:r>
      <w:r>
        <w:rPr>
          <w:rFonts w:hint="eastAsia" w:ascii="Times New Roman" w:hAnsi="Times New Roman" w:eastAsia="仿宋_GB2312"/>
          <w:color w:val="000000"/>
          <w:sz w:val="32"/>
          <w:szCs w:val="32"/>
        </w:rPr>
        <w:t>康复领域</w:t>
      </w:r>
      <w:r>
        <w:rPr>
          <w:rFonts w:ascii="Times New Roman" w:hAnsi="Times New Roman" w:eastAsia="仿宋_GB2312"/>
          <w:color w:val="000000"/>
          <w:sz w:val="32"/>
          <w:szCs w:val="32"/>
        </w:rPr>
        <w:t>视频</w:t>
      </w:r>
      <w:r>
        <w:rPr>
          <w:rFonts w:hint="eastAsia" w:ascii="Times New Roman" w:hAnsi="Times New Roman" w:eastAsia="仿宋_GB2312"/>
          <w:color w:val="000000"/>
          <w:sz w:val="32"/>
          <w:szCs w:val="32"/>
        </w:rPr>
        <w:t>或</w:t>
      </w:r>
      <w:r>
        <w:rPr>
          <w:rFonts w:ascii="Times New Roman" w:hAnsi="Times New Roman" w:eastAsia="仿宋_GB2312"/>
          <w:color w:val="000000"/>
          <w:sz w:val="32"/>
          <w:szCs w:val="32"/>
        </w:rPr>
        <w:t>音乐播放</w:t>
      </w:r>
      <w:r>
        <w:rPr>
          <w:rFonts w:hint="eastAsia" w:ascii="Times New Roman" w:hAnsi="Times New Roman" w:eastAsia="仿宋_GB2312"/>
          <w:color w:val="000000"/>
          <w:sz w:val="32"/>
          <w:szCs w:val="32"/>
        </w:rPr>
        <w:t>平台用以播放公开</w:t>
      </w:r>
      <w:r>
        <w:rPr>
          <w:rFonts w:ascii="Times New Roman" w:hAnsi="Times New Roman" w:eastAsia="仿宋_GB2312"/>
          <w:color w:val="000000"/>
          <w:sz w:val="32"/>
          <w:szCs w:val="32"/>
        </w:rPr>
        <w:t>的音视频内容</w:t>
      </w:r>
      <w:r>
        <w:rPr>
          <w:rFonts w:hint="eastAsia" w:ascii="Times New Roman" w:hAnsi="Times New Roman" w:eastAsia="仿宋_GB2312"/>
          <w:color w:val="000000"/>
          <w:sz w:val="32"/>
          <w:szCs w:val="32"/>
        </w:rPr>
        <w:t>的，不是基于循证医学证据的。</w:t>
      </w:r>
    </w:p>
    <w:p w14:paraId="012B8E7B">
      <w:pPr>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仅具有</w:t>
      </w:r>
      <w:r>
        <w:rPr>
          <w:rFonts w:hint="eastAsia" w:ascii="Times New Roman" w:hAnsi="Times New Roman" w:eastAsia="仿宋_GB2312"/>
          <w:color w:val="000000"/>
          <w:sz w:val="32"/>
          <w:szCs w:val="32"/>
          <w:lang w:eastAsia="zh-CN"/>
        </w:rPr>
        <w:t>上述预期用途</w:t>
      </w:r>
      <w:r>
        <w:rPr>
          <w:rFonts w:ascii="Times New Roman" w:hAnsi="Times New Roman" w:eastAsia="仿宋_GB2312"/>
          <w:color w:val="000000"/>
          <w:sz w:val="32"/>
          <w:szCs w:val="32"/>
        </w:rPr>
        <w:t>的产品</w:t>
      </w:r>
      <w:r>
        <w:rPr>
          <w:rFonts w:hint="eastAsia" w:ascii="Times New Roman" w:hAnsi="Times New Roman" w:eastAsia="仿宋_GB2312"/>
          <w:color w:val="000000"/>
          <w:sz w:val="32"/>
          <w:szCs w:val="32"/>
        </w:rPr>
        <w:t>不</w:t>
      </w:r>
      <w:r>
        <w:rPr>
          <w:rFonts w:ascii="Times New Roman" w:hAnsi="Times New Roman" w:eastAsia="仿宋_GB2312"/>
          <w:color w:val="000000"/>
          <w:sz w:val="32"/>
          <w:szCs w:val="32"/>
        </w:rPr>
        <w:t>符合医疗器械</w:t>
      </w:r>
      <w:r>
        <w:rPr>
          <w:rFonts w:hint="eastAsia" w:ascii="Times New Roman" w:hAnsi="Times New Roman" w:eastAsia="仿宋_GB2312"/>
          <w:color w:val="000000"/>
          <w:sz w:val="32"/>
          <w:szCs w:val="32"/>
        </w:rPr>
        <w:t>定义</w:t>
      </w:r>
      <w:r>
        <w:rPr>
          <w:rFonts w:ascii="Times New Roman" w:hAnsi="Times New Roman" w:eastAsia="仿宋_GB2312"/>
          <w:color w:val="000000"/>
          <w:sz w:val="32"/>
          <w:szCs w:val="32"/>
        </w:rPr>
        <w:t>，不</w:t>
      </w:r>
      <w:r>
        <w:rPr>
          <w:rFonts w:hint="eastAsia" w:ascii="Times New Roman" w:hAnsi="Times New Roman" w:eastAsia="仿宋_GB2312"/>
          <w:color w:val="000000"/>
          <w:sz w:val="32"/>
          <w:szCs w:val="32"/>
        </w:rPr>
        <w:t>属于医疗器械</w:t>
      </w:r>
      <w:r>
        <w:rPr>
          <w:rFonts w:ascii="Times New Roman" w:hAnsi="Times New Roman" w:eastAsia="仿宋_GB2312"/>
          <w:color w:val="000000"/>
          <w:sz w:val="32"/>
          <w:szCs w:val="32"/>
        </w:rPr>
        <w:t>。</w:t>
      </w:r>
    </w:p>
    <w:p w14:paraId="1C5DC10A">
      <w:pPr>
        <w:spacing w:line="560" w:lineRule="exact"/>
        <w:ind w:firstLine="640" w:firstLineChars="200"/>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w:t>
      </w:r>
      <w:r>
        <w:rPr>
          <w:rFonts w:hint="eastAsia" w:ascii="Times New Roman" w:hAnsi="Times New Roman" w:eastAsia="黑体"/>
          <w:color w:val="000000"/>
          <w:sz w:val="32"/>
          <w:szCs w:val="32"/>
        </w:rPr>
        <w:t>管理类别判定</w:t>
      </w:r>
      <w:r>
        <w:rPr>
          <w:rFonts w:hint="eastAsia" w:ascii="Times New Roman" w:hAnsi="Times New Roman" w:eastAsia="黑体"/>
          <w:color w:val="000000"/>
          <w:sz w:val="32"/>
          <w:szCs w:val="32"/>
          <w:lang w:eastAsia="zh-CN"/>
        </w:rPr>
        <w:t>原则</w:t>
      </w:r>
    </w:p>
    <w:p w14:paraId="5EAB78D0">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作为医疗器械管理的</w:t>
      </w:r>
      <w:r>
        <w:rPr>
          <w:rFonts w:hint="eastAsia" w:ascii="Times New Roman" w:hAnsi="Times New Roman" w:eastAsia="仿宋_GB2312"/>
          <w:color w:val="000000"/>
          <w:sz w:val="32"/>
          <w:szCs w:val="32"/>
        </w:rPr>
        <w:t>康复类数字疗法软件的管理类别需要结合其预期用途、算法成熟度等因素综合判定。</w:t>
      </w:r>
    </w:p>
    <w:p w14:paraId="5C361C54">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hint="eastAsia" w:ascii="Times New Roman" w:hAnsi="Times New Roman" w:eastAsia="仿宋_GB2312"/>
          <w:color w:val="000000"/>
          <w:sz w:val="32"/>
          <w:szCs w:val="32"/>
          <w:lang w:eastAsia="zh-CN"/>
        </w:rPr>
        <w:t>如产品</w:t>
      </w:r>
      <w:r>
        <w:rPr>
          <w:rFonts w:hint="eastAsia" w:ascii="Times New Roman" w:hAnsi="Times New Roman" w:eastAsia="仿宋_GB2312"/>
          <w:color w:val="000000"/>
          <w:sz w:val="32"/>
          <w:szCs w:val="32"/>
        </w:rPr>
        <w:t>预期用</w:t>
      </w:r>
      <w:r>
        <w:rPr>
          <w:rFonts w:ascii="Times New Roman" w:hAnsi="Times New Roman" w:eastAsia="仿宋_GB2312"/>
          <w:color w:val="000000"/>
          <w:sz w:val="32"/>
          <w:szCs w:val="32"/>
        </w:rPr>
        <w:t>于</w:t>
      </w:r>
      <w:r>
        <w:rPr>
          <w:rFonts w:hint="eastAsia" w:ascii="Times New Roman" w:hAnsi="Times New Roman" w:eastAsia="仿宋_GB2312"/>
          <w:color w:val="000000"/>
          <w:sz w:val="32"/>
          <w:szCs w:val="32"/>
        </w:rPr>
        <w:t>言语、视觉和听觉障碍的康复训练，</w:t>
      </w:r>
      <w:r>
        <w:rPr>
          <w:rFonts w:ascii="Times New Roman" w:hAnsi="Times New Roman" w:eastAsia="仿宋_GB2312"/>
          <w:color w:val="000000"/>
          <w:sz w:val="32"/>
          <w:szCs w:val="32"/>
        </w:rPr>
        <w:t>或运动康复，按照第二类医疗器械管理。</w:t>
      </w:r>
    </w:p>
    <w:p w14:paraId="12B3D97F">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w:t>
      </w:r>
      <w:r>
        <w:rPr>
          <w:rFonts w:hint="eastAsia" w:ascii="Times New Roman" w:hAnsi="Times New Roman" w:eastAsia="仿宋_GB2312"/>
          <w:color w:val="000000"/>
          <w:sz w:val="32"/>
          <w:szCs w:val="32"/>
          <w:lang w:eastAsia="zh-CN"/>
        </w:rPr>
        <w:t>如产品</w:t>
      </w:r>
      <w:r>
        <w:rPr>
          <w:rFonts w:hint="eastAsia" w:ascii="Times New Roman" w:hAnsi="Times New Roman" w:eastAsia="仿宋_GB2312"/>
          <w:color w:val="000000"/>
          <w:sz w:val="32"/>
          <w:szCs w:val="32"/>
        </w:rPr>
        <w:t>预期用于中风、脑卒中等器质性病变引起的轻度认知障碍的康复训练，不涉及精神、心理疾病的辅助治疗，按照第二类医疗器械管理。</w:t>
      </w:r>
    </w:p>
    <w:p w14:paraId="1758E4E8">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hint="eastAsia" w:ascii="Times New Roman" w:hAnsi="Times New Roman" w:eastAsia="仿宋_GB2312"/>
          <w:color w:val="000000"/>
          <w:sz w:val="32"/>
          <w:szCs w:val="32"/>
          <w:lang w:eastAsia="zh-CN"/>
        </w:rPr>
        <w:t>如产品</w:t>
      </w:r>
      <w:r>
        <w:rPr>
          <w:rFonts w:ascii="Times New Roman" w:hAnsi="Times New Roman" w:eastAsia="仿宋_GB2312"/>
          <w:color w:val="000000"/>
          <w:sz w:val="32"/>
          <w:szCs w:val="32"/>
        </w:rPr>
        <w:t>采用人工智能</w:t>
      </w:r>
      <w:r>
        <w:rPr>
          <w:rFonts w:hint="eastAsia" w:ascii="Times New Roman" w:hAnsi="Times New Roman" w:eastAsia="仿宋_GB2312"/>
          <w:color w:val="000000"/>
          <w:sz w:val="32"/>
          <w:szCs w:val="32"/>
        </w:rPr>
        <w:t>技术实现其预期用途</w:t>
      </w:r>
      <w:r>
        <w:rPr>
          <w:rFonts w:ascii="Times New Roman" w:hAnsi="Times New Roman" w:eastAsia="仿宋_GB2312"/>
          <w:color w:val="000000"/>
          <w:sz w:val="32"/>
          <w:szCs w:val="32"/>
        </w:rPr>
        <w:t>时，</w:t>
      </w:r>
      <w:r>
        <w:rPr>
          <w:rFonts w:hint="eastAsia" w:ascii="Times New Roman" w:hAnsi="Times New Roman" w:eastAsia="仿宋_GB2312"/>
          <w:color w:val="000000"/>
          <w:sz w:val="32"/>
          <w:szCs w:val="32"/>
        </w:rPr>
        <w:t>参照</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人工智能医用软件产品分类界定指导原则</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执行</w:t>
      </w:r>
      <w:r>
        <w:rPr>
          <w:rFonts w:ascii="Times New Roman" w:hAnsi="Times New Roman" w:eastAsia="仿宋_GB2312"/>
          <w:color w:val="000000"/>
          <w:sz w:val="32"/>
          <w:szCs w:val="32"/>
        </w:rPr>
        <w:t>。</w:t>
      </w:r>
    </w:p>
    <w:p w14:paraId="02925B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0128A"/>
    <w:rsid w:val="6790128A"/>
    <w:rsid w:val="7D43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936</Words>
  <Characters>963</Characters>
  <Lines>0</Lines>
  <Paragraphs>0</Paragraphs>
  <TotalTime>1</TotalTime>
  <ScaleCrop>false</ScaleCrop>
  <LinksUpToDate>false</LinksUpToDate>
  <CharactersWithSpaces>966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2025-02-12T09:04:00Z</dcterms:created>
  <dc:creator>新祺</dc:creator>
  <cp:lastModifiedBy>新祺</cp:lastModifiedBy>
  <dcterms:modified xsi:type="dcterms:W3CDTF">2025-02-12T09:16:26Z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7586A9516884460CA9ECFB4106AF65FE_11</vt:lpwstr>
  </property>
  <property fmtid="{D5CDD505-2E9C-101B-9397-08002B2CF9AE}" pid="4" name="KSOTemplateDocerSaveRecord">
    <vt:lpwstr>eyJoZGlkIjoiNzUzMjcxYjI3MDRjMDIwZmVmYTgzNGM3MjE3OGJkMDMiLCJ1c2VySWQiOiIyNzgyMDExNzcifQ==</vt:lpwstr>
  </property>
</Properties>
</file>