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3CD" w:rsidRDefault="00B323CD" w:rsidP="00B323CD">
      <w:pPr>
        <w:rPr>
          <w:rFonts w:eastAsia="黑体"/>
          <w:sz w:val="32"/>
          <w:szCs w:val="32"/>
        </w:rPr>
      </w:pPr>
      <w:r>
        <w:rPr>
          <w:rFonts w:eastAsia="黑体" w:hint="eastAsia"/>
          <w:sz w:val="32"/>
          <w:szCs w:val="32"/>
        </w:rPr>
        <w:t>附件</w:t>
      </w:r>
      <w:r>
        <w:rPr>
          <w:rFonts w:eastAsia="黑体"/>
          <w:sz w:val="32"/>
          <w:szCs w:val="32"/>
        </w:rPr>
        <w:t>1</w:t>
      </w:r>
    </w:p>
    <w:p w:rsidR="00B323CD" w:rsidRDefault="00B323CD" w:rsidP="00B323CD">
      <w:pPr>
        <w:adjustRightInd w:val="0"/>
        <w:snapToGrid w:val="0"/>
        <w:spacing w:line="360" w:lineRule="auto"/>
        <w:jc w:val="center"/>
        <w:rPr>
          <w:rFonts w:eastAsia="方正小标宋简体"/>
          <w:sz w:val="48"/>
          <w:szCs w:val="48"/>
        </w:rPr>
      </w:pPr>
    </w:p>
    <w:p w:rsidR="00B323CD" w:rsidRDefault="00B323CD" w:rsidP="00B323CD">
      <w:pPr>
        <w:adjustRightInd w:val="0"/>
        <w:snapToGrid w:val="0"/>
        <w:spacing w:line="360" w:lineRule="auto"/>
        <w:jc w:val="center"/>
        <w:rPr>
          <w:rFonts w:eastAsia="方正小标宋简体"/>
          <w:sz w:val="48"/>
          <w:szCs w:val="48"/>
        </w:rPr>
      </w:pPr>
    </w:p>
    <w:p w:rsidR="00B323CD" w:rsidRDefault="00B323CD" w:rsidP="00B323CD">
      <w:pPr>
        <w:adjustRightInd w:val="0"/>
        <w:snapToGrid w:val="0"/>
        <w:spacing w:line="360" w:lineRule="auto"/>
        <w:jc w:val="center"/>
        <w:rPr>
          <w:rFonts w:eastAsia="方正小标宋简体"/>
          <w:sz w:val="48"/>
          <w:szCs w:val="48"/>
        </w:rPr>
      </w:pPr>
    </w:p>
    <w:p w:rsidR="00B323CD" w:rsidRDefault="00B323CD" w:rsidP="00B323CD">
      <w:pPr>
        <w:adjustRightInd w:val="0"/>
        <w:snapToGrid w:val="0"/>
        <w:spacing w:line="360" w:lineRule="auto"/>
        <w:jc w:val="center"/>
        <w:rPr>
          <w:rFonts w:eastAsia="方正小标宋简体"/>
          <w:sz w:val="48"/>
          <w:szCs w:val="48"/>
        </w:rPr>
      </w:pPr>
    </w:p>
    <w:p w:rsidR="00B323CD" w:rsidRDefault="00B323CD" w:rsidP="00B323CD">
      <w:pPr>
        <w:adjustRightInd w:val="0"/>
        <w:snapToGrid w:val="0"/>
        <w:spacing w:line="360" w:lineRule="auto"/>
        <w:jc w:val="center"/>
        <w:rPr>
          <w:rFonts w:eastAsia="方正小标宋简体"/>
          <w:sz w:val="48"/>
          <w:szCs w:val="48"/>
        </w:rPr>
      </w:pPr>
      <w:r>
        <w:rPr>
          <w:rFonts w:eastAsia="方正小标宋简体" w:hint="eastAsia"/>
          <w:sz w:val="48"/>
          <w:szCs w:val="48"/>
        </w:rPr>
        <w:t>同名同方药研究技术指导原则</w:t>
      </w:r>
    </w:p>
    <w:p w:rsidR="00B323CD" w:rsidRDefault="00B323CD" w:rsidP="00B323CD">
      <w:pPr>
        <w:adjustRightInd w:val="0"/>
        <w:snapToGrid w:val="0"/>
        <w:spacing w:line="360" w:lineRule="auto"/>
        <w:jc w:val="center"/>
        <w:rPr>
          <w:rFonts w:eastAsia="方正小标宋简体"/>
          <w:sz w:val="48"/>
          <w:szCs w:val="48"/>
        </w:rPr>
      </w:pPr>
      <w:r>
        <w:rPr>
          <w:rFonts w:eastAsia="方正小标宋简体" w:hint="eastAsia"/>
          <w:sz w:val="48"/>
          <w:szCs w:val="48"/>
        </w:rPr>
        <w:t>（征求意见稿）</w:t>
      </w: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方正小标宋简体"/>
          <w:sz w:val="36"/>
          <w:szCs w:val="32"/>
        </w:rPr>
      </w:pPr>
    </w:p>
    <w:p w:rsidR="00B323CD" w:rsidRDefault="00B323CD" w:rsidP="00B323CD">
      <w:pPr>
        <w:adjustRightInd w:val="0"/>
        <w:snapToGrid w:val="0"/>
        <w:spacing w:line="360" w:lineRule="auto"/>
        <w:jc w:val="center"/>
        <w:rPr>
          <w:rFonts w:eastAsia="黑体"/>
          <w:bCs/>
          <w:sz w:val="32"/>
          <w:szCs w:val="32"/>
        </w:rPr>
        <w:sectPr w:rsidR="00B323CD" w:rsidSect="00B323CD">
          <w:footerReference w:type="default" r:id="rId6"/>
          <w:footerReference w:type="first" r:id="rId7"/>
          <w:pgSz w:w="11906" w:h="16838"/>
          <w:pgMar w:top="1440" w:right="1800" w:bottom="1440" w:left="1800" w:header="851" w:footer="992" w:gutter="0"/>
          <w:pgNumType w:start="0"/>
          <w:cols w:space="720"/>
          <w:titlePg/>
          <w:docGrid w:type="lines" w:linePitch="312"/>
        </w:sectPr>
      </w:pPr>
      <w:r>
        <w:rPr>
          <w:rFonts w:eastAsia="黑体"/>
          <w:bCs/>
          <w:sz w:val="32"/>
          <w:szCs w:val="32"/>
        </w:rPr>
        <w:t>2022</w:t>
      </w:r>
      <w:r>
        <w:rPr>
          <w:rFonts w:eastAsia="黑体" w:hint="eastAsia"/>
          <w:bCs/>
          <w:sz w:val="32"/>
          <w:szCs w:val="32"/>
        </w:rPr>
        <w:t>年</w:t>
      </w:r>
      <w:r>
        <w:rPr>
          <w:rFonts w:eastAsia="黑体"/>
          <w:bCs/>
          <w:sz w:val="32"/>
          <w:szCs w:val="32"/>
        </w:rPr>
        <w:t>03</w:t>
      </w:r>
      <w:r>
        <w:rPr>
          <w:rFonts w:eastAsia="黑体" w:hint="eastAsia"/>
          <w:bCs/>
          <w:sz w:val="32"/>
          <w:szCs w:val="32"/>
        </w:rPr>
        <w:t>月</w:t>
      </w:r>
    </w:p>
    <w:p w:rsidR="00B323CD" w:rsidRDefault="00B323CD" w:rsidP="00B323CD">
      <w:pPr>
        <w:pStyle w:val="TOC1"/>
        <w:adjustRightInd w:val="0"/>
        <w:snapToGrid w:val="0"/>
        <w:spacing w:line="360" w:lineRule="auto"/>
        <w:rPr>
          <w:rFonts w:ascii="Times New Roman" w:eastAsia="方正小标宋简体" w:hAnsi="Times New Roman"/>
          <w:b w:val="0"/>
          <w:color w:val="auto"/>
          <w:sz w:val="36"/>
          <w:szCs w:val="36"/>
          <w:lang w:val="zh-CN"/>
        </w:rPr>
      </w:pPr>
    </w:p>
    <w:p w:rsidR="00B323CD" w:rsidRDefault="00B323CD" w:rsidP="00B323CD">
      <w:pPr>
        <w:pStyle w:val="TOC1"/>
        <w:adjustRightInd w:val="0"/>
        <w:snapToGrid w:val="0"/>
        <w:spacing w:line="360" w:lineRule="auto"/>
        <w:jc w:val="center"/>
        <w:rPr>
          <w:rFonts w:ascii="Times New Roman" w:eastAsia="方正小标宋简体" w:hAnsi="Times New Roman"/>
          <w:color w:val="auto"/>
          <w:sz w:val="36"/>
          <w:szCs w:val="36"/>
          <w:lang w:val="zh-CN"/>
        </w:rPr>
      </w:pPr>
      <w:r>
        <w:rPr>
          <w:rFonts w:ascii="Times New Roman" w:eastAsia="方正小标宋简体" w:hAnsi="Times New Roman" w:hint="eastAsia"/>
          <w:color w:val="auto"/>
          <w:sz w:val="36"/>
          <w:szCs w:val="36"/>
          <w:lang w:val="zh-CN"/>
        </w:rPr>
        <w:t>目</w:t>
      </w:r>
      <w:r>
        <w:rPr>
          <w:rFonts w:ascii="Times New Roman" w:eastAsia="方正小标宋简体" w:hAnsi="Times New Roman"/>
          <w:color w:val="auto"/>
          <w:sz w:val="36"/>
          <w:szCs w:val="36"/>
          <w:lang w:val="zh-CN"/>
        </w:rPr>
        <w:t xml:space="preserve">   </w:t>
      </w:r>
      <w:r>
        <w:rPr>
          <w:rFonts w:ascii="Times New Roman" w:eastAsia="方正小标宋简体" w:hAnsi="Times New Roman" w:hint="eastAsia"/>
          <w:color w:val="auto"/>
          <w:sz w:val="36"/>
          <w:szCs w:val="36"/>
          <w:lang w:val="zh-CN"/>
        </w:rPr>
        <w:t>录</w:t>
      </w:r>
    </w:p>
    <w:p w:rsidR="00B323CD" w:rsidRDefault="00B323CD" w:rsidP="00B323CD">
      <w:pPr>
        <w:pStyle w:val="11"/>
        <w:tabs>
          <w:tab w:val="right" w:leader="dot" w:pos="8296"/>
        </w:tabs>
        <w:rPr>
          <w:rFonts w:eastAsia="仿宋_GB2312"/>
          <w:noProof/>
          <w:sz w:val="32"/>
          <w:szCs w:val="32"/>
        </w:rPr>
      </w:pPr>
      <w:r>
        <w:rPr>
          <w:rFonts w:eastAsia="仿宋_GB2312"/>
          <w:sz w:val="32"/>
          <w:szCs w:val="32"/>
        </w:rPr>
        <w:fldChar w:fldCharType="begin"/>
      </w:r>
      <w:r>
        <w:rPr>
          <w:rFonts w:eastAsia="仿宋_GB2312"/>
          <w:sz w:val="32"/>
          <w:szCs w:val="32"/>
        </w:rPr>
        <w:instrText xml:space="preserve"> TOC \o "1-3" \h \z \u </w:instrText>
      </w:r>
      <w:r>
        <w:rPr>
          <w:rFonts w:eastAsia="仿宋_GB2312"/>
          <w:sz w:val="32"/>
          <w:szCs w:val="32"/>
        </w:rPr>
        <w:fldChar w:fldCharType="separate"/>
      </w:r>
      <w:hyperlink r:id="rId8" w:anchor="_Toc97014655" w:history="1">
        <w:r>
          <w:rPr>
            <w:rStyle w:val="a3"/>
            <w:rFonts w:eastAsia="仿宋_GB2312" w:hint="eastAsia"/>
            <w:noProof/>
            <w:sz w:val="32"/>
            <w:szCs w:val="32"/>
          </w:rPr>
          <w:t>一、概述</w:t>
        </w:r>
        <w:r>
          <w:rPr>
            <w:rStyle w:val="a3"/>
            <w:rFonts w:eastAsia="仿宋_GB2312"/>
            <w:noProof/>
            <w:sz w:val="32"/>
            <w:szCs w:val="32"/>
          </w:rPr>
          <w:tab/>
        </w:r>
        <w:r>
          <w:rPr>
            <w:rStyle w:val="a3"/>
            <w:rFonts w:eastAsia="仿宋_GB2312"/>
            <w:noProof/>
            <w:sz w:val="32"/>
            <w:szCs w:val="32"/>
          </w:rPr>
          <w:fldChar w:fldCharType="begin"/>
        </w:r>
        <w:r>
          <w:rPr>
            <w:rStyle w:val="a3"/>
            <w:rFonts w:eastAsia="仿宋_GB2312"/>
            <w:noProof/>
            <w:sz w:val="32"/>
            <w:szCs w:val="32"/>
          </w:rPr>
          <w:instrText xml:space="preserve"> PAGEREF _Toc97014655 \h </w:instrText>
        </w:r>
        <w:r>
          <w:rPr>
            <w:rStyle w:val="a3"/>
            <w:rFonts w:eastAsia="仿宋_GB2312"/>
            <w:noProof/>
            <w:sz w:val="32"/>
            <w:szCs w:val="32"/>
          </w:rPr>
        </w:r>
        <w:r>
          <w:rPr>
            <w:rStyle w:val="a3"/>
            <w:rFonts w:eastAsia="仿宋_GB2312"/>
            <w:noProof/>
            <w:sz w:val="32"/>
            <w:szCs w:val="32"/>
          </w:rPr>
          <w:fldChar w:fldCharType="separate"/>
        </w:r>
        <w:r>
          <w:rPr>
            <w:rStyle w:val="a3"/>
            <w:rFonts w:eastAsia="仿宋_GB2312"/>
            <w:noProof/>
            <w:sz w:val="32"/>
            <w:szCs w:val="32"/>
          </w:rPr>
          <w:t>1</w:t>
        </w:r>
        <w:r>
          <w:rPr>
            <w:rStyle w:val="a3"/>
            <w:rFonts w:eastAsia="仿宋_GB2312"/>
            <w:noProof/>
            <w:sz w:val="32"/>
            <w:szCs w:val="32"/>
          </w:rPr>
          <w:fldChar w:fldCharType="end"/>
        </w:r>
      </w:hyperlink>
    </w:p>
    <w:p w:rsidR="00B323CD" w:rsidRDefault="00826CAF" w:rsidP="00B323CD">
      <w:pPr>
        <w:pStyle w:val="11"/>
        <w:tabs>
          <w:tab w:val="right" w:leader="dot" w:pos="8296"/>
        </w:tabs>
        <w:rPr>
          <w:rFonts w:eastAsia="仿宋_GB2312"/>
          <w:noProof/>
          <w:sz w:val="32"/>
          <w:szCs w:val="32"/>
        </w:rPr>
      </w:pPr>
      <w:hyperlink r:id="rId9" w:anchor="_Toc97014656" w:history="1">
        <w:r w:rsidR="00B323CD">
          <w:rPr>
            <w:rStyle w:val="a3"/>
            <w:rFonts w:eastAsia="仿宋_GB2312" w:hint="eastAsia"/>
            <w:noProof/>
            <w:sz w:val="32"/>
            <w:szCs w:val="32"/>
          </w:rPr>
          <w:t>二、一般原则</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_Toc97014656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1</w:t>
        </w:r>
        <w:r w:rsidR="00B323CD">
          <w:rPr>
            <w:rStyle w:val="a3"/>
            <w:rFonts w:eastAsia="仿宋_GB2312"/>
            <w:noProof/>
            <w:sz w:val="32"/>
            <w:szCs w:val="32"/>
          </w:rPr>
          <w:fldChar w:fldCharType="end"/>
        </w:r>
      </w:hyperlink>
    </w:p>
    <w:p w:rsidR="00B323CD" w:rsidRDefault="00826CAF" w:rsidP="00B323CD">
      <w:pPr>
        <w:pStyle w:val="11"/>
        <w:tabs>
          <w:tab w:val="right" w:leader="dot" w:pos="8296"/>
        </w:tabs>
        <w:rPr>
          <w:rFonts w:eastAsia="仿宋_GB2312"/>
          <w:noProof/>
          <w:sz w:val="32"/>
          <w:szCs w:val="32"/>
        </w:rPr>
      </w:pPr>
      <w:hyperlink r:id="rId10" w:anchor="_Toc97014657" w:history="1">
        <w:r w:rsidR="00B323CD">
          <w:rPr>
            <w:rStyle w:val="a3"/>
            <w:rFonts w:eastAsia="仿宋_GB2312" w:hint="eastAsia"/>
            <w:noProof/>
            <w:sz w:val="32"/>
            <w:szCs w:val="32"/>
          </w:rPr>
          <w:t>三、对照药的选择</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_Toc97014657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2</w:t>
        </w:r>
        <w:r w:rsidR="00B323CD">
          <w:rPr>
            <w:rStyle w:val="a3"/>
            <w:rFonts w:eastAsia="仿宋_GB2312"/>
            <w:noProof/>
            <w:sz w:val="32"/>
            <w:szCs w:val="32"/>
          </w:rPr>
          <w:fldChar w:fldCharType="end"/>
        </w:r>
      </w:hyperlink>
    </w:p>
    <w:p w:rsidR="00B323CD" w:rsidRDefault="00826CAF" w:rsidP="00B323CD">
      <w:pPr>
        <w:pStyle w:val="11"/>
        <w:tabs>
          <w:tab w:val="right" w:leader="dot" w:pos="8296"/>
        </w:tabs>
        <w:rPr>
          <w:rFonts w:eastAsia="仿宋_GB2312"/>
          <w:noProof/>
          <w:sz w:val="32"/>
          <w:szCs w:val="32"/>
        </w:rPr>
      </w:pPr>
      <w:hyperlink r:id="rId11" w:anchor="_Toc97014658" w:history="1">
        <w:r w:rsidR="00B323CD">
          <w:rPr>
            <w:rStyle w:val="a3"/>
            <w:rFonts w:eastAsia="仿宋_GB2312" w:hint="eastAsia"/>
            <w:noProof/>
            <w:sz w:val="32"/>
            <w:szCs w:val="32"/>
          </w:rPr>
          <w:t>四、基本考虑</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_Toc97014658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3</w:t>
        </w:r>
        <w:r w:rsidR="00B323CD">
          <w:rPr>
            <w:rStyle w:val="a3"/>
            <w:rFonts w:eastAsia="仿宋_GB2312"/>
            <w:noProof/>
            <w:sz w:val="32"/>
            <w:szCs w:val="32"/>
          </w:rPr>
          <w:fldChar w:fldCharType="end"/>
        </w:r>
      </w:hyperlink>
    </w:p>
    <w:p w:rsidR="00B323CD" w:rsidRDefault="00826CAF" w:rsidP="00B323CD">
      <w:pPr>
        <w:pStyle w:val="11"/>
        <w:tabs>
          <w:tab w:val="right" w:leader="dot" w:pos="8296"/>
        </w:tabs>
        <w:rPr>
          <w:rFonts w:eastAsia="仿宋_GB2312"/>
          <w:noProof/>
          <w:sz w:val="32"/>
          <w:szCs w:val="32"/>
        </w:rPr>
      </w:pPr>
      <w:hyperlink r:id="rId12" w:anchor="_Toc97014659" w:history="1">
        <w:r w:rsidR="00B323CD">
          <w:rPr>
            <w:rStyle w:val="a3"/>
            <w:rFonts w:eastAsia="仿宋_GB2312" w:hint="eastAsia"/>
            <w:noProof/>
            <w:sz w:val="32"/>
            <w:szCs w:val="32"/>
          </w:rPr>
          <w:t>五、药学研究</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_Toc97014659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4</w:t>
        </w:r>
        <w:r w:rsidR="00B323CD">
          <w:rPr>
            <w:rStyle w:val="a3"/>
            <w:rFonts w:eastAsia="仿宋_GB2312"/>
            <w:noProof/>
            <w:sz w:val="32"/>
            <w:szCs w:val="32"/>
          </w:rPr>
          <w:fldChar w:fldCharType="end"/>
        </w:r>
      </w:hyperlink>
    </w:p>
    <w:p w:rsidR="00B323CD" w:rsidRDefault="00826CAF" w:rsidP="00B323CD">
      <w:pPr>
        <w:pStyle w:val="2"/>
        <w:tabs>
          <w:tab w:val="right" w:leader="dot" w:pos="8296"/>
        </w:tabs>
        <w:rPr>
          <w:rFonts w:eastAsia="仿宋_GB2312"/>
          <w:noProof/>
          <w:sz w:val="32"/>
          <w:szCs w:val="32"/>
        </w:rPr>
      </w:pPr>
      <w:hyperlink r:id="rId13" w:anchor="_Toc97014660" w:history="1">
        <w:r w:rsidR="00B323CD">
          <w:rPr>
            <w:rStyle w:val="a3"/>
            <w:rFonts w:eastAsia="仿宋_GB2312"/>
            <w:bCs/>
            <w:noProof/>
            <w:sz w:val="32"/>
            <w:szCs w:val="32"/>
          </w:rPr>
          <w:t>1.</w:t>
        </w:r>
        <w:r w:rsidR="00B323CD">
          <w:rPr>
            <w:rStyle w:val="a3"/>
            <w:rFonts w:eastAsia="仿宋_GB2312" w:hint="eastAsia"/>
            <w:bCs/>
            <w:noProof/>
            <w:sz w:val="32"/>
            <w:szCs w:val="32"/>
          </w:rPr>
          <w:t>处方药味</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_Toc97014660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4</w:t>
        </w:r>
        <w:r w:rsidR="00B323CD">
          <w:rPr>
            <w:rStyle w:val="a3"/>
            <w:rFonts w:eastAsia="仿宋_GB2312"/>
            <w:noProof/>
            <w:sz w:val="32"/>
            <w:szCs w:val="32"/>
          </w:rPr>
          <w:fldChar w:fldCharType="end"/>
        </w:r>
      </w:hyperlink>
    </w:p>
    <w:p w:rsidR="00B323CD" w:rsidRDefault="00826CAF" w:rsidP="00B323CD">
      <w:pPr>
        <w:pStyle w:val="2"/>
        <w:tabs>
          <w:tab w:val="right" w:leader="dot" w:pos="8296"/>
        </w:tabs>
        <w:rPr>
          <w:rFonts w:eastAsia="仿宋_GB2312"/>
          <w:noProof/>
          <w:sz w:val="32"/>
          <w:szCs w:val="32"/>
        </w:rPr>
      </w:pPr>
      <w:hyperlink r:id="rId14" w:anchor="_Toc97014661" w:history="1">
        <w:r w:rsidR="00B323CD">
          <w:rPr>
            <w:rStyle w:val="a3"/>
            <w:rFonts w:eastAsia="仿宋_GB2312"/>
            <w:bCs/>
            <w:noProof/>
            <w:sz w:val="32"/>
            <w:szCs w:val="32"/>
          </w:rPr>
          <w:t>2.</w:t>
        </w:r>
        <w:r w:rsidR="00B323CD">
          <w:rPr>
            <w:rStyle w:val="a3"/>
            <w:rFonts w:eastAsia="仿宋_GB2312" w:hint="eastAsia"/>
            <w:bCs/>
            <w:noProof/>
            <w:sz w:val="32"/>
            <w:szCs w:val="32"/>
          </w:rPr>
          <w:t>制备工艺</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_Toc97014661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5</w:t>
        </w:r>
        <w:r w:rsidR="00B323CD">
          <w:rPr>
            <w:rStyle w:val="a3"/>
            <w:rFonts w:eastAsia="仿宋_GB2312"/>
            <w:noProof/>
            <w:sz w:val="32"/>
            <w:szCs w:val="32"/>
          </w:rPr>
          <w:fldChar w:fldCharType="end"/>
        </w:r>
      </w:hyperlink>
    </w:p>
    <w:p w:rsidR="00B323CD" w:rsidRDefault="00826CAF" w:rsidP="00B323CD">
      <w:pPr>
        <w:pStyle w:val="2"/>
        <w:tabs>
          <w:tab w:val="right" w:leader="dot" w:pos="8296"/>
        </w:tabs>
        <w:rPr>
          <w:rFonts w:eastAsia="仿宋_GB2312"/>
          <w:noProof/>
          <w:sz w:val="32"/>
          <w:szCs w:val="32"/>
        </w:rPr>
      </w:pPr>
      <w:hyperlink r:id="rId15" w:anchor="_Toc97014662" w:history="1">
        <w:r w:rsidR="00B323CD">
          <w:rPr>
            <w:rStyle w:val="a3"/>
            <w:rFonts w:eastAsia="仿宋_GB2312"/>
            <w:bCs/>
            <w:noProof/>
            <w:sz w:val="32"/>
            <w:szCs w:val="32"/>
          </w:rPr>
          <w:t>3.</w:t>
        </w:r>
        <w:r w:rsidR="00B323CD">
          <w:rPr>
            <w:rStyle w:val="a3"/>
            <w:rFonts w:eastAsia="仿宋_GB2312" w:hint="eastAsia"/>
            <w:bCs/>
            <w:noProof/>
            <w:sz w:val="32"/>
            <w:szCs w:val="32"/>
          </w:rPr>
          <w:t>质量研究与质量标准</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_Toc97014662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5</w:t>
        </w:r>
        <w:r w:rsidR="00B323CD">
          <w:rPr>
            <w:rStyle w:val="a3"/>
            <w:rFonts w:eastAsia="仿宋_GB2312"/>
            <w:noProof/>
            <w:sz w:val="32"/>
            <w:szCs w:val="32"/>
          </w:rPr>
          <w:fldChar w:fldCharType="end"/>
        </w:r>
      </w:hyperlink>
    </w:p>
    <w:p w:rsidR="00B323CD" w:rsidRDefault="00826CAF" w:rsidP="00B323CD">
      <w:pPr>
        <w:pStyle w:val="2"/>
        <w:tabs>
          <w:tab w:val="right" w:leader="dot" w:pos="8296"/>
        </w:tabs>
        <w:rPr>
          <w:rFonts w:eastAsia="仿宋_GB2312"/>
          <w:noProof/>
          <w:sz w:val="32"/>
          <w:szCs w:val="32"/>
        </w:rPr>
      </w:pPr>
      <w:hyperlink r:id="rId16" w:anchor="_Toc97014663" w:history="1">
        <w:r w:rsidR="00B323CD">
          <w:rPr>
            <w:rStyle w:val="a3"/>
            <w:rFonts w:eastAsia="仿宋_GB2312"/>
            <w:bCs/>
            <w:noProof/>
            <w:sz w:val="32"/>
            <w:szCs w:val="32"/>
          </w:rPr>
          <w:t>4.</w:t>
        </w:r>
        <w:r w:rsidR="00B323CD">
          <w:rPr>
            <w:rStyle w:val="a3"/>
            <w:rFonts w:eastAsia="仿宋_GB2312" w:hint="eastAsia"/>
            <w:bCs/>
            <w:noProof/>
            <w:sz w:val="32"/>
            <w:szCs w:val="32"/>
          </w:rPr>
          <w:t>稳定性研究</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_Toc97014663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5</w:t>
        </w:r>
        <w:r w:rsidR="00B323CD">
          <w:rPr>
            <w:rStyle w:val="a3"/>
            <w:rFonts w:eastAsia="仿宋_GB2312"/>
            <w:noProof/>
            <w:sz w:val="32"/>
            <w:szCs w:val="32"/>
          </w:rPr>
          <w:fldChar w:fldCharType="end"/>
        </w:r>
      </w:hyperlink>
    </w:p>
    <w:p w:rsidR="00B323CD" w:rsidRDefault="00826CAF" w:rsidP="00B323CD">
      <w:pPr>
        <w:pStyle w:val="11"/>
        <w:tabs>
          <w:tab w:val="right" w:leader="dot" w:pos="8296"/>
        </w:tabs>
        <w:rPr>
          <w:rFonts w:eastAsia="仿宋_GB2312"/>
          <w:noProof/>
          <w:sz w:val="32"/>
          <w:szCs w:val="32"/>
        </w:rPr>
      </w:pPr>
      <w:hyperlink r:id="rId17" w:anchor="_Toc97014664" w:history="1">
        <w:r w:rsidR="00B323CD">
          <w:rPr>
            <w:rStyle w:val="a3"/>
            <w:rFonts w:eastAsia="仿宋_GB2312" w:hint="eastAsia"/>
            <w:noProof/>
            <w:sz w:val="32"/>
            <w:szCs w:val="32"/>
          </w:rPr>
          <w:t>六、药理毒理研究</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_Toc97014664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6</w:t>
        </w:r>
        <w:r w:rsidR="00B323CD">
          <w:rPr>
            <w:rStyle w:val="a3"/>
            <w:rFonts w:eastAsia="仿宋_GB2312"/>
            <w:noProof/>
            <w:sz w:val="32"/>
            <w:szCs w:val="32"/>
          </w:rPr>
          <w:fldChar w:fldCharType="end"/>
        </w:r>
      </w:hyperlink>
    </w:p>
    <w:p w:rsidR="00B323CD" w:rsidRDefault="00826CAF" w:rsidP="00B323CD">
      <w:pPr>
        <w:pStyle w:val="11"/>
        <w:tabs>
          <w:tab w:val="right" w:leader="dot" w:pos="8296"/>
        </w:tabs>
        <w:rPr>
          <w:rFonts w:eastAsia="仿宋_GB2312"/>
          <w:noProof/>
          <w:sz w:val="32"/>
          <w:szCs w:val="32"/>
        </w:rPr>
      </w:pPr>
      <w:hyperlink r:id="rId18" w:anchor="_Toc97014665" w:history="1">
        <w:r w:rsidR="00B323CD">
          <w:rPr>
            <w:rStyle w:val="a3"/>
            <w:rFonts w:eastAsia="仿宋_GB2312" w:hint="eastAsia"/>
            <w:noProof/>
            <w:sz w:val="32"/>
            <w:szCs w:val="32"/>
          </w:rPr>
          <w:t>七、临床研究</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_Toc97014665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6</w:t>
        </w:r>
        <w:r w:rsidR="00B323CD">
          <w:rPr>
            <w:rStyle w:val="a3"/>
            <w:rFonts w:eastAsia="仿宋_GB2312"/>
            <w:noProof/>
            <w:sz w:val="32"/>
            <w:szCs w:val="32"/>
          </w:rPr>
          <w:fldChar w:fldCharType="end"/>
        </w:r>
      </w:hyperlink>
    </w:p>
    <w:p w:rsidR="00B323CD" w:rsidRDefault="00826CAF" w:rsidP="00B323CD">
      <w:pPr>
        <w:pStyle w:val="2"/>
        <w:tabs>
          <w:tab w:val="right" w:leader="dot" w:pos="8296"/>
        </w:tabs>
        <w:rPr>
          <w:rFonts w:eastAsia="仿宋_GB2312"/>
          <w:noProof/>
          <w:sz w:val="32"/>
          <w:szCs w:val="32"/>
        </w:rPr>
      </w:pPr>
      <w:hyperlink r:id="rId19" w:anchor="_Toc97014666" w:history="1">
        <w:r w:rsidR="00B323CD">
          <w:rPr>
            <w:rStyle w:val="a3"/>
            <w:rFonts w:eastAsia="仿宋_GB2312"/>
            <w:noProof/>
            <w:sz w:val="32"/>
            <w:szCs w:val="32"/>
          </w:rPr>
          <w:t>1.</w:t>
        </w:r>
        <w:r w:rsidR="00B323CD">
          <w:rPr>
            <w:rStyle w:val="a3"/>
            <w:rFonts w:eastAsia="仿宋_GB2312" w:hint="eastAsia"/>
            <w:noProof/>
            <w:sz w:val="32"/>
            <w:szCs w:val="32"/>
          </w:rPr>
          <w:t>开展临床研究的一般考虑</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_Toc97014666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6</w:t>
        </w:r>
        <w:r w:rsidR="00B323CD">
          <w:rPr>
            <w:rStyle w:val="a3"/>
            <w:rFonts w:eastAsia="仿宋_GB2312"/>
            <w:noProof/>
            <w:sz w:val="32"/>
            <w:szCs w:val="32"/>
          </w:rPr>
          <w:fldChar w:fldCharType="end"/>
        </w:r>
      </w:hyperlink>
    </w:p>
    <w:p w:rsidR="00B323CD" w:rsidRDefault="00826CAF" w:rsidP="00B323CD">
      <w:pPr>
        <w:pStyle w:val="2"/>
        <w:tabs>
          <w:tab w:val="right" w:leader="dot" w:pos="8296"/>
        </w:tabs>
        <w:rPr>
          <w:rFonts w:eastAsia="仿宋_GB2312"/>
          <w:noProof/>
          <w:sz w:val="32"/>
          <w:szCs w:val="32"/>
        </w:rPr>
      </w:pPr>
      <w:hyperlink r:id="rId20" w:anchor="_Toc97014667" w:history="1">
        <w:r w:rsidR="00B323CD">
          <w:rPr>
            <w:rStyle w:val="a3"/>
            <w:rFonts w:eastAsia="仿宋_GB2312"/>
            <w:noProof/>
            <w:sz w:val="32"/>
            <w:szCs w:val="32"/>
          </w:rPr>
          <w:t>2.</w:t>
        </w:r>
        <w:r w:rsidR="00B323CD">
          <w:rPr>
            <w:rStyle w:val="a3"/>
            <w:rFonts w:eastAsia="仿宋_GB2312" w:hint="eastAsia"/>
            <w:noProof/>
            <w:sz w:val="32"/>
            <w:szCs w:val="32"/>
          </w:rPr>
          <w:t>说明书</w:t>
        </w:r>
        <w:r w:rsidR="00B66697">
          <w:rPr>
            <w:rStyle w:val="a3"/>
            <w:rFonts w:eastAsia="仿宋_GB2312" w:hint="eastAsia"/>
            <w:noProof/>
            <w:sz w:val="32"/>
            <w:szCs w:val="32"/>
          </w:rPr>
          <w:t>撰写</w:t>
        </w:r>
        <w:r w:rsidR="00B66697">
          <w:rPr>
            <w:rStyle w:val="a3"/>
            <w:rFonts w:eastAsia="仿宋_GB2312"/>
            <w:noProof/>
            <w:sz w:val="32"/>
            <w:szCs w:val="32"/>
          </w:rPr>
          <w:t>一般考虑</w:t>
        </w:r>
        <w:r w:rsidR="00B323CD">
          <w:rPr>
            <w:rStyle w:val="a3"/>
            <w:rFonts w:eastAsia="仿宋_GB2312"/>
            <w:noProof/>
            <w:sz w:val="32"/>
            <w:szCs w:val="32"/>
          </w:rPr>
          <w:tab/>
        </w:r>
        <w:r w:rsidR="00B323CD">
          <w:rPr>
            <w:rStyle w:val="a3"/>
            <w:rFonts w:eastAsia="仿宋_GB2312"/>
            <w:noProof/>
            <w:sz w:val="32"/>
            <w:szCs w:val="32"/>
          </w:rPr>
          <w:fldChar w:fldCharType="begin"/>
        </w:r>
        <w:r w:rsidR="00B323CD">
          <w:rPr>
            <w:rStyle w:val="a3"/>
            <w:rFonts w:eastAsia="仿宋_GB2312"/>
            <w:noProof/>
            <w:sz w:val="32"/>
            <w:szCs w:val="32"/>
          </w:rPr>
          <w:instrText xml:space="preserve"> PAGEREF _Toc97014667 \h </w:instrText>
        </w:r>
        <w:r w:rsidR="00B323CD">
          <w:rPr>
            <w:rStyle w:val="a3"/>
            <w:rFonts w:eastAsia="仿宋_GB2312"/>
            <w:noProof/>
            <w:sz w:val="32"/>
            <w:szCs w:val="32"/>
          </w:rPr>
        </w:r>
        <w:r w:rsidR="00B323CD">
          <w:rPr>
            <w:rStyle w:val="a3"/>
            <w:rFonts w:eastAsia="仿宋_GB2312"/>
            <w:noProof/>
            <w:sz w:val="32"/>
            <w:szCs w:val="32"/>
          </w:rPr>
          <w:fldChar w:fldCharType="separate"/>
        </w:r>
        <w:r w:rsidR="00B323CD">
          <w:rPr>
            <w:rStyle w:val="a3"/>
            <w:rFonts w:eastAsia="仿宋_GB2312"/>
            <w:noProof/>
            <w:sz w:val="32"/>
            <w:szCs w:val="32"/>
          </w:rPr>
          <w:t>7</w:t>
        </w:r>
        <w:r w:rsidR="00B323CD">
          <w:rPr>
            <w:rStyle w:val="a3"/>
            <w:rFonts w:eastAsia="仿宋_GB2312"/>
            <w:noProof/>
            <w:sz w:val="32"/>
            <w:szCs w:val="32"/>
          </w:rPr>
          <w:fldChar w:fldCharType="end"/>
        </w:r>
      </w:hyperlink>
    </w:p>
    <w:p w:rsidR="00B323CD" w:rsidRDefault="00B323CD" w:rsidP="00B323CD">
      <w:pPr>
        <w:adjustRightInd w:val="0"/>
        <w:snapToGrid w:val="0"/>
        <w:spacing w:line="360" w:lineRule="auto"/>
        <w:rPr>
          <w:rFonts w:eastAsia="仿宋_GB2312"/>
          <w:sz w:val="32"/>
          <w:szCs w:val="32"/>
        </w:rPr>
      </w:pPr>
      <w:r>
        <w:rPr>
          <w:rFonts w:eastAsia="仿宋_GB2312"/>
          <w:bCs/>
          <w:sz w:val="32"/>
          <w:szCs w:val="32"/>
          <w:lang w:val="zh-CN"/>
        </w:rPr>
        <w:fldChar w:fldCharType="end"/>
      </w:r>
    </w:p>
    <w:p w:rsidR="00B323CD" w:rsidRDefault="00B323CD" w:rsidP="00B323CD">
      <w:pPr>
        <w:widowControl/>
        <w:spacing w:line="360" w:lineRule="auto"/>
        <w:jc w:val="left"/>
        <w:rPr>
          <w:rFonts w:eastAsia="仿宋_GB2312"/>
          <w:kern w:val="0"/>
          <w:sz w:val="32"/>
          <w:szCs w:val="32"/>
        </w:rPr>
        <w:sectPr w:rsidR="00B323CD" w:rsidSect="00B323CD">
          <w:pgSz w:w="11906" w:h="16838"/>
          <w:pgMar w:top="1440" w:right="1800" w:bottom="1440" w:left="1800" w:header="851" w:footer="992" w:gutter="0"/>
          <w:pgNumType w:start="0"/>
          <w:cols w:space="720"/>
          <w:titlePg/>
          <w:docGrid w:type="lines" w:linePitch="312"/>
        </w:sectPr>
      </w:pPr>
    </w:p>
    <w:p w:rsidR="00B323CD" w:rsidRDefault="00B323CD" w:rsidP="00B323CD">
      <w:pPr>
        <w:widowControl/>
        <w:spacing w:line="360" w:lineRule="auto"/>
        <w:jc w:val="left"/>
        <w:rPr>
          <w:rFonts w:eastAsia="仿宋_GB2312"/>
          <w:bCs/>
          <w:kern w:val="0"/>
          <w:sz w:val="32"/>
          <w:szCs w:val="32"/>
        </w:rPr>
        <w:sectPr w:rsidR="00B323CD">
          <w:type w:val="continuous"/>
          <w:pgSz w:w="11906" w:h="16838"/>
          <w:pgMar w:top="1440" w:right="1800" w:bottom="1440" w:left="1800" w:header="851" w:footer="992" w:gutter="0"/>
          <w:cols w:space="720"/>
          <w:docGrid w:type="lines" w:linePitch="312"/>
        </w:sectPr>
      </w:pPr>
    </w:p>
    <w:p w:rsidR="00B323CD" w:rsidRDefault="00B323CD" w:rsidP="00B323CD">
      <w:pPr>
        <w:widowControl/>
        <w:spacing w:line="360" w:lineRule="auto"/>
        <w:jc w:val="left"/>
        <w:rPr>
          <w:b/>
          <w:bCs/>
          <w:kern w:val="44"/>
          <w:sz w:val="30"/>
          <w:szCs w:val="44"/>
        </w:rPr>
        <w:sectPr w:rsidR="00B323CD">
          <w:type w:val="continuous"/>
          <w:pgSz w:w="11906" w:h="16838"/>
          <w:pgMar w:top="1440" w:right="1800" w:bottom="1440" w:left="1800" w:header="851" w:footer="992" w:gutter="0"/>
          <w:cols w:space="720"/>
          <w:docGrid w:type="lines" w:linePitch="312"/>
        </w:sectPr>
      </w:pPr>
    </w:p>
    <w:p w:rsidR="00B323CD" w:rsidRDefault="00B323CD" w:rsidP="00B323CD">
      <w:pPr>
        <w:adjustRightInd w:val="0"/>
        <w:snapToGrid w:val="0"/>
        <w:spacing w:line="360" w:lineRule="auto"/>
        <w:jc w:val="center"/>
        <w:rPr>
          <w:rFonts w:eastAsia="方正小标宋简体"/>
          <w:sz w:val="36"/>
          <w:szCs w:val="32"/>
        </w:rPr>
      </w:pPr>
      <w:bookmarkStart w:id="0" w:name="_Toc97014655"/>
      <w:r>
        <w:rPr>
          <w:rFonts w:eastAsia="方正小标宋简体" w:hint="eastAsia"/>
          <w:sz w:val="36"/>
          <w:szCs w:val="32"/>
        </w:rPr>
        <w:lastRenderedPageBreak/>
        <w:t>同名同方药研究技</w:t>
      </w:r>
      <w:bookmarkStart w:id="1" w:name="_GoBack"/>
      <w:bookmarkEnd w:id="1"/>
      <w:r>
        <w:rPr>
          <w:rFonts w:eastAsia="方正小标宋简体" w:hint="eastAsia"/>
          <w:sz w:val="36"/>
          <w:szCs w:val="32"/>
        </w:rPr>
        <w:t>术指导原则</w:t>
      </w:r>
    </w:p>
    <w:p w:rsidR="00B323CD" w:rsidRDefault="00B323CD" w:rsidP="00B323CD">
      <w:pPr>
        <w:adjustRightInd w:val="0"/>
        <w:snapToGrid w:val="0"/>
        <w:spacing w:line="360" w:lineRule="auto"/>
        <w:jc w:val="center"/>
        <w:rPr>
          <w:rFonts w:eastAsia="方正小标宋简体"/>
          <w:sz w:val="36"/>
          <w:szCs w:val="32"/>
        </w:rPr>
      </w:pPr>
      <w:r>
        <w:rPr>
          <w:rFonts w:eastAsia="方正小标宋简体" w:hint="eastAsia"/>
          <w:sz w:val="36"/>
          <w:szCs w:val="32"/>
        </w:rPr>
        <w:t>（征求意见稿）</w:t>
      </w:r>
    </w:p>
    <w:p w:rsidR="00B323CD" w:rsidRDefault="00B323CD" w:rsidP="00B323CD">
      <w:pPr>
        <w:pStyle w:val="1"/>
        <w:adjustRightInd w:val="0"/>
        <w:snapToGrid w:val="0"/>
        <w:spacing w:line="360" w:lineRule="auto"/>
        <w:ind w:firstLineChars="200" w:firstLine="640"/>
        <w:rPr>
          <w:rFonts w:ascii="Times New Roman" w:eastAsia="黑体" w:hAnsi="Times New Roman" w:cs="Times New Roman"/>
          <w:b w:val="0"/>
          <w:kern w:val="0"/>
          <w:sz w:val="32"/>
          <w:szCs w:val="32"/>
        </w:rPr>
      </w:pPr>
      <w:r>
        <w:rPr>
          <w:rFonts w:ascii="Times New Roman" w:eastAsia="黑体" w:hAnsi="Times New Roman" w:hint="eastAsia"/>
          <w:b w:val="0"/>
          <w:kern w:val="0"/>
          <w:sz w:val="32"/>
          <w:szCs w:val="32"/>
        </w:rPr>
        <w:t>一、概述</w:t>
      </w:r>
      <w:bookmarkEnd w:id="0"/>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根据《中药注册分类及申报资料要求》</w:t>
      </w:r>
      <w:r w:rsidR="004170C9">
        <w:rPr>
          <w:rFonts w:eastAsia="仿宋_GB2312" w:hint="eastAsia"/>
          <w:sz w:val="32"/>
          <w:szCs w:val="32"/>
        </w:rPr>
        <w:t>（</w:t>
      </w:r>
      <w:r w:rsidR="004170C9">
        <w:rPr>
          <w:rFonts w:eastAsia="仿宋_GB2312"/>
          <w:sz w:val="32"/>
          <w:szCs w:val="32"/>
        </w:rPr>
        <w:t>2020</w:t>
      </w:r>
      <w:r w:rsidR="004170C9">
        <w:rPr>
          <w:rFonts w:eastAsia="仿宋_GB2312" w:hint="eastAsia"/>
          <w:sz w:val="32"/>
          <w:szCs w:val="32"/>
        </w:rPr>
        <w:t>年第</w:t>
      </w:r>
      <w:r w:rsidR="004170C9">
        <w:rPr>
          <w:rFonts w:eastAsia="仿宋_GB2312"/>
          <w:sz w:val="32"/>
          <w:szCs w:val="32"/>
        </w:rPr>
        <w:t>68</w:t>
      </w:r>
      <w:r w:rsidR="004170C9">
        <w:rPr>
          <w:rFonts w:eastAsia="仿宋_GB2312" w:hint="eastAsia"/>
          <w:sz w:val="32"/>
          <w:szCs w:val="32"/>
        </w:rPr>
        <w:t>号）</w:t>
      </w:r>
      <w:r>
        <w:rPr>
          <w:rFonts w:eastAsia="仿宋_GB2312" w:hint="eastAsia"/>
          <w:sz w:val="32"/>
          <w:szCs w:val="32"/>
        </w:rPr>
        <w:t>，同名同方药是指通用名称、处方、剂型、功能主治、用法及日用饮片量与同名同方已上市中药相同，且在有效性、安全性、质量可控性方面不低于该已上市中药的制剂。同名同方已上市中药应当具有充分的有效性、安全性证据。同名同方药的研发应以临床价值为导向，促进中医药传承精华，守正创新，高质量发展。鼓励运用新技术、新方法提升药品质量。同名同方药的研发应避免低水平重复。</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为指导申请人开展同名同方药的研究，制定本指导原则。申请人可就同名同方药研发的问题与药品审评中心进行沟通。</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本指导原则不适用中药注射剂、中西复方制剂。</w:t>
      </w:r>
    </w:p>
    <w:p w:rsidR="00B323CD" w:rsidRDefault="00B323CD" w:rsidP="00B323CD">
      <w:pPr>
        <w:adjustRightInd w:val="0"/>
        <w:snapToGrid w:val="0"/>
        <w:spacing w:line="360" w:lineRule="auto"/>
        <w:ind w:firstLineChars="200" w:firstLine="640"/>
        <w:outlineLvl w:val="0"/>
        <w:rPr>
          <w:rFonts w:eastAsia="黑体"/>
          <w:sz w:val="32"/>
          <w:szCs w:val="32"/>
        </w:rPr>
      </w:pPr>
      <w:bookmarkStart w:id="2" w:name="_Toc97014656"/>
      <w:r>
        <w:rPr>
          <w:rFonts w:eastAsia="黑体" w:hint="eastAsia"/>
          <w:sz w:val="32"/>
          <w:szCs w:val="32"/>
        </w:rPr>
        <w:t>二、一般原则</w:t>
      </w:r>
      <w:bookmarkEnd w:id="2"/>
    </w:p>
    <w:p w:rsidR="00B323CD" w:rsidRDefault="00B323CD" w:rsidP="00B323CD">
      <w:pPr>
        <w:adjustRightInd w:val="0"/>
        <w:snapToGrid w:val="0"/>
        <w:spacing w:line="360" w:lineRule="auto"/>
        <w:ind w:firstLineChars="200" w:firstLine="640"/>
        <w:rPr>
          <w:rFonts w:eastAsia="仿宋_GB2312"/>
          <w:sz w:val="32"/>
          <w:szCs w:val="32"/>
        </w:rPr>
      </w:pPr>
      <w:bookmarkStart w:id="3" w:name="_Toc94094297"/>
      <w:bookmarkStart w:id="4" w:name="_Toc94185357"/>
      <w:bookmarkStart w:id="5" w:name="_Toc94185508"/>
      <w:bookmarkStart w:id="6" w:name="_Toc96958838"/>
      <w:bookmarkStart w:id="7" w:name="_Toc96445948"/>
      <w:bookmarkStart w:id="8" w:name="_Toc96445277"/>
      <w:bookmarkStart w:id="9" w:name="_Toc95747281"/>
      <w:bookmarkStart w:id="10" w:name="_Toc96445796"/>
      <w:bookmarkStart w:id="11" w:name="_Toc95676256"/>
      <w:r>
        <w:rPr>
          <w:rFonts w:eastAsia="仿宋_GB2312"/>
          <w:sz w:val="32"/>
          <w:szCs w:val="32"/>
        </w:rPr>
        <w:t>1.</w:t>
      </w:r>
      <w:bookmarkEnd w:id="3"/>
      <w:r>
        <w:rPr>
          <w:rFonts w:eastAsia="仿宋_GB2312" w:hint="eastAsia"/>
          <w:sz w:val="32"/>
          <w:szCs w:val="32"/>
        </w:rPr>
        <w:t>申请人应对同名同方已上市中药的临床价值进行充分评估。临床价值评估的内容包括但不限于：临床治疗需求、处方组成、剂型、临床定位的合理性、有效性、安全性、以及与同类品种比较的特点和优势</w:t>
      </w:r>
      <w:bookmarkEnd w:id="4"/>
      <w:bookmarkEnd w:id="5"/>
      <w:r>
        <w:rPr>
          <w:rFonts w:eastAsia="仿宋_GB2312" w:hint="eastAsia"/>
          <w:sz w:val="32"/>
          <w:szCs w:val="32"/>
        </w:rPr>
        <w:t>。临床价值应有充分的证据支持。</w:t>
      </w:r>
      <w:bookmarkStart w:id="12" w:name="_Toc94185510"/>
      <w:bookmarkStart w:id="13" w:name="_Toc94185359"/>
      <w:bookmarkEnd w:id="6"/>
      <w:bookmarkEnd w:id="7"/>
      <w:bookmarkEnd w:id="8"/>
      <w:bookmarkEnd w:id="9"/>
      <w:bookmarkEnd w:id="10"/>
      <w:bookmarkEnd w:id="11"/>
    </w:p>
    <w:p w:rsidR="00B323CD" w:rsidRDefault="00B323CD" w:rsidP="00B323CD">
      <w:pPr>
        <w:adjustRightInd w:val="0"/>
        <w:snapToGrid w:val="0"/>
        <w:spacing w:line="360" w:lineRule="auto"/>
        <w:ind w:firstLineChars="200" w:firstLine="640"/>
        <w:rPr>
          <w:rFonts w:eastAsia="仿宋_GB2312"/>
          <w:sz w:val="32"/>
          <w:szCs w:val="32"/>
        </w:rPr>
      </w:pPr>
      <w:bookmarkStart w:id="14" w:name="_Toc96958839"/>
      <w:bookmarkStart w:id="15" w:name="_Toc96445949"/>
      <w:bookmarkStart w:id="16" w:name="_Toc96445797"/>
      <w:bookmarkStart w:id="17" w:name="_Toc96445278"/>
      <w:bookmarkStart w:id="18" w:name="_Toc95747282"/>
      <w:bookmarkStart w:id="19" w:name="_Toc95676257"/>
      <w:r>
        <w:rPr>
          <w:rFonts w:eastAsia="仿宋_GB2312"/>
          <w:sz w:val="32"/>
          <w:szCs w:val="32"/>
        </w:rPr>
        <w:lastRenderedPageBreak/>
        <w:t>2.</w:t>
      </w:r>
      <w:r>
        <w:rPr>
          <w:rFonts w:eastAsia="仿宋_GB2312" w:hint="eastAsia"/>
          <w:sz w:val="32"/>
          <w:szCs w:val="32"/>
        </w:rPr>
        <w:t>同名同方药的研发应选择合适的同名同方已上市中药作为对照药。申请人应提供所选对照药的有效性、安全性证据。同名同方药有效性、安全性</w:t>
      </w:r>
      <w:r w:rsidR="00434D92">
        <w:rPr>
          <w:rFonts w:eastAsia="仿宋_GB2312" w:hint="eastAsia"/>
          <w:sz w:val="32"/>
          <w:szCs w:val="32"/>
        </w:rPr>
        <w:t>、</w:t>
      </w:r>
      <w:r>
        <w:rPr>
          <w:rFonts w:eastAsia="仿宋_GB2312" w:hint="eastAsia"/>
          <w:sz w:val="32"/>
          <w:szCs w:val="32"/>
        </w:rPr>
        <w:t>质量可控性应不低于对照药，应符合现行技术要求。</w:t>
      </w:r>
      <w:bookmarkEnd w:id="12"/>
      <w:bookmarkEnd w:id="13"/>
      <w:bookmarkEnd w:id="14"/>
      <w:bookmarkEnd w:id="15"/>
      <w:bookmarkEnd w:id="16"/>
      <w:bookmarkEnd w:id="17"/>
      <w:bookmarkEnd w:id="18"/>
      <w:bookmarkEnd w:id="19"/>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同名同方药与对照药相比，工艺变化不引起药用物质基础明显改变的，可参照《已上市中药药学变更研究技术指导原则（试行）》进行评估；工艺变化引起药用物质基础明显改变的或难以评估的，应开展有效性、安全性研究。</w:t>
      </w:r>
    </w:p>
    <w:p w:rsidR="00B323CD" w:rsidRDefault="00B323CD" w:rsidP="00B323CD">
      <w:pPr>
        <w:adjustRightInd w:val="0"/>
        <w:snapToGrid w:val="0"/>
        <w:spacing w:line="360" w:lineRule="auto"/>
        <w:ind w:firstLineChars="200" w:firstLine="640"/>
        <w:rPr>
          <w:rFonts w:eastAsia="仿宋_GB2312"/>
          <w:sz w:val="32"/>
          <w:szCs w:val="32"/>
        </w:rPr>
      </w:pPr>
      <w:bookmarkStart w:id="20" w:name="_Toc94185511"/>
      <w:bookmarkStart w:id="21" w:name="_Toc94185360"/>
      <w:bookmarkStart w:id="22" w:name="_Toc96958840"/>
      <w:bookmarkStart w:id="23" w:name="_Toc96445950"/>
      <w:bookmarkStart w:id="24" w:name="_Toc96445798"/>
      <w:bookmarkStart w:id="25" w:name="_Toc96445279"/>
      <w:bookmarkStart w:id="26" w:name="_Toc95747283"/>
      <w:bookmarkStart w:id="27" w:name="_Toc95676258"/>
      <w:r>
        <w:rPr>
          <w:rFonts w:eastAsia="仿宋_GB2312"/>
          <w:sz w:val="32"/>
          <w:szCs w:val="32"/>
        </w:rPr>
        <w:t>4.</w:t>
      </w:r>
      <w:r>
        <w:rPr>
          <w:rFonts w:eastAsia="仿宋_GB2312" w:hint="eastAsia"/>
          <w:sz w:val="32"/>
          <w:szCs w:val="32"/>
        </w:rPr>
        <w:t>同名同方药的研发应加强药材、饮片、中间体、制剂等全过程质量控制。</w:t>
      </w:r>
      <w:bookmarkEnd w:id="20"/>
      <w:bookmarkEnd w:id="21"/>
      <w:r>
        <w:rPr>
          <w:rFonts w:eastAsia="仿宋_GB2312" w:hint="eastAsia"/>
          <w:sz w:val="32"/>
          <w:szCs w:val="32"/>
        </w:rPr>
        <w:t>鼓励运用新技术、新方法提升药品质量。</w:t>
      </w:r>
      <w:bookmarkEnd w:id="22"/>
      <w:bookmarkEnd w:id="23"/>
      <w:bookmarkEnd w:id="24"/>
      <w:bookmarkEnd w:id="25"/>
      <w:bookmarkEnd w:id="26"/>
      <w:bookmarkEnd w:id="27"/>
    </w:p>
    <w:p w:rsidR="00B323CD" w:rsidRDefault="00B323CD" w:rsidP="00B323CD">
      <w:pPr>
        <w:adjustRightInd w:val="0"/>
        <w:snapToGrid w:val="0"/>
        <w:spacing w:line="360" w:lineRule="auto"/>
        <w:ind w:firstLineChars="200" w:firstLine="640"/>
        <w:rPr>
          <w:rFonts w:eastAsia="仿宋_GB2312"/>
          <w:sz w:val="32"/>
          <w:szCs w:val="32"/>
        </w:rPr>
      </w:pPr>
      <w:bookmarkStart w:id="28" w:name="_Toc96445951"/>
      <w:bookmarkStart w:id="29" w:name="_Toc96445799"/>
      <w:bookmarkStart w:id="30" w:name="_Toc96445280"/>
      <w:bookmarkStart w:id="31" w:name="_Toc95747284"/>
      <w:bookmarkStart w:id="32" w:name="_Toc95676259"/>
      <w:bookmarkStart w:id="33" w:name="_Toc96958841"/>
      <w:r>
        <w:rPr>
          <w:rFonts w:eastAsia="仿宋_GB2312"/>
          <w:sz w:val="32"/>
          <w:szCs w:val="32"/>
        </w:rPr>
        <w:t>5.</w:t>
      </w:r>
      <w:r>
        <w:rPr>
          <w:rFonts w:eastAsia="仿宋_GB2312" w:hint="eastAsia"/>
          <w:sz w:val="32"/>
          <w:szCs w:val="32"/>
        </w:rPr>
        <w:t>需结合对照药的有效性、安全性证据和工艺、辅料变化，</w:t>
      </w:r>
      <w:bookmarkEnd w:id="28"/>
      <w:bookmarkEnd w:id="29"/>
      <w:bookmarkEnd w:id="30"/>
      <w:bookmarkEnd w:id="31"/>
      <w:bookmarkEnd w:id="32"/>
      <w:r>
        <w:rPr>
          <w:rFonts w:eastAsia="仿宋_GB2312" w:hint="eastAsia"/>
          <w:sz w:val="32"/>
          <w:szCs w:val="32"/>
        </w:rPr>
        <w:t>以及同名同方药与对照药在药用物质基础或吸收、利用的变化等情况，评估是否开展药理毒理及临床研究。</w:t>
      </w:r>
      <w:bookmarkEnd w:id="33"/>
    </w:p>
    <w:p w:rsidR="00B323CD" w:rsidRDefault="00B323CD" w:rsidP="00B323CD">
      <w:pPr>
        <w:adjustRightInd w:val="0"/>
        <w:snapToGrid w:val="0"/>
        <w:spacing w:line="360" w:lineRule="auto"/>
        <w:ind w:firstLineChars="200" w:firstLine="640"/>
        <w:rPr>
          <w:rFonts w:eastAsia="仿宋_GB2312"/>
          <w:strike/>
          <w:sz w:val="32"/>
          <w:szCs w:val="32"/>
        </w:rPr>
      </w:pPr>
      <w:bookmarkStart w:id="34" w:name="_Toc96958842"/>
      <w:bookmarkStart w:id="35" w:name="_Toc96445952"/>
      <w:bookmarkStart w:id="36" w:name="_Toc96445800"/>
      <w:bookmarkStart w:id="37" w:name="_Toc96445281"/>
      <w:bookmarkStart w:id="38" w:name="_Toc95747285"/>
      <w:bookmarkStart w:id="39" w:name="_Toc95676260"/>
      <w:r>
        <w:rPr>
          <w:rFonts w:eastAsia="仿宋_GB2312"/>
          <w:sz w:val="32"/>
          <w:szCs w:val="32"/>
        </w:rPr>
        <w:t>6.</w:t>
      </w:r>
      <w:bookmarkEnd w:id="34"/>
      <w:bookmarkEnd w:id="35"/>
      <w:bookmarkEnd w:id="36"/>
      <w:bookmarkEnd w:id="37"/>
      <w:bookmarkEnd w:id="38"/>
      <w:bookmarkEnd w:id="39"/>
      <w:r>
        <w:rPr>
          <w:rFonts w:eastAsia="仿宋_GB2312" w:hint="eastAsia"/>
          <w:sz w:val="32"/>
          <w:szCs w:val="32"/>
        </w:rPr>
        <w:t>已上市中药按现行技术要求评估，存在安全性担忧、有效性证据不足的，同名同方药的研发应开展相应的非临床、临床研究。</w:t>
      </w:r>
    </w:p>
    <w:p w:rsidR="00B323CD" w:rsidRDefault="00B323CD" w:rsidP="00B323CD">
      <w:pPr>
        <w:adjustRightInd w:val="0"/>
        <w:snapToGrid w:val="0"/>
        <w:spacing w:line="360" w:lineRule="auto"/>
        <w:ind w:firstLineChars="200" w:firstLine="640"/>
        <w:outlineLvl w:val="0"/>
        <w:rPr>
          <w:rFonts w:eastAsia="黑体"/>
          <w:sz w:val="32"/>
          <w:szCs w:val="32"/>
        </w:rPr>
      </w:pPr>
      <w:bookmarkStart w:id="40" w:name="_Toc97014657"/>
      <w:r>
        <w:rPr>
          <w:rFonts w:eastAsia="黑体" w:hint="eastAsia"/>
          <w:sz w:val="32"/>
          <w:szCs w:val="32"/>
        </w:rPr>
        <w:t>三、对照药的选择</w:t>
      </w:r>
      <w:bookmarkEnd w:id="40"/>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应科学合理选择对照药。所选择对照药应有充分的有效性、安全性证据，多个主治的均应有相应证据。同名同方已上市中药存在多家生产，多个文号的情况，对照药的选择应考虑以下因素：</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不同生产企业相同品种的功能主治、适用人群、用法</w:t>
      </w:r>
      <w:r>
        <w:rPr>
          <w:rFonts w:eastAsia="仿宋_GB2312" w:hint="eastAsia"/>
          <w:sz w:val="32"/>
          <w:szCs w:val="32"/>
        </w:rPr>
        <w:lastRenderedPageBreak/>
        <w:t>用量、日用饮片量等内容可能存在差异，应选择有相应证据支持的品种作为对照药，同名同方药的上述要素应与对照药一致。</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不同生产企业相同品种的药材基原、药用部位、饮片炮制规格及炮制方法等内容可能存在差异，同名同方药的上述要素应与对照药一致。多基原的药材应在对照药的使用范围内研究固定基原。</w:t>
      </w:r>
    </w:p>
    <w:p w:rsidR="00B323CD" w:rsidRDefault="00B323CD" w:rsidP="00B323CD">
      <w:pPr>
        <w:adjustRightInd w:val="0"/>
        <w:snapToGrid w:val="0"/>
        <w:spacing w:line="360" w:lineRule="auto"/>
        <w:ind w:firstLineChars="200" w:firstLine="640"/>
        <w:outlineLvl w:val="0"/>
        <w:rPr>
          <w:rFonts w:eastAsia="黑体"/>
          <w:sz w:val="32"/>
          <w:szCs w:val="32"/>
        </w:rPr>
      </w:pPr>
      <w:bookmarkStart w:id="41" w:name="_Toc97014658"/>
      <w:r>
        <w:rPr>
          <w:rFonts w:eastAsia="黑体" w:hint="eastAsia"/>
          <w:sz w:val="32"/>
          <w:szCs w:val="32"/>
        </w:rPr>
        <w:t>四、基本考虑</w:t>
      </w:r>
      <w:bookmarkEnd w:id="41"/>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sz w:val="32"/>
          <w:szCs w:val="32"/>
        </w:rPr>
        <w:t>1.</w:t>
      </w:r>
      <w:r>
        <w:rPr>
          <w:rFonts w:eastAsia="仿宋_GB2312" w:hint="eastAsia"/>
          <w:sz w:val="32"/>
          <w:szCs w:val="32"/>
        </w:rPr>
        <w:t>以下情形一般需要开展临床研究及相应的非临床安全性评价：</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）申请人不能提供对照药有效性、安全性证据的；</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）申请人提供的有效性、安全性证据不充分的；</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）同名同方药的药用物质基础或吸收、利用与对照药相比发生明显改变的；</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）难以评估同名同方药的药用物质基础或吸收、利用与对照药一致性的。</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sz w:val="32"/>
          <w:szCs w:val="32"/>
        </w:rPr>
        <w:t>2.</w:t>
      </w:r>
      <w:r>
        <w:rPr>
          <w:rFonts w:eastAsia="仿宋_GB2312" w:hint="eastAsia"/>
          <w:sz w:val="32"/>
          <w:szCs w:val="32"/>
        </w:rPr>
        <w:t>同时满足以下条件，一般无需进行药理毒理和临床研究：</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）对照药采用传统工艺的，同名同方药的工艺、辅料与对照药相同，或经研究评估不引起药用物质基础或药物吸收、利用明显改变；</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）对照药有充分的有效性和安全性证据，对照药功能</w:t>
      </w:r>
      <w:r>
        <w:rPr>
          <w:rFonts w:eastAsia="仿宋_GB2312" w:hint="eastAsia"/>
          <w:sz w:val="32"/>
          <w:szCs w:val="32"/>
        </w:rPr>
        <w:lastRenderedPageBreak/>
        <w:t>主治规范合理。</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sz w:val="32"/>
          <w:szCs w:val="32"/>
        </w:rPr>
        <w:t>3.</w:t>
      </w:r>
      <w:r>
        <w:rPr>
          <w:rFonts w:eastAsia="仿宋_GB2312" w:hint="eastAsia"/>
          <w:sz w:val="32"/>
          <w:szCs w:val="32"/>
        </w:rPr>
        <w:t>其他</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不属于以上情形的，视具体情况而定。</w:t>
      </w:r>
    </w:p>
    <w:p w:rsidR="00B323CD" w:rsidRDefault="00B323CD" w:rsidP="00B323CD">
      <w:pPr>
        <w:adjustRightInd w:val="0"/>
        <w:snapToGrid w:val="0"/>
        <w:spacing w:line="360" w:lineRule="auto"/>
        <w:ind w:firstLineChars="200" w:firstLine="640"/>
        <w:outlineLvl w:val="0"/>
        <w:rPr>
          <w:rFonts w:eastAsia="黑体"/>
          <w:sz w:val="32"/>
          <w:szCs w:val="32"/>
        </w:rPr>
      </w:pPr>
      <w:bookmarkStart w:id="42" w:name="_Toc97014659"/>
      <w:r>
        <w:rPr>
          <w:rFonts w:eastAsia="黑体" w:hint="eastAsia"/>
          <w:sz w:val="32"/>
          <w:szCs w:val="32"/>
        </w:rPr>
        <w:t>五、药学研究</w:t>
      </w:r>
      <w:bookmarkEnd w:id="42"/>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同名同方药的通用名称、处方、剂型及日用饮片量应与对照药相同，质量可控性应不低于对照药。</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同名同方药的药学研究应加强药材、饮片、中间体、制剂等全过程的质量控制，工艺、质量标准、稳定性等研究应符合现行技术要求。</w:t>
      </w:r>
    </w:p>
    <w:p w:rsidR="00B323CD" w:rsidRDefault="00B323CD" w:rsidP="00B323CD">
      <w:pPr>
        <w:adjustRightInd w:val="0"/>
        <w:snapToGrid w:val="0"/>
        <w:spacing w:line="360" w:lineRule="auto"/>
        <w:ind w:firstLineChars="200" w:firstLine="640"/>
        <w:outlineLvl w:val="1"/>
        <w:rPr>
          <w:rFonts w:eastAsia="仿宋_GB2312"/>
          <w:sz w:val="32"/>
          <w:szCs w:val="32"/>
        </w:rPr>
      </w:pPr>
      <w:bookmarkStart w:id="43" w:name="_Toc97014660"/>
      <w:r>
        <w:rPr>
          <w:rFonts w:eastAsia="仿宋_GB2312"/>
          <w:bCs/>
          <w:sz w:val="32"/>
          <w:szCs w:val="32"/>
        </w:rPr>
        <w:t>1.</w:t>
      </w:r>
      <w:r>
        <w:rPr>
          <w:rFonts w:eastAsia="仿宋_GB2312" w:hint="eastAsia"/>
          <w:bCs/>
          <w:sz w:val="32"/>
          <w:szCs w:val="32"/>
        </w:rPr>
        <w:t>处方药味</w:t>
      </w:r>
      <w:bookmarkEnd w:id="43"/>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处方药味包括饮片、提取物等。同名同方药的处方组成及用量（包括药材基原、药用部位、饮片炮制规格及炮制方法等）应与对照药一致。</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多基原的药材应在对照药的使用范围内研究固定基原。应研究固定药材产地。明确详细的炮制工艺路线和关键工艺参数。</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药材</w:t>
      </w:r>
      <w:r>
        <w:rPr>
          <w:rFonts w:eastAsia="仿宋_GB2312"/>
          <w:sz w:val="32"/>
          <w:szCs w:val="32"/>
        </w:rPr>
        <w:t>/</w:t>
      </w:r>
      <w:r>
        <w:rPr>
          <w:rFonts w:eastAsia="仿宋_GB2312" w:hint="eastAsia"/>
          <w:sz w:val="32"/>
          <w:szCs w:val="32"/>
        </w:rPr>
        <w:t>饮片应符合国家药品标准、药品注册标准以及省、自治区、直辖市药材标准和</w:t>
      </w:r>
      <w:r>
        <w:rPr>
          <w:rFonts w:eastAsia="仿宋_GB2312"/>
          <w:sz w:val="32"/>
          <w:szCs w:val="32"/>
        </w:rPr>
        <w:t>/</w:t>
      </w:r>
      <w:r>
        <w:rPr>
          <w:rFonts w:eastAsia="仿宋_GB2312" w:hint="eastAsia"/>
          <w:sz w:val="32"/>
          <w:szCs w:val="32"/>
        </w:rPr>
        <w:t>或炮制规范等，若不能满足质量控制需要的，应研究完善其质量标准。所用提取物应符合相应制剂要求和国家相关规定。外购提取物应明确其相关批准（备案）情况、制备方法及生产商</w:t>
      </w:r>
      <w:r>
        <w:rPr>
          <w:rFonts w:eastAsia="仿宋_GB2312"/>
          <w:sz w:val="32"/>
          <w:szCs w:val="32"/>
        </w:rPr>
        <w:t>/</w:t>
      </w:r>
      <w:r>
        <w:rPr>
          <w:rFonts w:eastAsia="仿宋_GB2312" w:hint="eastAsia"/>
          <w:sz w:val="32"/>
          <w:szCs w:val="32"/>
        </w:rPr>
        <w:t>供应商等信息。</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应保障药材资源的可持续利用。</w:t>
      </w:r>
    </w:p>
    <w:p w:rsidR="00B323CD" w:rsidRDefault="00B323CD" w:rsidP="00B323CD">
      <w:pPr>
        <w:adjustRightInd w:val="0"/>
        <w:snapToGrid w:val="0"/>
        <w:spacing w:line="360" w:lineRule="auto"/>
        <w:ind w:firstLineChars="200" w:firstLine="640"/>
        <w:outlineLvl w:val="1"/>
        <w:rPr>
          <w:rFonts w:eastAsia="仿宋_GB2312"/>
          <w:bCs/>
          <w:sz w:val="32"/>
          <w:szCs w:val="32"/>
        </w:rPr>
      </w:pPr>
      <w:bookmarkStart w:id="44" w:name="_Toc97014661"/>
      <w:r>
        <w:rPr>
          <w:rFonts w:eastAsia="仿宋_GB2312"/>
          <w:bCs/>
          <w:sz w:val="32"/>
          <w:szCs w:val="32"/>
        </w:rPr>
        <w:lastRenderedPageBreak/>
        <w:t>2.</w:t>
      </w:r>
      <w:r>
        <w:rPr>
          <w:rFonts w:eastAsia="仿宋_GB2312" w:hint="eastAsia"/>
          <w:bCs/>
          <w:sz w:val="32"/>
          <w:szCs w:val="32"/>
        </w:rPr>
        <w:t>制备工艺</w:t>
      </w:r>
      <w:bookmarkEnd w:id="44"/>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如果同名同方药与对照药的工艺路线一致，应研究明确前处理、提取纯化、浓缩干燥、制剂成型等工艺参数，工艺参数发生变化的，可参照《已上市中药药学变更研究技术指导原则（试行）》进行评估。如果生产工艺发生明显改变或难以评估的，应参照《中药复方制剂生产工艺研究技术指导原则（试行）》开展生产工艺研究。</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辅料应符合药用辅料管理的相关规定和要求。若辅料与对照药所使用的不同，应进行研究。</w:t>
      </w:r>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同名同方药应与对照药进行质量对比研究，评价指标一般包括但不限于浸出物、指纹图谱（特征图谱）以及多种成份含量等。根据确定的制备工艺完成不少于</w:t>
      </w:r>
      <w:r>
        <w:rPr>
          <w:rFonts w:eastAsia="仿宋_GB2312"/>
          <w:sz w:val="32"/>
          <w:szCs w:val="32"/>
        </w:rPr>
        <w:t>3</w:t>
      </w:r>
      <w:r>
        <w:rPr>
          <w:rFonts w:eastAsia="仿宋_GB2312" w:hint="eastAsia"/>
          <w:sz w:val="32"/>
          <w:szCs w:val="32"/>
        </w:rPr>
        <w:t>批商业规模生产工艺验证。</w:t>
      </w:r>
      <w:bookmarkStart w:id="45" w:name="_Toc96445287"/>
    </w:p>
    <w:p w:rsidR="00B323CD" w:rsidRDefault="00B323CD" w:rsidP="00B323CD">
      <w:pPr>
        <w:adjustRightInd w:val="0"/>
        <w:snapToGrid w:val="0"/>
        <w:spacing w:line="360" w:lineRule="auto"/>
        <w:ind w:leftChars="250" w:left="525" w:firstLineChars="50" w:firstLine="160"/>
        <w:outlineLvl w:val="1"/>
        <w:rPr>
          <w:rFonts w:eastAsia="仿宋_GB2312"/>
          <w:bCs/>
          <w:sz w:val="32"/>
          <w:szCs w:val="32"/>
        </w:rPr>
      </w:pPr>
      <w:bookmarkStart w:id="46" w:name="_Toc97014662"/>
      <w:r>
        <w:rPr>
          <w:rFonts w:eastAsia="仿宋_GB2312"/>
          <w:bCs/>
          <w:sz w:val="32"/>
          <w:szCs w:val="32"/>
        </w:rPr>
        <w:t>3.</w:t>
      </w:r>
      <w:r>
        <w:rPr>
          <w:rFonts w:eastAsia="仿宋_GB2312" w:hint="eastAsia"/>
          <w:bCs/>
          <w:sz w:val="32"/>
          <w:szCs w:val="32"/>
        </w:rPr>
        <w:t>质量研究与质量标准</w:t>
      </w:r>
      <w:bookmarkEnd w:id="45"/>
      <w:bookmarkEnd w:id="46"/>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t>同名同方药应加强药材、饮片、中间体、制剂等质量研究，应特别关注与安全性有关的质量控制研究。对于含大毒（剧毒）药味或现代研究发现有严重毒性的药味，应对相关毒性成份进行质量控制。参考同处方不同剂型品种质量标准的质量控制项目，参照中药新药质量研究及质量标准研究相关技术指导原则研究制定质量标准，保证同名同方药质量可控性不低于同名同方已上市中药。</w:t>
      </w:r>
    </w:p>
    <w:p w:rsidR="00B323CD" w:rsidRDefault="00B323CD" w:rsidP="00B323CD">
      <w:pPr>
        <w:adjustRightInd w:val="0"/>
        <w:snapToGrid w:val="0"/>
        <w:spacing w:line="360" w:lineRule="auto"/>
        <w:ind w:firstLineChars="200" w:firstLine="640"/>
        <w:outlineLvl w:val="1"/>
        <w:rPr>
          <w:rFonts w:eastAsia="仿宋_GB2312"/>
          <w:bCs/>
          <w:sz w:val="32"/>
          <w:szCs w:val="32"/>
        </w:rPr>
      </w:pPr>
      <w:bookmarkStart w:id="47" w:name="_Toc97014663"/>
      <w:r>
        <w:rPr>
          <w:rFonts w:eastAsia="仿宋_GB2312"/>
          <w:bCs/>
          <w:sz w:val="32"/>
          <w:szCs w:val="32"/>
        </w:rPr>
        <w:t>4.</w:t>
      </w:r>
      <w:r>
        <w:rPr>
          <w:rFonts w:eastAsia="仿宋_GB2312" w:hint="eastAsia"/>
          <w:bCs/>
          <w:sz w:val="32"/>
          <w:szCs w:val="32"/>
        </w:rPr>
        <w:t>稳定性研究</w:t>
      </w:r>
      <w:bookmarkEnd w:id="47"/>
    </w:p>
    <w:p w:rsidR="00B323CD" w:rsidRDefault="00B323CD" w:rsidP="00B323CD">
      <w:pPr>
        <w:adjustRightInd w:val="0"/>
        <w:snapToGrid w:val="0"/>
        <w:spacing w:line="360" w:lineRule="auto"/>
        <w:ind w:firstLineChars="200" w:firstLine="640"/>
        <w:rPr>
          <w:rFonts w:eastAsia="仿宋_GB2312"/>
          <w:sz w:val="32"/>
          <w:szCs w:val="32"/>
        </w:rPr>
      </w:pPr>
      <w:r>
        <w:rPr>
          <w:rFonts w:eastAsia="仿宋_GB2312" w:hint="eastAsia"/>
          <w:sz w:val="32"/>
          <w:szCs w:val="32"/>
        </w:rPr>
        <w:lastRenderedPageBreak/>
        <w:t>参照相关指导原则开展稳定性研究，选择能灵敏反映药品稳定性的质量指标进行评价，根据稳定性研究结果，确定贮藏条件、有效期及包装材料。直接接触药品的包装材料</w:t>
      </w:r>
      <w:r>
        <w:rPr>
          <w:rFonts w:eastAsia="仿宋_GB2312"/>
          <w:sz w:val="32"/>
          <w:szCs w:val="32"/>
        </w:rPr>
        <w:t>/</w:t>
      </w:r>
      <w:r>
        <w:rPr>
          <w:rFonts w:eastAsia="仿宋_GB2312" w:hint="eastAsia"/>
          <w:sz w:val="32"/>
          <w:szCs w:val="32"/>
        </w:rPr>
        <w:t>容器应符合药包材管理的相关规定和要求。</w:t>
      </w:r>
    </w:p>
    <w:p w:rsidR="00B323CD" w:rsidRDefault="00B323CD" w:rsidP="00B323CD">
      <w:pPr>
        <w:adjustRightInd w:val="0"/>
        <w:snapToGrid w:val="0"/>
        <w:spacing w:line="360" w:lineRule="auto"/>
        <w:ind w:firstLineChars="200" w:firstLine="640"/>
        <w:outlineLvl w:val="0"/>
        <w:rPr>
          <w:rFonts w:eastAsia="黑体"/>
          <w:sz w:val="32"/>
          <w:szCs w:val="32"/>
        </w:rPr>
      </w:pPr>
      <w:bookmarkStart w:id="48" w:name="_Toc97014664"/>
      <w:r>
        <w:rPr>
          <w:rFonts w:eastAsia="黑体" w:hint="eastAsia"/>
          <w:sz w:val="32"/>
          <w:szCs w:val="32"/>
        </w:rPr>
        <w:t>六、药理毒理研究</w:t>
      </w:r>
      <w:bookmarkEnd w:id="48"/>
    </w:p>
    <w:p w:rsidR="00B323CD" w:rsidRDefault="00B323CD" w:rsidP="00B323CD">
      <w:pPr>
        <w:adjustRightInd w:val="0"/>
        <w:snapToGrid w:val="0"/>
        <w:spacing w:line="360" w:lineRule="auto"/>
        <w:ind w:firstLineChars="200" w:firstLine="640"/>
        <w:rPr>
          <w:rFonts w:eastAsia="仿宋_GB2312"/>
          <w:sz w:val="32"/>
          <w:szCs w:val="32"/>
        </w:rPr>
      </w:pPr>
      <w:bookmarkStart w:id="49" w:name="_Toc96958851"/>
      <w:bookmarkStart w:id="50" w:name="_Toc96445961"/>
      <w:bookmarkStart w:id="51" w:name="_Toc96445809"/>
      <w:bookmarkStart w:id="52" w:name="_Toc95747295"/>
      <w:bookmarkStart w:id="53" w:name="_Toc95676270"/>
      <w:bookmarkStart w:id="54" w:name="_Toc94185522"/>
      <w:bookmarkStart w:id="55" w:name="_Toc94185371"/>
      <w:r>
        <w:rPr>
          <w:rFonts w:eastAsia="仿宋_GB2312" w:hint="eastAsia"/>
          <w:sz w:val="32"/>
          <w:szCs w:val="32"/>
        </w:rPr>
        <w:t>根据对照药的安全性信息、同名同方药</w:t>
      </w:r>
      <w:r w:rsidR="004170C9">
        <w:rPr>
          <w:rFonts w:eastAsia="仿宋_GB2312" w:hint="eastAsia"/>
          <w:sz w:val="32"/>
          <w:szCs w:val="32"/>
        </w:rPr>
        <w:t>的</w:t>
      </w:r>
      <w:r>
        <w:rPr>
          <w:rFonts w:eastAsia="仿宋_GB2312" w:hint="eastAsia"/>
          <w:sz w:val="32"/>
          <w:szCs w:val="32"/>
        </w:rPr>
        <w:t>药用物质基础或吸收、利用变化等情况，进行相应的毒理研究。</w:t>
      </w:r>
      <w:bookmarkEnd w:id="49"/>
      <w:bookmarkEnd w:id="50"/>
      <w:bookmarkEnd w:id="51"/>
      <w:bookmarkEnd w:id="52"/>
    </w:p>
    <w:p w:rsidR="00B323CD" w:rsidRDefault="00B323CD" w:rsidP="00B323CD">
      <w:pPr>
        <w:adjustRightInd w:val="0"/>
        <w:snapToGrid w:val="0"/>
        <w:spacing w:line="360" w:lineRule="auto"/>
        <w:ind w:firstLineChars="200" w:firstLine="640"/>
        <w:rPr>
          <w:rFonts w:eastAsia="仿宋_GB2312"/>
          <w:sz w:val="32"/>
          <w:szCs w:val="32"/>
        </w:rPr>
      </w:pPr>
      <w:bookmarkStart w:id="56" w:name="_Toc96958852"/>
      <w:bookmarkStart w:id="57" w:name="_Toc96445962"/>
      <w:bookmarkStart w:id="58" w:name="_Toc96445810"/>
      <w:bookmarkStart w:id="59" w:name="_Toc95747296"/>
      <w:r>
        <w:rPr>
          <w:rFonts w:eastAsia="仿宋_GB2312"/>
          <w:sz w:val="32"/>
          <w:szCs w:val="32"/>
        </w:rPr>
        <w:t>1.</w:t>
      </w:r>
      <w:r>
        <w:rPr>
          <w:rFonts w:eastAsia="仿宋_GB2312" w:hint="eastAsia"/>
          <w:sz w:val="32"/>
          <w:szCs w:val="32"/>
        </w:rPr>
        <w:t>如对照药上市前及上市后均未进行相关的毒理研究，且在应用过程中存在安全性担忧的，应进行毒理试验。</w:t>
      </w:r>
      <w:bookmarkEnd w:id="56"/>
      <w:bookmarkEnd w:id="57"/>
      <w:bookmarkEnd w:id="58"/>
      <w:bookmarkEnd w:id="59"/>
    </w:p>
    <w:p w:rsidR="00B323CD" w:rsidRDefault="00B323CD" w:rsidP="00B323CD">
      <w:pPr>
        <w:adjustRightInd w:val="0"/>
        <w:snapToGrid w:val="0"/>
        <w:spacing w:line="360" w:lineRule="auto"/>
        <w:ind w:firstLineChars="200" w:firstLine="640"/>
        <w:rPr>
          <w:rFonts w:eastAsia="仿宋_GB2312"/>
          <w:sz w:val="32"/>
          <w:szCs w:val="32"/>
        </w:rPr>
      </w:pPr>
      <w:bookmarkStart w:id="60" w:name="_Toc95747297"/>
      <w:bookmarkStart w:id="61" w:name="_Toc96958853"/>
      <w:bookmarkStart w:id="62" w:name="_Toc96445963"/>
      <w:bookmarkStart w:id="63" w:name="_Toc96445811"/>
      <w:r>
        <w:rPr>
          <w:rFonts w:eastAsia="仿宋_GB2312"/>
          <w:sz w:val="32"/>
          <w:szCs w:val="32"/>
        </w:rPr>
        <w:t>2.</w:t>
      </w:r>
      <w:r>
        <w:rPr>
          <w:rFonts w:eastAsia="仿宋_GB2312" w:hint="eastAsia"/>
          <w:sz w:val="32"/>
          <w:szCs w:val="32"/>
        </w:rPr>
        <w:t>如同名同方药的药用物质基础或吸收、利用与对照药相比发生明显改变，或难以评估的，需进行毒理试验。</w:t>
      </w:r>
      <w:bookmarkEnd w:id="60"/>
      <w:bookmarkEnd w:id="61"/>
      <w:bookmarkEnd w:id="62"/>
      <w:bookmarkEnd w:id="63"/>
    </w:p>
    <w:p w:rsidR="00B323CD" w:rsidRDefault="00B323CD" w:rsidP="00B323CD">
      <w:pPr>
        <w:adjustRightInd w:val="0"/>
        <w:snapToGrid w:val="0"/>
        <w:spacing w:line="360" w:lineRule="auto"/>
        <w:ind w:firstLineChars="200" w:firstLine="640"/>
        <w:rPr>
          <w:rFonts w:eastAsia="仿宋_GB2312"/>
          <w:sz w:val="32"/>
          <w:szCs w:val="32"/>
        </w:rPr>
      </w:pPr>
      <w:bookmarkStart w:id="64" w:name="_Toc96958854"/>
      <w:bookmarkStart w:id="65" w:name="_Toc95747298"/>
      <w:bookmarkStart w:id="66" w:name="_Toc96445964"/>
      <w:bookmarkStart w:id="67" w:name="_Toc96445812"/>
      <w:r>
        <w:rPr>
          <w:rFonts w:eastAsia="仿宋_GB2312"/>
          <w:sz w:val="32"/>
          <w:szCs w:val="32"/>
        </w:rPr>
        <w:t>3.</w:t>
      </w:r>
      <w:r>
        <w:rPr>
          <w:rFonts w:eastAsia="仿宋_GB2312" w:hint="eastAsia"/>
          <w:sz w:val="32"/>
          <w:szCs w:val="32"/>
        </w:rPr>
        <w:t>根据具体情况，确定所需要进行的毒理试验项目。对于中药复方制剂，毒理试验项目一般包括单次给药毒性试验、重复给药毒性试验，必要时根据具体情况进行其他毒理试验。</w:t>
      </w:r>
      <w:bookmarkEnd w:id="64"/>
    </w:p>
    <w:p w:rsidR="00B323CD" w:rsidRDefault="00B323CD" w:rsidP="00B323CD">
      <w:pPr>
        <w:adjustRightInd w:val="0"/>
        <w:snapToGrid w:val="0"/>
        <w:spacing w:line="360" w:lineRule="auto"/>
        <w:ind w:firstLineChars="200" w:firstLine="640"/>
        <w:rPr>
          <w:rFonts w:eastAsia="仿宋_GB2312"/>
          <w:sz w:val="32"/>
          <w:szCs w:val="32"/>
        </w:rPr>
      </w:pPr>
      <w:bookmarkStart w:id="68" w:name="_Toc96958855"/>
      <w:bookmarkStart w:id="69" w:name="_Toc96445965"/>
      <w:bookmarkStart w:id="70" w:name="_Toc96445813"/>
      <w:bookmarkStart w:id="71" w:name="_Toc95747299"/>
      <w:bookmarkEnd w:id="65"/>
      <w:bookmarkEnd w:id="66"/>
      <w:bookmarkEnd w:id="67"/>
      <w:r>
        <w:rPr>
          <w:rFonts w:eastAsia="仿宋_GB2312" w:hint="eastAsia"/>
          <w:sz w:val="32"/>
          <w:szCs w:val="32"/>
        </w:rPr>
        <w:t>对于非口服给药途径的同名同方药，根据给药途径及制剂特点提供相应的制剂安全性试验资料。</w:t>
      </w:r>
      <w:bookmarkEnd w:id="68"/>
      <w:bookmarkEnd w:id="69"/>
      <w:bookmarkEnd w:id="70"/>
      <w:bookmarkEnd w:id="71"/>
    </w:p>
    <w:p w:rsidR="00B323CD" w:rsidRDefault="00B323CD" w:rsidP="00B323CD">
      <w:pPr>
        <w:adjustRightInd w:val="0"/>
        <w:snapToGrid w:val="0"/>
        <w:spacing w:line="360" w:lineRule="auto"/>
        <w:ind w:firstLineChars="200" w:firstLine="640"/>
        <w:outlineLvl w:val="0"/>
        <w:rPr>
          <w:rFonts w:eastAsia="黑体"/>
          <w:sz w:val="32"/>
          <w:szCs w:val="32"/>
        </w:rPr>
      </w:pPr>
      <w:bookmarkStart w:id="72" w:name="_Toc97014665"/>
      <w:bookmarkEnd w:id="53"/>
      <w:bookmarkEnd w:id="54"/>
      <w:bookmarkEnd w:id="55"/>
      <w:r>
        <w:rPr>
          <w:rFonts w:eastAsia="黑体" w:hint="eastAsia"/>
          <w:sz w:val="32"/>
          <w:szCs w:val="32"/>
        </w:rPr>
        <w:t>七、临床研究</w:t>
      </w:r>
      <w:bookmarkEnd w:id="72"/>
    </w:p>
    <w:p w:rsidR="00B323CD" w:rsidRDefault="00B323CD" w:rsidP="00B323CD">
      <w:pPr>
        <w:widowControl/>
        <w:adjustRightInd w:val="0"/>
        <w:snapToGrid w:val="0"/>
        <w:spacing w:line="360" w:lineRule="auto"/>
        <w:ind w:firstLineChars="200" w:firstLine="640"/>
        <w:jc w:val="left"/>
        <w:outlineLvl w:val="1"/>
        <w:rPr>
          <w:rFonts w:eastAsia="仿宋_GB2312"/>
          <w:sz w:val="32"/>
          <w:szCs w:val="32"/>
        </w:rPr>
      </w:pPr>
      <w:bookmarkStart w:id="73" w:name="_Toc97014666"/>
      <w:r>
        <w:rPr>
          <w:rFonts w:eastAsia="仿宋_GB2312"/>
          <w:sz w:val="32"/>
          <w:szCs w:val="32"/>
        </w:rPr>
        <w:t>1.</w:t>
      </w:r>
      <w:r>
        <w:rPr>
          <w:rFonts w:eastAsia="仿宋_GB2312" w:hint="eastAsia"/>
          <w:sz w:val="32"/>
          <w:szCs w:val="32"/>
        </w:rPr>
        <w:t>开展临床研究的一般考虑</w:t>
      </w:r>
      <w:bookmarkEnd w:id="73"/>
    </w:p>
    <w:p w:rsidR="00B323CD" w:rsidRDefault="00B323CD" w:rsidP="00B323CD">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存在以下情形时，需结合临床试验确定同名同方药的功能主治、用法用量以及临床用药的安全性内容：</w:t>
      </w:r>
    </w:p>
    <w:p w:rsidR="00B323CD" w:rsidRDefault="00B323CD" w:rsidP="00B323CD">
      <w:pPr>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）若同名同方药的药用物质基础或吸收、利用与对照药相比未发生明显改变，但未能提供对照药充分的</w:t>
      </w:r>
      <w:r w:rsidR="004170C9">
        <w:rPr>
          <w:rFonts w:eastAsia="仿宋_GB2312" w:hint="eastAsia"/>
          <w:sz w:val="32"/>
          <w:szCs w:val="32"/>
        </w:rPr>
        <w:t>有效性</w:t>
      </w:r>
      <w:r>
        <w:rPr>
          <w:rFonts w:eastAsia="仿宋_GB2312" w:hint="eastAsia"/>
          <w:sz w:val="32"/>
          <w:szCs w:val="32"/>
        </w:rPr>
        <w:t>、</w:t>
      </w:r>
      <w:r w:rsidR="004170C9">
        <w:rPr>
          <w:rFonts w:eastAsia="仿宋_GB2312" w:hint="eastAsia"/>
          <w:sz w:val="32"/>
          <w:szCs w:val="32"/>
        </w:rPr>
        <w:lastRenderedPageBreak/>
        <w:t>安全</w:t>
      </w:r>
      <w:r>
        <w:rPr>
          <w:rFonts w:eastAsia="仿宋_GB2312" w:hint="eastAsia"/>
          <w:sz w:val="32"/>
          <w:szCs w:val="32"/>
        </w:rPr>
        <w:t>性证据，需结合</w:t>
      </w:r>
      <w:r w:rsidR="004170C9">
        <w:rPr>
          <w:rFonts w:eastAsia="仿宋_GB2312" w:hint="eastAsia"/>
          <w:sz w:val="32"/>
          <w:szCs w:val="32"/>
        </w:rPr>
        <w:t>现行</w:t>
      </w:r>
      <w:r>
        <w:rPr>
          <w:rFonts w:eastAsia="仿宋_GB2312" w:hint="eastAsia"/>
          <w:sz w:val="32"/>
          <w:szCs w:val="32"/>
        </w:rPr>
        <w:t>技术要求开展三臂试验设计的确证性临床试验，验证同名同方药的</w:t>
      </w:r>
      <w:r w:rsidR="004170C9">
        <w:rPr>
          <w:rFonts w:eastAsia="仿宋_GB2312" w:hint="eastAsia"/>
          <w:sz w:val="32"/>
          <w:szCs w:val="32"/>
        </w:rPr>
        <w:t>有效</w:t>
      </w:r>
      <w:r>
        <w:rPr>
          <w:rFonts w:eastAsia="仿宋_GB2312" w:hint="eastAsia"/>
          <w:sz w:val="32"/>
          <w:szCs w:val="32"/>
        </w:rPr>
        <w:t>性和</w:t>
      </w:r>
      <w:r w:rsidR="004170C9">
        <w:rPr>
          <w:rFonts w:eastAsia="仿宋_GB2312" w:hint="eastAsia"/>
          <w:sz w:val="32"/>
          <w:szCs w:val="32"/>
        </w:rPr>
        <w:t>安全</w:t>
      </w:r>
      <w:r>
        <w:rPr>
          <w:rFonts w:eastAsia="仿宋_GB2312" w:hint="eastAsia"/>
          <w:sz w:val="32"/>
          <w:szCs w:val="32"/>
        </w:rPr>
        <w:t>性，且其</w:t>
      </w:r>
      <w:r w:rsidR="004170C9">
        <w:rPr>
          <w:rFonts w:eastAsia="仿宋_GB2312" w:hint="eastAsia"/>
          <w:sz w:val="32"/>
          <w:szCs w:val="32"/>
        </w:rPr>
        <w:t>有效</w:t>
      </w:r>
      <w:r>
        <w:rPr>
          <w:rFonts w:eastAsia="仿宋_GB2312" w:hint="eastAsia"/>
          <w:sz w:val="32"/>
          <w:szCs w:val="32"/>
        </w:rPr>
        <w:t>性、</w:t>
      </w:r>
      <w:r w:rsidR="004170C9">
        <w:rPr>
          <w:rFonts w:eastAsia="仿宋_GB2312" w:hint="eastAsia"/>
          <w:sz w:val="32"/>
          <w:szCs w:val="32"/>
        </w:rPr>
        <w:t>安全</w:t>
      </w:r>
      <w:r>
        <w:rPr>
          <w:rFonts w:eastAsia="仿宋_GB2312" w:hint="eastAsia"/>
          <w:sz w:val="32"/>
          <w:szCs w:val="32"/>
        </w:rPr>
        <w:t>性不低于对照药。</w:t>
      </w:r>
    </w:p>
    <w:p w:rsidR="00B323CD" w:rsidRDefault="00B323CD" w:rsidP="00B323CD">
      <w:pPr>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）若同名同方药的药用物质基础或吸收、利用与对照药相比发生明显改变的，或难以评估同名同方药的药用物质基础或吸收、利用与对照药一致性的，则需按创新药要求，结合</w:t>
      </w:r>
      <w:r w:rsidR="004170C9">
        <w:rPr>
          <w:rFonts w:eastAsia="仿宋_GB2312" w:hint="eastAsia"/>
          <w:sz w:val="32"/>
          <w:szCs w:val="32"/>
        </w:rPr>
        <w:t>现行</w:t>
      </w:r>
      <w:r>
        <w:rPr>
          <w:rFonts w:eastAsia="仿宋_GB2312" w:hint="eastAsia"/>
          <w:sz w:val="32"/>
          <w:szCs w:val="32"/>
        </w:rPr>
        <w:t>技术要求开展探索性及确证性临床试验。若能提供对照药充分的</w:t>
      </w:r>
      <w:r w:rsidR="004170C9">
        <w:rPr>
          <w:rFonts w:eastAsia="仿宋_GB2312" w:hint="eastAsia"/>
          <w:sz w:val="32"/>
          <w:szCs w:val="32"/>
        </w:rPr>
        <w:t>有效性</w:t>
      </w:r>
      <w:r>
        <w:rPr>
          <w:rFonts w:eastAsia="仿宋_GB2312" w:hint="eastAsia"/>
          <w:sz w:val="32"/>
          <w:szCs w:val="32"/>
        </w:rPr>
        <w:t>、</w:t>
      </w:r>
      <w:r w:rsidR="004170C9">
        <w:rPr>
          <w:rFonts w:eastAsia="仿宋_GB2312" w:hint="eastAsia"/>
          <w:sz w:val="32"/>
          <w:szCs w:val="32"/>
        </w:rPr>
        <w:t>安全</w:t>
      </w:r>
      <w:r>
        <w:rPr>
          <w:rFonts w:eastAsia="仿宋_GB2312" w:hint="eastAsia"/>
          <w:sz w:val="32"/>
          <w:szCs w:val="32"/>
        </w:rPr>
        <w:t>性证据，临床试验需验证其有效性和安全性不低于对照药；若不能提供对照药充分</w:t>
      </w:r>
      <w:r w:rsidR="004170C9">
        <w:rPr>
          <w:rFonts w:eastAsia="仿宋_GB2312" w:hint="eastAsia"/>
          <w:sz w:val="32"/>
          <w:szCs w:val="32"/>
        </w:rPr>
        <w:t>有效性</w:t>
      </w:r>
      <w:r>
        <w:rPr>
          <w:rFonts w:eastAsia="仿宋_GB2312" w:hint="eastAsia"/>
          <w:sz w:val="32"/>
          <w:szCs w:val="32"/>
        </w:rPr>
        <w:t>、</w:t>
      </w:r>
      <w:r w:rsidR="004170C9">
        <w:rPr>
          <w:rFonts w:eastAsia="仿宋_GB2312" w:hint="eastAsia"/>
          <w:sz w:val="32"/>
          <w:szCs w:val="32"/>
        </w:rPr>
        <w:t>安全</w:t>
      </w:r>
      <w:r>
        <w:rPr>
          <w:rFonts w:eastAsia="仿宋_GB2312" w:hint="eastAsia"/>
          <w:sz w:val="32"/>
          <w:szCs w:val="32"/>
        </w:rPr>
        <w:t>性证据，需结合</w:t>
      </w:r>
      <w:r w:rsidR="004170C9">
        <w:rPr>
          <w:rFonts w:eastAsia="仿宋_GB2312" w:hint="eastAsia"/>
          <w:sz w:val="32"/>
          <w:szCs w:val="32"/>
        </w:rPr>
        <w:t>现行</w:t>
      </w:r>
      <w:r>
        <w:rPr>
          <w:rFonts w:eastAsia="仿宋_GB2312" w:hint="eastAsia"/>
          <w:sz w:val="32"/>
          <w:szCs w:val="32"/>
        </w:rPr>
        <w:t>技术要求开展三臂试验设计临床试验，验证同名同方药的</w:t>
      </w:r>
      <w:r w:rsidR="004170C9">
        <w:rPr>
          <w:rFonts w:eastAsia="仿宋_GB2312" w:hint="eastAsia"/>
          <w:sz w:val="32"/>
          <w:szCs w:val="32"/>
        </w:rPr>
        <w:t>有效</w:t>
      </w:r>
      <w:r>
        <w:rPr>
          <w:rFonts w:eastAsia="仿宋_GB2312" w:hint="eastAsia"/>
          <w:sz w:val="32"/>
          <w:szCs w:val="32"/>
        </w:rPr>
        <w:t>性和</w:t>
      </w:r>
      <w:r w:rsidR="004170C9">
        <w:rPr>
          <w:rFonts w:eastAsia="仿宋_GB2312" w:hint="eastAsia"/>
          <w:sz w:val="32"/>
          <w:szCs w:val="32"/>
        </w:rPr>
        <w:t>安全</w:t>
      </w:r>
      <w:r>
        <w:rPr>
          <w:rFonts w:eastAsia="仿宋_GB2312" w:hint="eastAsia"/>
          <w:sz w:val="32"/>
          <w:szCs w:val="32"/>
        </w:rPr>
        <w:t>性，且有效性和安全性不低于对照药。</w:t>
      </w:r>
    </w:p>
    <w:p w:rsidR="00B323CD" w:rsidRDefault="00B323CD" w:rsidP="00B323CD">
      <w:pPr>
        <w:ind w:firstLineChars="200" w:firstLine="640"/>
        <w:rPr>
          <w:rFonts w:eastAsia="仿宋_GB2312"/>
          <w:sz w:val="32"/>
          <w:szCs w:val="32"/>
        </w:rPr>
      </w:pPr>
      <w:r>
        <w:rPr>
          <w:rFonts w:eastAsia="仿宋_GB2312" w:hint="eastAsia"/>
          <w:sz w:val="32"/>
          <w:szCs w:val="32"/>
        </w:rPr>
        <w:t>开展临床研究时，原则上需对对照药的所有功能主治进行验证；若对照药功能主治因特殊原因不能全部进行验证，仅针对其功能主治范围内的部分主治病证进行临床验证，应充分说明原因以及选择依据，上述情况的同名同方药功能主治的表述应根据临床试验提供的证据来确定。</w:t>
      </w:r>
    </w:p>
    <w:p w:rsidR="00B323CD" w:rsidRDefault="00B323CD" w:rsidP="00B323CD">
      <w:pPr>
        <w:widowControl/>
        <w:adjustRightInd w:val="0"/>
        <w:snapToGrid w:val="0"/>
        <w:spacing w:line="360" w:lineRule="auto"/>
        <w:ind w:firstLineChars="200" w:firstLine="640"/>
        <w:jc w:val="left"/>
        <w:outlineLvl w:val="1"/>
        <w:rPr>
          <w:rFonts w:eastAsia="仿宋_GB2312"/>
          <w:sz w:val="32"/>
          <w:szCs w:val="32"/>
        </w:rPr>
      </w:pPr>
      <w:bookmarkStart w:id="74" w:name="_Toc97014667"/>
      <w:r>
        <w:rPr>
          <w:rFonts w:eastAsia="仿宋_GB2312"/>
          <w:sz w:val="32"/>
          <w:szCs w:val="32"/>
        </w:rPr>
        <w:t>2.</w:t>
      </w:r>
      <w:r>
        <w:rPr>
          <w:rFonts w:eastAsia="仿宋_GB2312" w:hint="eastAsia"/>
          <w:sz w:val="32"/>
          <w:szCs w:val="32"/>
        </w:rPr>
        <w:t>说明书</w:t>
      </w:r>
      <w:bookmarkEnd w:id="74"/>
      <w:r>
        <w:rPr>
          <w:rFonts w:eastAsia="仿宋_GB2312" w:hint="eastAsia"/>
          <w:sz w:val="32"/>
          <w:szCs w:val="32"/>
        </w:rPr>
        <w:t>撰写一般考虑</w:t>
      </w:r>
    </w:p>
    <w:p w:rsidR="00B323CD" w:rsidRDefault="00B323CD" w:rsidP="00B323CD">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说明书撰写应符合相关规定。</w:t>
      </w:r>
    </w:p>
    <w:p w:rsidR="00B323CD" w:rsidRDefault="00B323CD" w:rsidP="00B323CD">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对于【功能主治】【用法用量】的确定，无需开展临床试验的同名同方药，应与所选对照药说明书保持一致；开</w:t>
      </w:r>
      <w:r>
        <w:rPr>
          <w:rFonts w:eastAsia="仿宋_GB2312" w:hint="eastAsia"/>
          <w:sz w:val="32"/>
          <w:szCs w:val="32"/>
        </w:rPr>
        <w:lastRenderedPageBreak/>
        <w:t>展临床试验的，需根据临床试验结果确定相应内容，并视情况在说明书【临床试验】项增加相应内容。</w:t>
      </w:r>
    </w:p>
    <w:p w:rsidR="00FF1E0C" w:rsidRPr="00087119" w:rsidRDefault="00B323CD" w:rsidP="00087119">
      <w:pPr>
        <w:widowControl/>
        <w:adjustRightInd w:val="0"/>
        <w:snapToGrid w:val="0"/>
        <w:spacing w:line="360" w:lineRule="auto"/>
        <w:ind w:firstLineChars="200" w:firstLine="640"/>
        <w:jc w:val="left"/>
        <w:rPr>
          <w:rFonts w:eastAsia="仿宋_GB2312"/>
          <w:sz w:val="32"/>
          <w:szCs w:val="32"/>
        </w:rPr>
      </w:pPr>
      <w:r>
        <w:rPr>
          <w:rFonts w:eastAsia="仿宋_GB2312" w:hint="eastAsia"/>
          <w:sz w:val="32"/>
          <w:szCs w:val="32"/>
        </w:rPr>
        <w:t>对于</w:t>
      </w:r>
      <w:r>
        <w:rPr>
          <w:rFonts w:eastAsia="仿宋_GB2312"/>
          <w:sz w:val="32"/>
          <w:szCs w:val="32"/>
        </w:rPr>
        <w:t>“</w:t>
      </w:r>
      <w:r>
        <w:rPr>
          <w:rFonts w:eastAsia="仿宋_GB2312" w:hint="eastAsia"/>
          <w:sz w:val="32"/>
          <w:szCs w:val="32"/>
        </w:rPr>
        <w:t>警示语</w:t>
      </w:r>
      <w:r>
        <w:rPr>
          <w:rFonts w:eastAsia="仿宋_GB2312"/>
          <w:sz w:val="32"/>
          <w:szCs w:val="32"/>
        </w:rPr>
        <w:t>”</w:t>
      </w:r>
      <w:r>
        <w:rPr>
          <w:rFonts w:eastAsia="仿宋_GB2312" w:hint="eastAsia"/>
          <w:sz w:val="32"/>
          <w:szCs w:val="32"/>
        </w:rPr>
        <w:t>、【不良反应】【禁忌】【注意事项】等安全性相关项的表述，还应考虑除对照药以外的其他已上市同品种说明书相关项内容及工艺情况，规范表述。开展了临床试验的，需根据临床试验结果增加相应内容。</w:t>
      </w:r>
    </w:p>
    <w:sectPr w:rsidR="00FF1E0C" w:rsidRPr="00087119" w:rsidSect="00087119">
      <w:pgSz w:w="11906" w:h="16838"/>
      <w:pgMar w:top="1440" w:right="1800" w:bottom="1440" w:left="1800" w:header="851" w:footer="992" w:gutter="0"/>
      <w:lnNumType w:countBy="1" w:restart="newSection"/>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CAF" w:rsidRDefault="00826CAF" w:rsidP="00B323CD">
      <w:r>
        <w:separator/>
      </w:r>
    </w:p>
  </w:endnote>
  <w:endnote w:type="continuationSeparator" w:id="0">
    <w:p w:rsidR="00826CAF" w:rsidRDefault="00826CAF" w:rsidP="00B3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83500"/>
      <w:docPartObj>
        <w:docPartGallery w:val="Page Numbers (Bottom of Page)"/>
        <w:docPartUnique/>
      </w:docPartObj>
    </w:sdtPr>
    <w:sdtEndPr/>
    <w:sdtContent>
      <w:p w:rsidR="00B323CD" w:rsidRDefault="00B323CD">
        <w:pPr>
          <w:pStyle w:val="a6"/>
          <w:jc w:val="center"/>
        </w:pPr>
        <w:r>
          <w:fldChar w:fldCharType="begin"/>
        </w:r>
        <w:r>
          <w:instrText>PAGE   \* MERGEFORMAT</w:instrText>
        </w:r>
        <w:r>
          <w:fldChar w:fldCharType="separate"/>
        </w:r>
        <w:r w:rsidR="00B66697" w:rsidRPr="00B66697">
          <w:rPr>
            <w:noProof/>
            <w:lang w:val="zh-CN"/>
          </w:rPr>
          <w:t>8</w:t>
        </w:r>
        <w:r>
          <w:fldChar w:fldCharType="end"/>
        </w:r>
      </w:p>
    </w:sdtContent>
  </w:sdt>
  <w:p w:rsidR="00B323CD" w:rsidRDefault="00B323C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3CD" w:rsidRDefault="00B323CD" w:rsidP="00B323CD">
    <w:pPr>
      <w:pStyle w:val="a6"/>
    </w:pPr>
  </w:p>
  <w:p w:rsidR="00B323CD" w:rsidRDefault="00B323C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CAF" w:rsidRDefault="00826CAF" w:rsidP="00B323CD">
      <w:r>
        <w:separator/>
      </w:r>
    </w:p>
  </w:footnote>
  <w:footnote w:type="continuationSeparator" w:id="0">
    <w:p w:rsidR="00826CAF" w:rsidRDefault="00826CAF" w:rsidP="00B32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CD"/>
    <w:rsid w:val="00087119"/>
    <w:rsid w:val="000951B9"/>
    <w:rsid w:val="000F3F01"/>
    <w:rsid w:val="00137095"/>
    <w:rsid w:val="00187F9D"/>
    <w:rsid w:val="001D1E33"/>
    <w:rsid w:val="001F026A"/>
    <w:rsid w:val="00261D2B"/>
    <w:rsid w:val="00273BD3"/>
    <w:rsid w:val="002A2624"/>
    <w:rsid w:val="00326121"/>
    <w:rsid w:val="00330A4B"/>
    <w:rsid w:val="0035420B"/>
    <w:rsid w:val="003A553B"/>
    <w:rsid w:val="003D6E1F"/>
    <w:rsid w:val="004170C9"/>
    <w:rsid w:val="00430F23"/>
    <w:rsid w:val="00434D92"/>
    <w:rsid w:val="00437DE2"/>
    <w:rsid w:val="00465C90"/>
    <w:rsid w:val="0047671C"/>
    <w:rsid w:val="004B1D40"/>
    <w:rsid w:val="00507BD5"/>
    <w:rsid w:val="0051113A"/>
    <w:rsid w:val="005F1592"/>
    <w:rsid w:val="006110E9"/>
    <w:rsid w:val="00673CE6"/>
    <w:rsid w:val="00692175"/>
    <w:rsid w:val="00734D37"/>
    <w:rsid w:val="00740EF4"/>
    <w:rsid w:val="007E2D7B"/>
    <w:rsid w:val="00814C49"/>
    <w:rsid w:val="00826CAF"/>
    <w:rsid w:val="00863560"/>
    <w:rsid w:val="00890FC1"/>
    <w:rsid w:val="008E427B"/>
    <w:rsid w:val="00993EE5"/>
    <w:rsid w:val="009C0C0F"/>
    <w:rsid w:val="009E217C"/>
    <w:rsid w:val="00B323CD"/>
    <w:rsid w:val="00B66697"/>
    <w:rsid w:val="00B72F8F"/>
    <w:rsid w:val="00B86D32"/>
    <w:rsid w:val="00C8379D"/>
    <w:rsid w:val="00C90863"/>
    <w:rsid w:val="00CB79AA"/>
    <w:rsid w:val="00CD64B6"/>
    <w:rsid w:val="00D14E02"/>
    <w:rsid w:val="00D16825"/>
    <w:rsid w:val="00D22FE7"/>
    <w:rsid w:val="00D65296"/>
    <w:rsid w:val="00DB5673"/>
    <w:rsid w:val="00DB5848"/>
    <w:rsid w:val="00DF1179"/>
    <w:rsid w:val="00E4036E"/>
    <w:rsid w:val="00F0327E"/>
    <w:rsid w:val="00F227CD"/>
    <w:rsid w:val="00F420CD"/>
    <w:rsid w:val="00F77C27"/>
    <w:rsid w:val="00FB5FA1"/>
    <w:rsid w:val="00FF1E0C"/>
    <w:rsid w:val="00FF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CAAD9"/>
  <w15:chartTrackingRefBased/>
  <w15:docId w15:val="{90EF67C0-4081-46BE-A589-B0AB803B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3CD"/>
    <w:pPr>
      <w:widowControl w:val="0"/>
      <w:jc w:val="both"/>
    </w:pPr>
    <w:rPr>
      <w:rFonts w:ascii="Times New Roman" w:eastAsia="宋体" w:hAnsi="Times New Roman" w:cs="Times New Roman"/>
      <w:szCs w:val="24"/>
    </w:rPr>
  </w:style>
  <w:style w:type="paragraph" w:styleId="1">
    <w:name w:val="heading 1"/>
    <w:basedOn w:val="a"/>
    <w:link w:val="10"/>
    <w:qFormat/>
    <w:rsid w:val="00B323C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323CD"/>
    <w:rPr>
      <w:rFonts w:ascii="宋体" w:eastAsia="宋体" w:hAnsi="宋体" w:cs="宋体"/>
      <w:b/>
      <w:bCs/>
      <w:kern w:val="36"/>
      <w:sz w:val="48"/>
      <w:szCs w:val="48"/>
    </w:rPr>
  </w:style>
  <w:style w:type="paragraph" w:styleId="11">
    <w:name w:val="toc 1"/>
    <w:basedOn w:val="a"/>
    <w:next w:val="a"/>
    <w:autoRedefine/>
    <w:semiHidden/>
    <w:rsid w:val="00B323CD"/>
  </w:style>
  <w:style w:type="character" w:styleId="a3">
    <w:name w:val="Hyperlink"/>
    <w:uiPriority w:val="99"/>
    <w:rsid w:val="00B323CD"/>
    <w:rPr>
      <w:rFonts w:cs="Times New Roman"/>
      <w:color w:val="0066CC"/>
      <w:u w:val="none"/>
      <w:effect w:val="none"/>
    </w:rPr>
  </w:style>
  <w:style w:type="paragraph" w:styleId="2">
    <w:name w:val="toc 2"/>
    <w:basedOn w:val="a"/>
    <w:next w:val="a"/>
    <w:autoRedefine/>
    <w:semiHidden/>
    <w:unhideWhenUsed/>
    <w:rsid w:val="00B323CD"/>
    <w:pPr>
      <w:ind w:leftChars="200" w:left="420"/>
    </w:pPr>
  </w:style>
  <w:style w:type="paragraph" w:customStyle="1" w:styleId="TOC1">
    <w:name w:val="TOC 标题1"/>
    <w:basedOn w:val="1"/>
    <w:next w:val="a"/>
    <w:uiPriority w:val="39"/>
    <w:qFormat/>
    <w:rsid w:val="00B323CD"/>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 w:type="paragraph" w:styleId="a4">
    <w:name w:val="header"/>
    <w:basedOn w:val="a"/>
    <w:link w:val="a5"/>
    <w:uiPriority w:val="99"/>
    <w:unhideWhenUsed/>
    <w:rsid w:val="00B323C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323CD"/>
    <w:rPr>
      <w:rFonts w:ascii="Times New Roman" w:eastAsia="宋体" w:hAnsi="Times New Roman" w:cs="Times New Roman"/>
      <w:sz w:val="18"/>
      <w:szCs w:val="18"/>
    </w:rPr>
  </w:style>
  <w:style w:type="paragraph" w:styleId="a6">
    <w:name w:val="footer"/>
    <w:basedOn w:val="a"/>
    <w:link w:val="a7"/>
    <w:uiPriority w:val="99"/>
    <w:unhideWhenUsed/>
    <w:rsid w:val="00B323CD"/>
    <w:pPr>
      <w:tabs>
        <w:tab w:val="center" w:pos="4153"/>
        <w:tab w:val="right" w:pos="8306"/>
      </w:tabs>
      <w:snapToGrid w:val="0"/>
      <w:jc w:val="left"/>
    </w:pPr>
    <w:rPr>
      <w:sz w:val="18"/>
      <w:szCs w:val="18"/>
    </w:rPr>
  </w:style>
  <w:style w:type="character" w:customStyle="1" w:styleId="a7">
    <w:name w:val="页脚 字符"/>
    <w:basedOn w:val="a0"/>
    <w:link w:val="a6"/>
    <w:uiPriority w:val="99"/>
    <w:rsid w:val="00B323CD"/>
    <w:rPr>
      <w:rFonts w:ascii="Times New Roman" w:eastAsia="宋体" w:hAnsi="Times New Roman" w:cs="Times New Roman"/>
      <w:sz w:val="18"/>
      <w:szCs w:val="18"/>
    </w:rPr>
  </w:style>
  <w:style w:type="character" w:styleId="a8">
    <w:name w:val="line number"/>
    <w:basedOn w:val="a0"/>
    <w:uiPriority w:val="99"/>
    <w:semiHidden/>
    <w:unhideWhenUsed/>
    <w:rsid w:val="00087119"/>
  </w:style>
  <w:style w:type="paragraph" w:styleId="a9">
    <w:name w:val="Balloon Text"/>
    <w:basedOn w:val="a"/>
    <w:link w:val="aa"/>
    <w:uiPriority w:val="99"/>
    <w:semiHidden/>
    <w:unhideWhenUsed/>
    <w:rsid w:val="004170C9"/>
    <w:rPr>
      <w:sz w:val="18"/>
      <w:szCs w:val="18"/>
    </w:rPr>
  </w:style>
  <w:style w:type="character" w:customStyle="1" w:styleId="aa">
    <w:name w:val="批注框文本 字符"/>
    <w:basedOn w:val="a0"/>
    <w:link w:val="a9"/>
    <w:uiPriority w:val="99"/>
    <w:semiHidden/>
    <w:rsid w:val="004170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3"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8"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7"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2" Type="http://schemas.openxmlformats.org/officeDocument/2006/relationships/settings" Target="settings.xml"/><Relationship Id="rId16"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20"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5" Type="http://schemas.openxmlformats.org/officeDocument/2006/relationships/endnotes" Target="endnotes.xml"/><Relationship Id="rId15"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0"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9"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4" Type="http://schemas.openxmlformats.org/officeDocument/2006/relationships/footnotes" Target="footnotes.xml"/><Relationship Id="rId9"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14" Type="http://schemas.openxmlformats.org/officeDocument/2006/relationships/hyperlink" Target="file:///E:\5--&#20013;&#33647;&#33647;&#23398;&#37096;&#25351;&#23548;&#21407;&#21017;&#24037;&#20316;\07--&#21516;&#21517;&#21516;&#26041;&#33647;&#25216;&#26415;&#25351;&#23548;&#21407;&#21017;\2--&#21516;&#21517;&#21516;&#26041;&#33647;&#36136;&#37327;&#25511;&#21046;&#36215;&#33609;\30--&#19978;&#32593;&#24449;&#27714;&#24847;&#35265;\&#22269;&#23478;&#33647;&#30417;&#23616;&#33647;&#23457;&#20013;&#24515;&#20851;&#20110;&#20844;&#24320;&#24449;&#27714;&#12298;&#21516;&#21517;&#21516;&#26041;&#33647;&#30740;&#31350;&#25216;&#26415;&#25351;&#23548;&#21407;&#21017;&#65288;&#24449;&#27714;&#24847;&#35265;&#31295;&#65289;&#12299;&#24847;&#35265;&#30340;&#35831;&#31034;-20220310.docx"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902</Words>
  <Characters>5148</Characters>
  <Application>Microsoft Office Word</Application>
  <DocSecurity>0</DocSecurity>
  <Lines>42</Lines>
  <Paragraphs>12</Paragraphs>
  <ScaleCrop>false</ScaleCrop>
  <Company>Microsoft</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王玲玲</dc:creator>
  <cp:keywords/>
  <dc:description/>
  <cp:lastModifiedBy>王玲玲</cp:lastModifiedBy>
  <cp:revision>6</cp:revision>
  <dcterms:created xsi:type="dcterms:W3CDTF">2022-03-11T01:11:00Z</dcterms:created>
  <dcterms:modified xsi:type="dcterms:W3CDTF">2022-03-11T03:34:00Z</dcterms:modified>
</cp:coreProperties>
</file>