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F8" w:rsidRDefault="001B572F">
      <w:pPr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37AF8" w:rsidRDefault="00137AF8">
      <w:pPr>
        <w:spacing w:line="560" w:lineRule="exact"/>
        <w:jc w:val="center"/>
        <w:rPr>
          <w:rFonts w:eastAsia="黑体"/>
          <w:sz w:val="32"/>
          <w:szCs w:val="32"/>
        </w:rPr>
      </w:pPr>
    </w:p>
    <w:p w:rsidR="00137AF8" w:rsidRDefault="001B572F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关于化学原料药再注册管理等有关事项的公告</w:t>
      </w:r>
    </w:p>
    <w:p w:rsidR="00137AF8" w:rsidRDefault="001B572F">
      <w:pPr>
        <w:snapToGrid w:val="0"/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（征求意见稿）</w:t>
      </w:r>
    </w:p>
    <w:p w:rsidR="00137AF8" w:rsidRDefault="00137AF8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137AF8" w:rsidRDefault="001B57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为进一步落实《药品管理法》</w:t>
      </w:r>
      <w:r>
        <w:rPr>
          <w:rFonts w:eastAsia="仿宋_GB2312"/>
          <w:sz w:val="32"/>
          <w:szCs w:val="32"/>
        </w:rPr>
        <w:t>《药品管理法实施条例》</w:t>
      </w:r>
      <w:r>
        <w:rPr>
          <w:rFonts w:eastAsia="仿宋_GB2312" w:hint="eastAsia"/>
          <w:sz w:val="32"/>
          <w:szCs w:val="32"/>
        </w:rPr>
        <w:t>《药品注册管理办法》关于化学原料药管理的有关要求，现进一步明确化学原料药通知书发放及再注册管理等有关事宜，公告如下：</w:t>
      </w:r>
    </w:p>
    <w:p w:rsidR="00137AF8" w:rsidRDefault="001B572F">
      <w:pPr>
        <w:numPr>
          <w:ilvl w:val="0"/>
          <w:numId w:val="1"/>
        </w:numPr>
        <w:spacing w:line="560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总体要求</w:t>
      </w:r>
    </w:p>
    <w:p w:rsidR="00137AF8" w:rsidRDefault="001B57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（一）化学</w:t>
      </w:r>
      <w:r>
        <w:rPr>
          <w:rFonts w:eastAsia="仿宋_GB2312"/>
          <w:sz w:val="32"/>
          <w:szCs w:val="32"/>
        </w:rPr>
        <w:t>原料药参照药品管理</w:t>
      </w:r>
      <w:r>
        <w:rPr>
          <w:rFonts w:eastAsia="仿宋_GB2312" w:hint="eastAsia"/>
          <w:sz w:val="32"/>
          <w:szCs w:val="32"/>
        </w:rPr>
        <w:t>，化学原料药登记注册、补充申请及再注册申请属于行政许可事项，药品监管部门</w:t>
      </w:r>
      <w:r>
        <w:rPr>
          <w:rFonts w:eastAsia="仿宋_GB2312"/>
          <w:sz w:val="32"/>
          <w:szCs w:val="32"/>
        </w:rPr>
        <w:t>按照《药品管理法》《药品管理法实施条例》《药品注册管理办法》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有关规定开展审评审批</w:t>
      </w:r>
      <w:r>
        <w:rPr>
          <w:rFonts w:eastAsia="仿宋_GB2312" w:hint="eastAsia"/>
          <w:sz w:val="32"/>
          <w:szCs w:val="32"/>
        </w:rPr>
        <w:t>。境内化学原料药登记人应为化学原料药实际生产企业</w:t>
      </w:r>
      <w:r>
        <w:rPr>
          <w:rFonts w:eastAsia="仿宋_GB2312"/>
          <w:sz w:val="32"/>
          <w:szCs w:val="32"/>
        </w:rPr>
        <w:t>。</w:t>
      </w:r>
    </w:p>
    <w:p w:rsidR="00137AF8" w:rsidRDefault="001B572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二、化学原料药批准通知书发放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（二）化学原料药登记后，经关联审评或单独审</w:t>
      </w:r>
      <w:r>
        <w:rPr>
          <w:rFonts w:eastAsia="仿宋_GB2312"/>
          <w:sz w:val="32"/>
          <w:szCs w:val="32"/>
        </w:rPr>
        <w:t>评通过的，发给</w:t>
      </w:r>
      <w:r>
        <w:rPr>
          <w:rFonts w:eastAsia="仿宋_GB2312" w:hint="eastAsia"/>
          <w:sz w:val="32"/>
          <w:szCs w:val="32"/>
        </w:rPr>
        <w:t>化学原料药批准通知书</w:t>
      </w:r>
      <w:r>
        <w:rPr>
          <w:rFonts w:eastAsia="仿宋_GB2312"/>
          <w:sz w:val="32"/>
          <w:szCs w:val="32"/>
        </w:rPr>
        <w:t>及核准后的生产工艺、质量标准和标签</w:t>
      </w:r>
      <w:r>
        <w:rPr>
          <w:rFonts w:eastAsia="仿宋_GB2312" w:hint="eastAsia"/>
          <w:sz w:val="32"/>
          <w:szCs w:val="32"/>
        </w:rPr>
        <w:t>，该批准通知书</w:t>
      </w:r>
      <w:r>
        <w:rPr>
          <w:rFonts w:eastAsia="仿宋_GB2312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原核发的化学</w:t>
      </w:r>
      <w:r>
        <w:rPr>
          <w:rFonts w:eastAsia="仿宋_GB2312"/>
          <w:sz w:val="32"/>
          <w:szCs w:val="32"/>
        </w:rPr>
        <w:t>原料药</w:t>
      </w:r>
      <w:r>
        <w:rPr>
          <w:rFonts w:eastAsia="仿宋_GB2312" w:hint="eastAsia"/>
          <w:sz w:val="32"/>
          <w:szCs w:val="32"/>
        </w:rPr>
        <w:t>药品</w:t>
      </w:r>
      <w:r>
        <w:rPr>
          <w:rFonts w:eastAsia="仿宋_GB2312"/>
          <w:sz w:val="32"/>
          <w:szCs w:val="32"/>
        </w:rPr>
        <w:t>注册批件具有同等效力</w:t>
      </w:r>
      <w:r>
        <w:rPr>
          <w:rFonts w:eastAsia="仿宋_GB2312" w:hint="eastAsia"/>
          <w:sz w:val="32"/>
          <w:szCs w:val="32"/>
        </w:rPr>
        <w:t>；审评不通过的，发给不予批准通知书。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对于按照《</w:t>
      </w:r>
      <w:r>
        <w:rPr>
          <w:rFonts w:eastAsia="仿宋_GB2312"/>
          <w:sz w:val="32"/>
          <w:szCs w:val="32"/>
        </w:rPr>
        <w:t>关于进一步完善药品关联审评审批和监管工作有关事宜的公告</w:t>
      </w:r>
      <w:r>
        <w:rPr>
          <w:rFonts w:eastAsia="仿宋_GB2312" w:hint="eastAsia"/>
          <w:sz w:val="32"/>
          <w:szCs w:val="32"/>
        </w:rPr>
        <w:t>》（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年第</w:t>
      </w:r>
      <w:r>
        <w:rPr>
          <w:rFonts w:eastAsia="仿宋_GB2312" w:hint="eastAsia"/>
          <w:sz w:val="32"/>
          <w:szCs w:val="32"/>
        </w:rPr>
        <w:t>56</w:t>
      </w:r>
      <w:r>
        <w:rPr>
          <w:rFonts w:eastAsia="仿宋_GB2312" w:hint="eastAsia"/>
          <w:sz w:val="32"/>
          <w:szCs w:val="32"/>
        </w:rPr>
        <w:t>号公告）要求转入登记平台的化学原料药，已有药品批准文号（包括进口药品注册证号，下同）的，不再发给化学原料药批准通知书。</w:t>
      </w:r>
    </w:p>
    <w:p w:rsidR="00137AF8" w:rsidRDefault="001B572F">
      <w:pPr>
        <w:numPr>
          <w:ilvl w:val="0"/>
          <w:numId w:val="2"/>
        </w:num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化学</w:t>
      </w:r>
      <w:r>
        <w:rPr>
          <w:rFonts w:eastAsia="仿宋_GB2312"/>
          <w:sz w:val="32"/>
          <w:szCs w:val="32"/>
        </w:rPr>
        <w:t>原料药批准通知书中载明登记号、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原料药名称、注册标准编号、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原料药有效期、生产企业、生产地址、通知书有效期等信息。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原料药批准通知书有效期为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，自批准之日起算。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（四）</w:t>
      </w:r>
      <w:r>
        <w:rPr>
          <w:rFonts w:eastAsia="仿宋_GB2312" w:hint="eastAsia"/>
          <w:sz w:val="32"/>
          <w:szCs w:val="32"/>
        </w:rPr>
        <w:t>对于化学原料药补充申请，审评通过的，发给化学原料药补充申请批准通知书，</w:t>
      </w:r>
      <w:r>
        <w:rPr>
          <w:rFonts w:eastAsia="仿宋_GB2312"/>
          <w:sz w:val="32"/>
          <w:szCs w:val="32"/>
        </w:rPr>
        <w:t>载明登记号、</w:t>
      </w:r>
      <w:r>
        <w:rPr>
          <w:rFonts w:eastAsia="仿宋_GB2312" w:hint="eastAsia"/>
          <w:sz w:val="32"/>
          <w:szCs w:val="32"/>
        </w:rPr>
        <w:t>原</w:t>
      </w:r>
      <w:r>
        <w:rPr>
          <w:rFonts w:eastAsia="仿宋_GB2312"/>
          <w:sz w:val="32"/>
          <w:szCs w:val="32"/>
        </w:rPr>
        <w:t>通知书</w:t>
      </w:r>
      <w:r>
        <w:rPr>
          <w:rFonts w:eastAsia="仿宋_GB2312" w:hint="eastAsia"/>
          <w:sz w:val="32"/>
          <w:szCs w:val="32"/>
        </w:rPr>
        <w:t>编号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原料药名称、注册标准编号、</w:t>
      </w:r>
      <w:r>
        <w:rPr>
          <w:rFonts w:eastAsia="仿宋_GB2312" w:hint="eastAsia"/>
          <w:sz w:val="32"/>
          <w:szCs w:val="32"/>
        </w:rPr>
        <w:t>申请内容、审批结论</w:t>
      </w:r>
      <w:r>
        <w:rPr>
          <w:rFonts w:eastAsia="仿宋_GB2312"/>
          <w:sz w:val="32"/>
          <w:szCs w:val="32"/>
        </w:rPr>
        <w:t>、生产企业、生产地址等信息。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三、化学原料药再注册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（五）境内生产化学原料药由属地省级药品监管部门开展再注册，境外生产化学原料药由药审中心开展再注册。已取得</w:t>
      </w:r>
      <w:r>
        <w:rPr>
          <w:rFonts w:eastAsia="仿宋_GB2312" w:hint="eastAsia"/>
          <w:sz w:val="32"/>
          <w:szCs w:val="32"/>
        </w:rPr>
        <w:t>药品</w:t>
      </w:r>
      <w:r>
        <w:rPr>
          <w:rFonts w:eastAsia="仿宋_GB2312" w:hint="eastAsia"/>
          <w:sz w:val="32"/>
          <w:szCs w:val="32"/>
          <w:lang w:bidi="ar"/>
        </w:rPr>
        <w:t>批准文号的化学原料药，基于原</w:t>
      </w:r>
      <w:r>
        <w:rPr>
          <w:rFonts w:eastAsia="仿宋_GB2312" w:hint="eastAsia"/>
          <w:sz w:val="32"/>
          <w:szCs w:val="32"/>
        </w:rPr>
        <w:t>批准文号</w:t>
      </w:r>
      <w:r>
        <w:rPr>
          <w:rFonts w:eastAsia="仿宋_GB2312" w:hint="eastAsia"/>
          <w:sz w:val="32"/>
          <w:szCs w:val="32"/>
          <w:lang w:bidi="ar"/>
        </w:rPr>
        <w:t>进行再注册；未取得</w:t>
      </w:r>
      <w:r>
        <w:rPr>
          <w:rFonts w:eastAsia="仿宋_GB2312" w:hint="eastAsia"/>
          <w:sz w:val="32"/>
          <w:szCs w:val="32"/>
        </w:rPr>
        <w:t>药品批准文号</w:t>
      </w:r>
      <w:r>
        <w:rPr>
          <w:rFonts w:eastAsia="仿宋_GB2312" w:hint="eastAsia"/>
          <w:sz w:val="32"/>
          <w:szCs w:val="32"/>
          <w:lang w:bidi="ar"/>
        </w:rPr>
        <w:t>、已通过审评审批标识为“</w:t>
      </w:r>
      <w:r>
        <w:rPr>
          <w:rFonts w:eastAsia="仿宋_GB2312" w:hint="eastAsia"/>
          <w:sz w:val="32"/>
          <w:szCs w:val="32"/>
          <w:lang w:bidi="ar"/>
        </w:rPr>
        <w:t>A</w:t>
      </w:r>
      <w:r>
        <w:rPr>
          <w:rFonts w:eastAsia="仿宋_GB2312" w:hint="eastAsia"/>
          <w:sz w:val="32"/>
          <w:szCs w:val="32"/>
          <w:lang w:bidi="ar"/>
        </w:rPr>
        <w:t>”的化学原料药，基于发放的化学原料药批准通知书进行再注册。化学原料药登记人应在药品</w:t>
      </w:r>
      <w:r>
        <w:rPr>
          <w:rFonts w:eastAsia="仿宋_GB2312" w:hint="eastAsia"/>
          <w:sz w:val="32"/>
          <w:szCs w:val="32"/>
        </w:rPr>
        <w:t>批准文号</w:t>
      </w:r>
      <w:r>
        <w:rPr>
          <w:rFonts w:eastAsia="仿宋_GB2312" w:hint="eastAsia"/>
          <w:sz w:val="32"/>
          <w:szCs w:val="32"/>
          <w:lang w:bidi="ar"/>
        </w:rPr>
        <w:t>或化学原料药批准通知书有效期届满前</w:t>
      </w:r>
      <w:r>
        <w:rPr>
          <w:rFonts w:eastAsia="仿宋_GB2312" w:hint="eastAsia"/>
          <w:sz w:val="32"/>
          <w:szCs w:val="32"/>
          <w:lang w:bidi="ar"/>
        </w:rPr>
        <w:t>6</w:t>
      </w:r>
      <w:r>
        <w:rPr>
          <w:rFonts w:eastAsia="仿宋_GB2312" w:hint="eastAsia"/>
          <w:sz w:val="32"/>
          <w:szCs w:val="32"/>
          <w:lang w:bidi="ar"/>
        </w:rPr>
        <w:t>个月向省局（或药审中心）申请再注册，审评通过的，发给再注册批准通知书；不予通过的，发给不予批准通知书。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（六）为有序开展化学原料药再注册工作，给予一定过渡期。对于已取得药品批准文号的化学原料药，本公告发布之日起，</w:t>
      </w:r>
      <w:r>
        <w:rPr>
          <w:rFonts w:eastAsia="仿宋_GB2312" w:hint="eastAsia"/>
          <w:sz w:val="32"/>
          <w:szCs w:val="32"/>
        </w:rPr>
        <w:t>药品</w:t>
      </w:r>
      <w:r>
        <w:rPr>
          <w:rFonts w:eastAsia="仿宋_GB2312"/>
          <w:sz w:val="32"/>
          <w:szCs w:val="32"/>
        </w:rPr>
        <w:t>注册批件</w:t>
      </w:r>
      <w:r>
        <w:rPr>
          <w:rFonts w:eastAsia="仿宋_GB2312" w:hint="eastAsia"/>
          <w:sz w:val="32"/>
          <w:szCs w:val="32"/>
        </w:rPr>
        <w:t>剩余有效期在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个月以上的，按照上述第（五）条申请再注册；药品</w:t>
      </w:r>
      <w:r>
        <w:rPr>
          <w:rFonts w:eastAsia="仿宋_GB2312"/>
          <w:sz w:val="32"/>
          <w:szCs w:val="32"/>
        </w:rPr>
        <w:t>注册批件</w:t>
      </w:r>
      <w:r>
        <w:rPr>
          <w:rFonts w:eastAsia="仿宋_GB2312" w:hint="eastAsia"/>
          <w:sz w:val="32"/>
          <w:szCs w:val="32"/>
          <w:lang w:bidi="ar"/>
        </w:rPr>
        <w:t>剩余有效期不满</w:t>
      </w:r>
      <w:r>
        <w:rPr>
          <w:rFonts w:eastAsia="仿宋_GB2312" w:hint="eastAsia"/>
          <w:sz w:val="32"/>
          <w:szCs w:val="32"/>
          <w:lang w:bidi="ar"/>
        </w:rPr>
        <w:t>6</w:t>
      </w:r>
      <w:r>
        <w:rPr>
          <w:rFonts w:eastAsia="仿宋_GB2312" w:hint="eastAsia"/>
          <w:sz w:val="32"/>
          <w:szCs w:val="32"/>
          <w:lang w:bidi="ar"/>
        </w:rPr>
        <w:t>个月或已过有效期的，化学原料药登记人应在本公告发布之日起一年内，向省局（或药审中心）提出再注册申请。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lastRenderedPageBreak/>
        <w:t>对于未取得药品批准文号的化学原料药，发给化学原料药批准通知书后，药品再注册工作</w:t>
      </w:r>
      <w:r>
        <w:rPr>
          <w:rFonts w:eastAsia="仿宋_GB2312" w:hint="eastAsia"/>
          <w:sz w:val="32"/>
          <w:szCs w:val="32"/>
        </w:rPr>
        <w:t>参照前款要求执行</w:t>
      </w:r>
      <w:r>
        <w:rPr>
          <w:rFonts w:eastAsia="仿宋_GB2312" w:hint="eastAsia"/>
          <w:sz w:val="32"/>
          <w:szCs w:val="32"/>
          <w:lang w:bidi="ar"/>
        </w:rPr>
        <w:t>；其中批准通知书剩余有效期不满</w:t>
      </w:r>
      <w:r>
        <w:rPr>
          <w:rFonts w:eastAsia="仿宋_GB2312" w:hint="eastAsia"/>
          <w:sz w:val="32"/>
          <w:szCs w:val="32"/>
          <w:lang w:bidi="ar"/>
        </w:rPr>
        <w:t>6</w:t>
      </w:r>
      <w:r>
        <w:rPr>
          <w:rFonts w:eastAsia="仿宋_GB2312" w:hint="eastAsia"/>
          <w:sz w:val="32"/>
          <w:szCs w:val="32"/>
          <w:lang w:bidi="ar"/>
        </w:rPr>
        <w:t>个月或已过有效期的，化学原料药登记人应在发放批准通知书之日起一年内，向省局（或药审中心）提出再注册申请。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过渡期期间，登记人可以对化学原料药变更进行补充申请或备案。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（七）对化学原料药再注册申请，审评通过的，原辅包登记平台仍保留“</w:t>
      </w:r>
      <w:r>
        <w:rPr>
          <w:rFonts w:eastAsia="仿宋_GB2312" w:hint="eastAsia"/>
          <w:sz w:val="32"/>
          <w:szCs w:val="32"/>
          <w:lang w:bidi="ar"/>
        </w:rPr>
        <w:t>A</w:t>
      </w:r>
      <w:r>
        <w:rPr>
          <w:rFonts w:eastAsia="仿宋_GB2312" w:hint="eastAsia"/>
          <w:sz w:val="32"/>
          <w:szCs w:val="32"/>
          <w:lang w:bidi="ar"/>
        </w:rPr>
        <w:t>”标识；审评未通过的，将化学原料药标识由“</w:t>
      </w:r>
      <w:r>
        <w:rPr>
          <w:rFonts w:eastAsia="仿宋_GB2312" w:hint="eastAsia"/>
          <w:sz w:val="32"/>
          <w:szCs w:val="32"/>
          <w:lang w:bidi="ar"/>
        </w:rPr>
        <w:t>A</w:t>
      </w:r>
      <w:r>
        <w:rPr>
          <w:rFonts w:eastAsia="仿宋_GB2312" w:hint="eastAsia"/>
          <w:sz w:val="32"/>
          <w:szCs w:val="32"/>
          <w:lang w:bidi="ar"/>
        </w:rPr>
        <w:t>”调整为“</w:t>
      </w:r>
      <w:r>
        <w:rPr>
          <w:rFonts w:eastAsia="仿宋_GB2312" w:hint="eastAsia"/>
          <w:sz w:val="32"/>
          <w:szCs w:val="32"/>
          <w:lang w:bidi="ar"/>
        </w:rPr>
        <w:t>I</w:t>
      </w:r>
      <w:r>
        <w:rPr>
          <w:rFonts w:eastAsia="仿宋_GB2312" w:hint="eastAsia"/>
          <w:sz w:val="32"/>
          <w:szCs w:val="32"/>
          <w:lang w:bidi="ar"/>
        </w:rPr>
        <w:t>”；对于未在批准证明文件有效期或上述过渡期限内申请再注册的</w:t>
      </w:r>
      <w:r>
        <w:rPr>
          <w:rFonts w:eastAsia="仿宋_GB2312" w:hint="eastAsia"/>
          <w:sz w:val="32"/>
          <w:szCs w:val="32"/>
          <w:lang w:val="en" w:bidi="ar"/>
        </w:rPr>
        <w:t>，</w:t>
      </w:r>
      <w:r>
        <w:rPr>
          <w:rFonts w:eastAsia="仿宋_GB2312" w:hint="eastAsia"/>
          <w:sz w:val="32"/>
          <w:szCs w:val="32"/>
          <w:lang w:bidi="ar"/>
        </w:rPr>
        <w:t>将化学原料药标识由“</w:t>
      </w:r>
      <w:r>
        <w:rPr>
          <w:rFonts w:eastAsia="仿宋_GB2312" w:hint="eastAsia"/>
          <w:sz w:val="32"/>
          <w:szCs w:val="32"/>
          <w:lang w:bidi="ar"/>
        </w:rPr>
        <w:t>A</w:t>
      </w:r>
      <w:r>
        <w:rPr>
          <w:rFonts w:eastAsia="仿宋_GB2312" w:hint="eastAsia"/>
          <w:sz w:val="32"/>
          <w:szCs w:val="32"/>
          <w:lang w:bidi="ar"/>
        </w:rPr>
        <w:t>”调整为“</w:t>
      </w:r>
      <w:r>
        <w:rPr>
          <w:rFonts w:eastAsia="仿宋_GB2312" w:hint="eastAsia"/>
          <w:sz w:val="32"/>
          <w:szCs w:val="32"/>
          <w:lang w:bidi="ar"/>
        </w:rPr>
        <w:t>I</w:t>
      </w:r>
      <w:r>
        <w:rPr>
          <w:rFonts w:eastAsia="仿宋_GB2312" w:hint="eastAsia"/>
          <w:sz w:val="32"/>
          <w:szCs w:val="32"/>
          <w:lang w:bidi="ar"/>
        </w:rPr>
        <w:t>”；已按期申请但未完成审评的，在该化学原料药登记项备注栏增加“再注册审评中”的说明。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（八）省局完成再注册后，将化学原料药再注册批准信息、变更的备案信息及时推送至登记平台，与该化学原料药登记信息相关联，平台及时对化学原料药批准证明文件有效期信息进行更新。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四、关于登记号注销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（九）登记人主动申请注销已通过审评审批的化学原料药登记号的，境内生产化学原料药登记人向所在省局递交材料，由省局向国家局书面提出注销；境外生产化学原料药登记人直接向药审中心提出注销申请。</w:t>
      </w:r>
    </w:p>
    <w:p w:rsidR="00137AF8" w:rsidRDefault="001B572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再注册审评审批未通过的境内生产化学原料药，由省局做出</w:t>
      </w:r>
      <w:r>
        <w:rPr>
          <w:rFonts w:eastAsia="仿宋_GB2312" w:hint="eastAsia"/>
          <w:sz w:val="32"/>
          <w:szCs w:val="32"/>
          <w:lang w:bidi="ar"/>
        </w:rPr>
        <w:lastRenderedPageBreak/>
        <w:t>不予再注册决定后，向国家局书面来函注销化学原料药登记号；再注册审评审批未通过的境外生产化学原料药，由药审中心做出不予再注册决定后，国家局按程序注销化学原料药登记号。</w:t>
      </w:r>
    </w:p>
    <w:p w:rsidR="001B572F" w:rsidRDefault="001B572F" w:rsidP="00C161EF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1B572F" w:rsidSect="00C161EF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C5" w:rsidRDefault="00440FC5">
      <w:r>
        <w:separator/>
      </w:r>
    </w:p>
  </w:endnote>
  <w:endnote w:type="continuationSeparator" w:id="0">
    <w:p w:rsidR="00440FC5" w:rsidRDefault="0044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F8" w:rsidRDefault="00137A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F8" w:rsidRDefault="00A927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2540" r="3175" b="0"/>
              <wp:wrapNone/>
              <wp:docPr id="2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AF8" w:rsidRDefault="001B572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61E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6.65pt;margin-top:0;width:4.55pt;height:10.3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Xvw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" filled="f" stroked="f">
              <v:textbox style="mso-fit-shape-to-text:t" inset="0,0,0,0">
                <w:txbxContent>
                  <w:p w:rsidR="00137AF8" w:rsidRDefault="001B572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61E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84480"/>
              <wp:effectExtent l="0" t="2540" r="3175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AF8" w:rsidRDefault="00137AF8">
                          <w:pPr>
                            <w:pStyle w:val="a5"/>
                          </w:pPr>
                        </w:p>
                        <w:p w:rsidR="00137AF8" w:rsidRDefault="00137A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5" o:spid="_x0000_s1028" type="#_x0000_t202" style="position:absolute;margin-left:-42.15pt;margin-top:0;width:9.05pt;height:22.4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" filled="f" stroked="f">
              <v:textbox style="mso-fit-shape-to-text:t" inset="0,0,0,0">
                <w:txbxContent>
                  <w:p w:rsidR="00000000" w:rsidRDefault="001B572F">
                    <w:pPr>
                      <w:pStyle w:val="a5"/>
                    </w:pPr>
                  </w:p>
                  <w:p w:rsidR="00000000" w:rsidRDefault="001B572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C5" w:rsidRDefault="00440FC5">
      <w:r>
        <w:separator/>
      </w:r>
    </w:p>
  </w:footnote>
  <w:footnote w:type="continuationSeparator" w:id="0">
    <w:p w:rsidR="00440FC5" w:rsidRDefault="0044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E7C31BF"/>
    <w:multiLevelType w:val="singleLevel"/>
    <w:tmpl w:val="FE7C31B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FFCD36B"/>
    <w:multiLevelType w:val="singleLevel"/>
    <w:tmpl w:val="FFFCD36B"/>
    <w:lvl w:ilvl="0">
      <w:start w:val="1"/>
      <w:numFmt w:val="chineseCounting"/>
      <w:suff w:val="nothing"/>
      <w:lvlText w:val="%1、"/>
      <w:lvlJc w:val="left"/>
      <w:pPr>
        <w:ind w:left="627" w:firstLine="0"/>
      </w:pPr>
      <w:rPr>
        <w:rFonts w:hint="eastAsia"/>
      </w:rPr>
    </w:lvl>
  </w:abstractNum>
  <w:abstractNum w:abstractNumId="2" w15:restartNumberingAfterBreak="0">
    <w:nsid w:val="3D5F4D26"/>
    <w:multiLevelType w:val="singleLevel"/>
    <w:tmpl w:val="3D5F4D2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A507A52"/>
    <w:rsid w:val="96C6989D"/>
    <w:rsid w:val="9B3F1C96"/>
    <w:rsid w:val="9B5F7CF9"/>
    <w:rsid w:val="9BFF9547"/>
    <w:rsid w:val="9F6F8374"/>
    <w:rsid w:val="B3EF2883"/>
    <w:rsid w:val="B7F3456E"/>
    <w:rsid w:val="BCFE1AE5"/>
    <w:rsid w:val="BFFE0ED3"/>
    <w:rsid w:val="CE7F7698"/>
    <w:rsid w:val="CF0523F6"/>
    <w:rsid w:val="D2CFC26B"/>
    <w:rsid w:val="D7788DD3"/>
    <w:rsid w:val="D7BD64DE"/>
    <w:rsid w:val="DE56A092"/>
    <w:rsid w:val="E9655A30"/>
    <w:rsid w:val="EDF7C749"/>
    <w:rsid w:val="EF3E61D6"/>
    <w:rsid w:val="EFABAE9E"/>
    <w:rsid w:val="EFDFAB7D"/>
    <w:rsid w:val="F1FECAF9"/>
    <w:rsid w:val="F3F5671A"/>
    <w:rsid w:val="F4EF3DE8"/>
    <w:rsid w:val="F7BF040A"/>
    <w:rsid w:val="F7EA466D"/>
    <w:rsid w:val="FBEB2008"/>
    <w:rsid w:val="FBEB566F"/>
    <w:rsid w:val="FBEDFE3E"/>
    <w:rsid w:val="FBF528C8"/>
    <w:rsid w:val="FCB7EC14"/>
    <w:rsid w:val="FCBF63D8"/>
    <w:rsid w:val="FCDF1822"/>
    <w:rsid w:val="FD7EAD90"/>
    <w:rsid w:val="FDE744B0"/>
    <w:rsid w:val="FDE99DAE"/>
    <w:rsid w:val="FEB63D91"/>
    <w:rsid w:val="FF7698FF"/>
    <w:rsid w:val="FFAB34E4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37AF8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B572F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0140"/>
    <w:rsid w:val="003F5153"/>
    <w:rsid w:val="00400BB6"/>
    <w:rsid w:val="00406655"/>
    <w:rsid w:val="00410428"/>
    <w:rsid w:val="00440FC5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37E72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927EB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161E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93055"/>
    <w:rsid w:val="0DBF9EFB"/>
    <w:rsid w:val="18EB6F36"/>
    <w:rsid w:val="1F6FA7A9"/>
    <w:rsid w:val="24A3698D"/>
    <w:rsid w:val="26D734E3"/>
    <w:rsid w:val="276F5245"/>
    <w:rsid w:val="2D2BBFDE"/>
    <w:rsid w:val="2D507037"/>
    <w:rsid w:val="2FEE79CD"/>
    <w:rsid w:val="304D6E7A"/>
    <w:rsid w:val="311F20B3"/>
    <w:rsid w:val="33296A10"/>
    <w:rsid w:val="334D7CFE"/>
    <w:rsid w:val="353F923B"/>
    <w:rsid w:val="37D715EC"/>
    <w:rsid w:val="3B6F77ED"/>
    <w:rsid w:val="3C4A0A88"/>
    <w:rsid w:val="3E3F9973"/>
    <w:rsid w:val="41043BD5"/>
    <w:rsid w:val="4FFF43EF"/>
    <w:rsid w:val="57CE6FC3"/>
    <w:rsid w:val="5AFD3201"/>
    <w:rsid w:val="5B97877E"/>
    <w:rsid w:val="5BFFD9B9"/>
    <w:rsid w:val="5FB7634D"/>
    <w:rsid w:val="62760CB9"/>
    <w:rsid w:val="63ED66E8"/>
    <w:rsid w:val="6B041D7E"/>
    <w:rsid w:val="6B1E0488"/>
    <w:rsid w:val="6C95179E"/>
    <w:rsid w:val="6ED415F7"/>
    <w:rsid w:val="6EFFE7D5"/>
    <w:rsid w:val="70BD51BA"/>
    <w:rsid w:val="73E74199"/>
    <w:rsid w:val="7476C642"/>
    <w:rsid w:val="75FFCD86"/>
    <w:rsid w:val="76CFDE54"/>
    <w:rsid w:val="777B3696"/>
    <w:rsid w:val="777F62EE"/>
    <w:rsid w:val="778061B1"/>
    <w:rsid w:val="77B79D95"/>
    <w:rsid w:val="77FF8F3A"/>
    <w:rsid w:val="795F6985"/>
    <w:rsid w:val="7B4E21E4"/>
    <w:rsid w:val="7C491389"/>
    <w:rsid w:val="7DFFBF1E"/>
    <w:rsid w:val="7E44C52C"/>
    <w:rsid w:val="7ECF5570"/>
    <w:rsid w:val="7F7F58A8"/>
    <w:rsid w:val="7F9B8F02"/>
    <w:rsid w:val="7FB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03EDF-BCA3-4D0D-8C1C-1B4C9D0D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Xtzj.Com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2022-11-04T16:16:00Z</cp:lastPrinted>
  <dcterms:created xsi:type="dcterms:W3CDTF">2022-11-04T09:15:00Z</dcterms:created>
  <dcterms:modified xsi:type="dcterms:W3CDTF">2022-11-04T09:18:00Z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