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8660C6">
      <w:pPr>
        <w:keepNext w:val="0"/>
        <w:keepLines w:val="0"/>
        <w:pageBreakBefore w:val="0"/>
        <w:widowControl w:val="0"/>
        <w:kinsoku/>
        <w:wordWrap/>
        <w:overflowPunct/>
        <w:topLinePunct w:val="0"/>
        <w:autoSpaceDE/>
        <w:autoSpaceDN/>
        <w:bidi w:val="0"/>
        <w:adjustRightInd w:val="0"/>
        <w:snapToGrid w:val="0"/>
        <w:spacing w:line="594" w:lineRule="exact"/>
        <w:jc w:val="center"/>
        <w:textAlignment w:val="auto"/>
        <w:rPr>
          <w:rFonts w:hint="eastAsia" w:ascii="方正小标宋简体" w:hAnsi="方正小标宋简体" w:eastAsia="方正小标宋简体" w:cs="方正小标宋简体"/>
          <w:snapToGrid/>
          <w:color w:val="000000"/>
          <w:kern w:val="2"/>
          <w:sz w:val="44"/>
          <w:szCs w:val="44"/>
          <w:lang w:val="en-US" w:eastAsia="zh-CN" w:bidi="ar-SA"/>
        </w:rPr>
      </w:pPr>
      <w:r>
        <w:rPr>
          <w:rFonts w:hint="eastAsia" w:ascii="方正小标宋简体" w:hAnsi="方正小标宋简体" w:eastAsia="方正小标宋简体" w:cs="方正小标宋简体"/>
          <w:snapToGrid/>
          <w:color w:val="000000"/>
          <w:kern w:val="2"/>
          <w:sz w:val="44"/>
          <w:szCs w:val="44"/>
          <w:lang w:val="en-US" w:eastAsia="zh-CN" w:bidi="ar-SA"/>
        </w:rPr>
        <w:t>《陕西省其他特殊膳食食品（运动营养补充品）生产许可审查方案》修订说明</w:t>
      </w:r>
    </w:p>
    <w:p w14:paraId="408B4125">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ascii="Arial" w:hAnsi="Arial" w:eastAsia="等线" w:cs="Arial"/>
          <w:color w:val="auto"/>
          <w:sz w:val="22"/>
        </w:rPr>
      </w:pPr>
      <w:bookmarkStart w:id="0" w:name="heading_0"/>
      <w:r>
        <w:rPr>
          <w:rFonts w:hint="eastAsia" w:ascii="Times New Roman" w:hAnsi="仿宋_GB2312" w:eastAsia="仿宋_GB2312" w:cs="仿宋_GB2312"/>
          <w:snapToGrid w:val="0"/>
          <w:color w:val="000000"/>
          <w:sz w:val="32"/>
          <w:szCs w:val="32"/>
          <w:lang w:val="en-US" w:eastAsia="zh-CN" w:bidi="ar-SA"/>
        </w:rPr>
        <w:t>为进一步规范指导我省运动营养补充品的生产许可工作，加强我省运动营养补充品的质量安全监管，依据《中华人民共和国食品安全法》及其实施条例、GB 14881-2025 《食品安全国家标准 食品生产通用卫生规范》、《食品生产许可审查通则》等法律法规规章和食品安全国家标准规定，我院在深入调查研究的基础上，组织开展运动营养补充品生产许可审查方案修订工作，形成《陕西省其他特殊膳食食品（运动营养补充品）生产许可审查方案》（以下简称《方案（征求意见稿）》）。</w:t>
      </w:r>
    </w:p>
    <w:p w14:paraId="1DD0D7E8">
      <w:pPr>
        <w:keepNext w:val="0"/>
        <w:keepLines w:val="0"/>
        <w:pageBreakBefore w:val="0"/>
        <w:widowControl w:val="0"/>
        <w:kinsoku/>
        <w:wordWrap/>
        <w:overflowPunct/>
        <w:topLinePunct w:val="0"/>
        <w:autoSpaceDE/>
        <w:autoSpaceDN/>
        <w:bidi w:val="0"/>
        <w:adjustRightInd/>
        <w:snapToGrid/>
        <w:spacing w:before="320" w:after="120" w:line="594" w:lineRule="exact"/>
        <w:ind w:left="0"/>
        <w:jc w:val="left"/>
        <w:textAlignment w:val="auto"/>
        <w:outlineLvl w:val="1"/>
        <w:rPr>
          <w:rFonts w:hint="eastAsia" w:ascii="黑体" w:hAnsi="黑体" w:eastAsia="黑体" w:cs="黑体"/>
          <w:color w:val="auto"/>
          <w:sz w:val="32"/>
          <w:szCs w:val="32"/>
        </w:rPr>
      </w:pPr>
      <w:r>
        <w:rPr>
          <w:rFonts w:hint="eastAsia" w:ascii="黑体" w:hAnsi="黑体" w:eastAsia="黑体" w:cs="黑体"/>
          <w:b/>
          <w:color w:val="auto"/>
          <w:sz w:val="32"/>
          <w:szCs w:val="32"/>
        </w:rPr>
        <w:t>一、修订背景</w:t>
      </w:r>
      <w:bookmarkEnd w:id="0"/>
    </w:p>
    <w:p w14:paraId="17596E15">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Times New Roman" w:hAnsi="仿宋_GB2312" w:eastAsia="仿宋_GB2312" w:cs="仿宋_GB2312"/>
          <w:snapToGrid w:val="0"/>
          <w:color w:val="000000"/>
          <w:sz w:val="32"/>
          <w:szCs w:val="32"/>
          <w:lang w:val="en-US" w:eastAsia="zh-CN" w:bidi="ar-SA"/>
        </w:rPr>
      </w:pPr>
      <w:r>
        <w:rPr>
          <w:rFonts w:hint="eastAsia" w:ascii="Times New Roman" w:hAnsi="仿宋_GB2312" w:eastAsia="仿宋_GB2312" w:cs="仿宋_GB2312"/>
          <w:snapToGrid w:val="0"/>
          <w:color w:val="000000"/>
          <w:sz w:val="32"/>
          <w:szCs w:val="32"/>
          <w:lang w:val="en-US" w:eastAsia="zh-CN" w:bidi="ar-SA"/>
        </w:rPr>
        <w:t>原《陕西省其他特殊膳食食品（运动营养补充品）生产许可审查细则》（2021 版，以下简称旧细则）自印发实施以来，规范了陕西省运动营养补充品生产企业许可审查工作，统一了生产场所、设备设施、设备布局与工艺流程、人员资质、管理制度、检验管理等审查标准，有效提升全省运动营养食品生产企业食品安全管控水平。但随着《食品生产经营企业落实食品安全主体责任监督管理规定》《食品安全国家标准 食品生产通用卫生规范》（GB 14881）更新实施，对我省的运动营养补充品的生产监管提出了新的要求。同时随着国家市场监管总局对食品生产许可审查文件命名规范调整，以及我省的运动营养食品行业发展、基层许可审查实践反馈，旧细则存在名称不规范、食品安全主体责任岗位缺失、管理制度覆盖不全等问题。为统一全省运动营养补充品生产许可审查尺度，细化全链条风险管控要求，压实企业食品安全主体责任，结合特殊医学用途配方食品、婴幼儿配方液态乳等同类食品审查文件修订经验，对原细则进行修订完善，形成《陕西省其他特殊膳食食品（运动营养补充品）生产许可审查方案》（以下简称新方案）。</w:t>
      </w:r>
    </w:p>
    <w:p w14:paraId="4769162E">
      <w:pPr>
        <w:keepNext w:val="0"/>
        <w:keepLines w:val="0"/>
        <w:pageBreakBefore w:val="0"/>
        <w:widowControl w:val="0"/>
        <w:kinsoku/>
        <w:wordWrap/>
        <w:overflowPunct/>
        <w:topLinePunct w:val="0"/>
        <w:autoSpaceDE/>
        <w:autoSpaceDN/>
        <w:bidi w:val="0"/>
        <w:adjustRightInd/>
        <w:snapToGrid/>
        <w:spacing w:before="320" w:after="120" w:line="594" w:lineRule="exact"/>
        <w:ind w:left="0"/>
        <w:jc w:val="left"/>
        <w:textAlignment w:val="auto"/>
        <w:outlineLvl w:val="1"/>
        <w:rPr>
          <w:rFonts w:hint="eastAsia" w:ascii="黑体" w:hAnsi="黑体" w:eastAsia="黑体" w:cs="黑体"/>
          <w:b/>
          <w:color w:val="auto"/>
          <w:sz w:val="32"/>
          <w:szCs w:val="32"/>
        </w:rPr>
      </w:pPr>
      <w:bookmarkStart w:id="1" w:name="heading_1"/>
      <w:r>
        <w:rPr>
          <w:rFonts w:hint="eastAsia" w:ascii="黑体" w:hAnsi="黑体" w:eastAsia="黑体" w:cs="黑体"/>
          <w:b/>
          <w:color w:val="auto"/>
          <w:sz w:val="32"/>
          <w:szCs w:val="32"/>
        </w:rPr>
        <w:t>二、修订过程</w:t>
      </w:r>
      <w:bookmarkEnd w:id="1"/>
    </w:p>
    <w:p w14:paraId="5CF8D0C8">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Times New Roman" w:hAnsi="仿宋_GB2312" w:eastAsia="仿宋_GB2312" w:cs="仿宋_GB2312"/>
          <w:snapToGrid w:val="0"/>
          <w:color w:val="000000"/>
          <w:sz w:val="32"/>
          <w:szCs w:val="32"/>
          <w:lang w:val="en-US" w:eastAsia="zh-CN" w:bidi="ar-SA"/>
        </w:rPr>
      </w:pPr>
      <w:r>
        <w:rPr>
          <w:rFonts w:hint="eastAsia" w:ascii="Times New Roman" w:hAnsi="仿宋_GB2312" w:eastAsia="仿宋_GB2312" w:cs="仿宋_GB2312"/>
          <w:snapToGrid w:val="0"/>
          <w:color w:val="000000"/>
          <w:sz w:val="32"/>
          <w:szCs w:val="32"/>
          <w:lang w:val="en-US" w:eastAsia="zh-CN" w:bidi="ar-SA"/>
        </w:rPr>
        <w:t>本次修订坚持法规对标、问题导向、行业适配、实操可行四大原则，分六阶段完成修订工作：</w:t>
      </w:r>
    </w:p>
    <w:p w14:paraId="6026DA58">
      <w:pPr>
        <w:keepNext w:val="0"/>
        <w:keepLines w:val="0"/>
        <w:pageBreakBefore w:val="0"/>
        <w:widowControl w:val="0"/>
        <w:numPr>
          <w:ilvl w:val="0"/>
          <w:numId w:val="1"/>
        </w:numPr>
        <w:kinsoku/>
        <w:wordWrap/>
        <w:overflowPunct/>
        <w:topLinePunct w:val="0"/>
        <w:autoSpaceDE/>
        <w:autoSpaceDN/>
        <w:bidi w:val="0"/>
        <w:adjustRightInd/>
        <w:snapToGrid/>
        <w:spacing w:before="120" w:after="120" w:line="594" w:lineRule="exact"/>
        <w:ind w:left="0"/>
        <w:jc w:val="left"/>
        <w:textAlignment w:val="auto"/>
        <w:rPr>
          <w:rFonts w:hint="eastAsia" w:ascii="Times New Roman" w:hAnsi="仿宋_GB2312" w:eastAsia="仿宋_GB2312" w:cs="仿宋_GB2312"/>
          <w:snapToGrid w:val="0"/>
          <w:color w:val="000000"/>
          <w:sz w:val="32"/>
          <w:szCs w:val="32"/>
          <w:lang w:val="en-US" w:eastAsia="zh-CN" w:bidi="ar-SA"/>
        </w:rPr>
      </w:pPr>
      <w:r>
        <w:rPr>
          <w:rFonts w:hint="eastAsia" w:ascii="楷体_GB2312" w:hAnsi="楷体_GB2312" w:eastAsia="楷体_GB2312" w:cs="楷体_GB2312"/>
          <w:b w:val="0"/>
          <w:bCs/>
          <w:snapToGrid w:val="0"/>
          <w:color w:val="000000"/>
          <w:sz w:val="32"/>
          <w:szCs w:val="32"/>
          <w:lang w:val="en-US" w:eastAsia="zh-CN" w:bidi="ar-SA"/>
        </w:rPr>
        <w:t>法规标准梳理：</w:t>
      </w:r>
      <w:r>
        <w:rPr>
          <w:rFonts w:hint="eastAsia" w:ascii="Times New Roman" w:hAnsi="仿宋_GB2312" w:eastAsia="仿宋_GB2312" w:cs="仿宋_GB2312"/>
          <w:snapToGrid w:val="0"/>
          <w:color w:val="000000"/>
          <w:sz w:val="32"/>
          <w:szCs w:val="32"/>
          <w:lang w:val="en-US" w:eastAsia="zh-CN" w:bidi="ar-SA"/>
        </w:rPr>
        <w:t>系统梳理《食品安全法》及其实施条例、《食品生产许可管理办法》、GB 14881、GB 24154 等法律法规、食品安全国家标准多项，对标总局最新食品生产许可审查文件编制要求；</w:t>
      </w:r>
    </w:p>
    <w:p w14:paraId="30E66B10">
      <w:pPr>
        <w:keepNext w:val="0"/>
        <w:keepLines w:val="0"/>
        <w:pageBreakBefore w:val="0"/>
        <w:widowControl w:val="0"/>
        <w:numPr>
          <w:ilvl w:val="0"/>
          <w:numId w:val="2"/>
        </w:numPr>
        <w:kinsoku/>
        <w:wordWrap/>
        <w:overflowPunct/>
        <w:topLinePunct w:val="0"/>
        <w:autoSpaceDE/>
        <w:autoSpaceDN/>
        <w:bidi w:val="0"/>
        <w:adjustRightInd/>
        <w:snapToGrid/>
        <w:spacing w:before="120" w:after="120" w:line="594" w:lineRule="exact"/>
        <w:ind w:left="0"/>
        <w:jc w:val="left"/>
        <w:textAlignment w:val="auto"/>
        <w:rPr>
          <w:color w:val="auto"/>
        </w:rPr>
      </w:pPr>
      <w:r>
        <w:rPr>
          <w:rFonts w:hint="eastAsia" w:ascii="楷体_GB2312" w:hAnsi="楷体_GB2312" w:eastAsia="楷体_GB2312" w:cs="楷体_GB2312"/>
          <w:b w:val="0"/>
          <w:bCs/>
          <w:snapToGrid w:val="0"/>
          <w:color w:val="000000"/>
          <w:sz w:val="32"/>
          <w:szCs w:val="32"/>
          <w:lang w:val="en-US" w:eastAsia="zh-CN" w:bidi="ar-SA"/>
        </w:rPr>
        <w:t>基层调研座谈：</w:t>
      </w:r>
      <w:r>
        <w:rPr>
          <w:rFonts w:hint="eastAsia" w:ascii="Times New Roman" w:hAnsi="仿宋_GB2312" w:eastAsia="仿宋_GB2312" w:cs="仿宋_GB2312"/>
          <w:snapToGrid w:val="0"/>
          <w:color w:val="000000"/>
          <w:sz w:val="32"/>
          <w:szCs w:val="32"/>
          <w:lang w:val="en-US" w:eastAsia="zh-CN" w:bidi="ar-SA"/>
        </w:rPr>
        <w:t>修订工作组走访省内四家运动营养食品生产企业进行实地现场调研，同时在线上向多家不同类型不同地区的运动营养食品生产企业发放调研问卷，了解企业生产现状、收集企业合规痛点；</w:t>
      </w:r>
    </w:p>
    <w:p w14:paraId="08A68FB8">
      <w:pPr>
        <w:keepNext w:val="0"/>
        <w:keepLines w:val="0"/>
        <w:pageBreakBefore w:val="0"/>
        <w:widowControl w:val="0"/>
        <w:numPr>
          <w:ilvl w:val="0"/>
          <w:numId w:val="2"/>
        </w:numPr>
        <w:kinsoku/>
        <w:wordWrap/>
        <w:overflowPunct/>
        <w:topLinePunct w:val="0"/>
        <w:autoSpaceDE/>
        <w:autoSpaceDN/>
        <w:bidi w:val="0"/>
        <w:adjustRightInd/>
        <w:snapToGrid/>
        <w:spacing w:before="120" w:after="120" w:line="594" w:lineRule="exact"/>
        <w:ind w:left="0"/>
        <w:jc w:val="left"/>
        <w:textAlignment w:val="auto"/>
        <w:rPr>
          <w:rFonts w:hint="eastAsia" w:ascii="Times New Roman" w:hAnsi="仿宋_GB2312" w:eastAsia="仿宋_GB2312" w:cs="仿宋_GB2312"/>
          <w:snapToGrid w:val="0"/>
          <w:color w:val="000000"/>
          <w:sz w:val="32"/>
          <w:szCs w:val="32"/>
          <w:lang w:val="en-US" w:eastAsia="zh-CN" w:bidi="ar-SA"/>
        </w:rPr>
      </w:pPr>
      <w:r>
        <w:rPr>
          <w:rFonts w:hint="eastAsia" w:ascii="楷体_GB2312" w:hAnsi="楷体_GB2312" w:eastAsia="楷体_GB2312" w:cs="楷体_GB2312"/>
          <w:b w:val="0"/>
          <w:bCs/>
          <w:snapToGrid w:val="0"/>
          <w:color w:val="000000"/>
          <w:sz w:val="32"/>
          <w:szCs w:val="32"/>
          <w:lang w:val="en-US" w:eastAsia="zh-CN" w:bidi="ar-SA"/>
        </w:rPr>
        <w:t>多主体征求意见：</w:t>
      </w:r>
      <w:r>
        <w:rPr>
          <w:rFonts w:hint="eastAsia" w:ascii="Times New Roman" w:hAnsi="仿宋_GB2312" w:eastAsia="仿宋_GB2312" w:cs="仿宋_GB2312"/>
          <w:snapToGrid w:val="0"/>
          <w:color w:val="000000"/>
          <w:sz w:val="32"/>
          <w:szCs w:val="32"/>
          <w:lang w:val="en-US" w:eastAsia="zh-CN" w:bidi="ar-SA"/>
        </w:rPr>
        <w:t>向省内运动营养食品生产企业、行业代表、基层审查人员开展多轮意见征集，逐条研判企业反馈的设备、人员、洁净车间、管理制度、检验等优化建议；</w:t>
      </w:r>
    </w:p>
    <w:p w14:paraId="2050CEF3">
      <w:pPr>
        <w:keepNext w:val="0"/>
        <w:keepLines w:val="0"/>
        <w:pageBreakBefore w:val="0"/>
        <w:widowControl w:val="0"/>
        <w:numPr>
          <w:ilvl w:val="0"/>
          <w:numId w:val="2"/>
        </w:numPr>
        <w:kinsoku/>
        <w:wordWrap/>
        <w:overflowPunct/>
        <w:topLinePunct w:val="0"/>
        <w:autoSpaceDE/>
        <w:autoSpaceDN/>
        <w:bidi w:val="0"/>
        <w:adjustRightInd/>
        <w:snapToGrid/>
        <w:spacing w:before="120" w:after="120" w:line="594" w:lineRule="exact"/>
        <w:ind w:left="0"/>
        <w:jc w:val="left"/>
        <w:textAlignment w:val="auto"/>
        <w:rPr>
          <w:rFonts w:hint="eastAsia" w:ascii="Times New Roman" w:hAnsi="仿宋_GB2312" w:eastAsia="仿宋_GB2312" w:cs="仿宋_GB2312"/>
          <w:snapToGrid w:val="0"/>
          <w:color w:val="000000"/>
          <w:sz w:val="32"/>
          <w:szCs w:val="32"/>
          <w:lang w:val="en-US" w:eastAsia="zh-CN" w:bidi="ar-SA"/>
        </w:rPr>
      </w:pPr>
      <w:r>
        <w:rPr>
          <w:rFonts w:hint="eastAsia" w:ascii="楷体_GB2312" w:hAnsi="楷体_GB2312" w:eastAsia="楷体_GB2312" w:cs="楷体_GB2312"/>
          <w:b w:val="0"/>
          <w:bCs/>
          <w:snapToGrid w:val="0"/>
          <w:color w:val="000000"/>
          <w:sz w:val="32"/>
          <w:szCs w:val="32"/>
          <w:lang w:val="en-US" w:eastAsia="zh-CN" w:bidi="ar-SA"/>
        </w:rPr>
        <w:t>专题研讨论证：</w:t>
      </w:r>
      <w:r>
        <w:rPr>
          <w:rFonts w:hint="eastAsia" w:ascii="Times New Roman" w:hAnsi="仿宋_GB2312" w:eastAsia="仿宋_GB2312" w:cs="仿宋_GB2312"/>
          <w:snapToGrid w:val="0"/>
          <w:color w:val="000000"/>
          <w:sz w:val="32"/>
          <w:szCs w:val="32"/>
          <w:lang w:val="en-US" w:eastAsia="zh-CN" w:bidi="ar-SA"/>
        </w:rPr>
        <w:t>组织基层监管人员、业界专家、许可审查领域专家召开研讨会，针对洁净区参数、岗位学历资质、追溯召回、检验等核心条款开展风险研判；</w:t>
      </w:r>
    </w:p>
    <w:p w14:paraId="7434F10C">
      <w:pPr>
        <w:keepNext w:val="0"/>
        <w:keepLines w:val="0"/>
        <w:pageBreakBefore w:val="0"/>
        <w:widowControl w:val="0"/>
        <w:numPr>
          <w:ilvl w:val="0"/>
          <w:numId w:val="2"/>
        </w:numPr>
        <w:kinsoku/>
        <w:wordWrap/>
        <w:overflowPunct/>
        <w:topLinePunct w:val="0"/>
        <w:autoSpaceDE/>
        <w:autoSpaceDN/>
        <w:bidi w:val="0"/>
        <w:adjustRightInd/>
        <w:snapToGrid/>
        <w:spacing w:before="120" w:after="120" w:line="594" w:lineRule="exact"/>
        <w:ind w:left="0"/>
        <w:jc w:val="left"/>
        <w:textAlignment w:val="auto"/>
        <w:rPr>
          <w:rFonts w:hint="eastAsia" w:ascii="Times New Roman" w:hAnsi="仿宋_GB2312" w:eastAsia="仿宋_GB2312" w:cs="仿宋_GB2312"/>
          <w:snapToGrid w:val="0"/>
          <w:color w:val="000000"/>
          <w:sz w:val="32"/>
          <w:szCs w:val="32"/>
          <w:lang w:val="en-US" w:eastAsia="zh-CN" w:bidi="ar-SA"/>
        </w:rPr>
      </w:pPr>
      <w:r>
        <w:rPr>
          <w:rFonts w:hint="eastAsia" w:ascii="楷体_GB2312" w:hAnsi="楷体_GB2312" w:eastAsia="楷体_GB2312" w:cs="楷体_GB2312"/>
          <w:b w:val="0"/>
          <w:bCs/>
          <w:snapToGrid w:val="0"/>
          <w:color w:val="000000"/>
          <w:sz w:val="32"/>
          <w:szCs w:val="32"/>
          <w:lang w:val="en-US" w:eastAsia="zh-CN" w:bidi="ar-SA"/>
        </w:rPr>
        <w:t>文稿逐条修改：</w:t>
      </w:r>
      <w:r>
        <w:rPr>
          <w:rFonts w:hint="eastAsia" w:ascii="Times New Roman" w:hAnsi="仿宋_GB2312" w:eastAsia="仿宋_GB2312" w:cs="仿宋_GB2312"/>
          <w:snapToGrid w:val="0"/>
          <w:color w:val="000000"/>
          <w:sz w:val="32"/>
          <w:szCs w:val="32"/>
          <w:lang w:val="en-US" w:eastAsia="zh-CN" w:bidi="ar-SA"/>
        </w:rPr>
        <w:t>对照旧细则逐章节比对，完善缺失管控环节、优化不合理参数、补充强制性主体责任条款；</w:t>
      </w:r>
    </w:p>
    <w:p w14:paraId="6176690A">
      <w:pPr>
        <w:keepNext w:val="0"/>
        <w:keepLines w:val="0"/>
        <w:pageBreakBefore w:val="0"/>
        <w:widowControl w:val="0"/>
        <w:numPr>
          <w:ilvl w:val="0"/>
          <w:numId w:val="2"/>
        </w:numPr>
        <w:kinsoku/>
        <w:wordWrap/>
        <w:overflowPunct/>
        <w:topLinePunct w:val="0"/>
        <w:autoSpaceDE/>
        <w:autoSpaceDN/>
        <w:bidi w:val="0"/>
        <w:adjustRightInd/>
        <w:snapToGrid/>
        <w:spacing w:before="120" w:after="120" w:line="594" w:lineRule="exact"/>
        <w:ind w:left="0"/>
        <w:jc w:val="left"/>
        <w:textAlignment w:val="auto"/>
        <w:rPr>
          <w:rFonts w:hint="eastAsia" w:ascii="Times New Roman" w:hAnsi="仿宋_GB2312" w:eastAsia="仿宋_GB2312" w:cs="仿宋_GB2312"/>
          <w:snapToGrid w:val="0"/>
          <w:color w:val="000000"/>
          <w:sz w:val="32"/>
          <w:szCs w:val="32"/>
          <w:lang w:val="en-US" w:eastAsia="zh-CN" w:bidi="ar-SA"/>
        </w:rPr>
      </w:pPr>
      <w:r>
        <w:rPr>
          <w:rFonts w:hint="eastAsia" w:ascii="楷体_GB2312" w:hAnsi="楷体_GB2312" w:eastAsia="楷体_GB2312" w:cs="楷体_GB2312"/>
          <w:b w:val="0"/>
          <w:bCs/>
          <w:snapToGrid w:val="0"/>
          <w:color w:val="000000"/>
          <w:sz w:val="32"/>
          <w:szCs w:val="32"/>
          <w:lang w:val="en-US" w:eastAsia="zh-CN" w:bidi="ar-SA"/>
        </w:rPr>
        <w:t>定稿完善：</w:t>
      </w:r>
      <w:r>
        <w:rPr>
          <w:rFonts w:hint="eastAsia" w:ascii="Times New Roman" w:hAnsi="仿宋_GB2312" w:eastAsia="仿宋_GB2312" w:cs="仿宋_GB2312"/>
          <w:snapToGrid w:val="0"/>
          <w:color w:val="000000"/>
          <w:sz w:val="32"/>
          <w:szCs w:val="32"/>
          <w:lang w:val="en-US" w:eastAsia="zh-CN" w:bidi="ar-SA"/>
        </w:rPr>
        <w:t>整合各方意见形成最终审查方案，统一章节逻辑、附件技术参数、审查判定标准。</w:t>
      </w:r>
    </w:p>
    <w:p w14:paraId="1A907A47">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Times New Roman" w:hAnsi="仿宋_GB2312" w:eastAsia="仿宋_GB2312" w:cs="仿宋_GB2312"/>
          <w:snapToGrid w:val="0"/>
          <w:color w:val="000000"/>
          <w:sz w:val="32"/>
          <w:szCs w:val="32"/>
          <w:lang w:val="en-US" w:eastAsia="zh-CN" w:bidi="ar-SA"/>
        </w:rPr>
      </w:pPr>
      <w:r>
        <w:rPr>
          <w:rFonts w:hint="eastAsia" w:ascii="Times New Roman" w:hAnsi="仿宋_GB2312" w:eastAsia="仿宋_GB2312" w:cs="仿宋_GB2312"/>
          <w:snapToGrid w:val="0"/>
          <w:color w:val="000000"/>
          <w:sz w:val="32"/>
          <w:szCs w:val="32"/>
          <w:lang w:val="en-US" w:eastAsia="zh-CN" w:bidi="ar-SA"/>
        </w:rPr>
        <w:t>修订全程兼顾监管合规性与行业生产实际，既严格落实国标强制性要求，又避免过度增加企业非必要合规成本，强化风险管理思维，重点补齐设备、原料、人员、检验、制度五大环节管控短板。</w:t>
      </w:r>
    </w:p>
    <w:p w14:paraId="54CB7B8B">
      <w:pPr>
        <w:keepNext w:val="0"/>
        <w:keepLines w:val="0"/>
        <w:pageBreakBefore w:val="0"/>
        <w:widowControl w:val="0"/>
        <w:kinsoku/>
        <w:wordWrap/>
        <w:overflowPunct/>
        <w:topLinePunct w:val="0"/>
        <w:autoSpaceDE/>
        <w:autoSpaceDN/>
        <w:bidi w:val="0"/>
        <w:adjustRightInd/>
        <w:snapToGrid/>
        <w:spacing w:before="320" w:after="120" w:line="594" w:lineRule="exact"/>
        <w:ind w:left="0"/>
        <w:jc w:val="left"/>
        <w:textAlignment w:val="auto"/>
        <w:outlineLvl w:val="1"/>
        <w:rPr>
          <w:rFonts w:hint="eastAsia" w:ascii="黑体" w:hAnsi="黑体" w:eastAsia="黑体" w:cs="黑体"/>
          <w:b/>
          <w:color w:val="auto"/>
          <w:sz w:val="32"/>
          <w:szCs w:val="32"/>
        </w:rPr>
      </w:pPr>
      <w:bookmarkStart w:id="2" w:name="heading_2"/>
      <w:r>
        <w:rPr>
          <w:rFonts w:hint="eastAsia" w:ascii="黑体" w:hAnsi="黑体" w:eastAsia="黑体" w:cs="黑体"/>
          <w:b/>
          <w:color w:val="auto"/>
          <w:sz w:val="32"/>
          <w:szCs w:val="32"/>
        </w:rPr>
        <w:t>三、修订主要内容</w:t>
      </w:r>
      <w:bookmarkEnd w:id="2"/>
    </w:p>
    <w:p w14:paraId="17CFE21D">
      <w:pPr>
        <w:keepNext w:val="0"/>
        <w:keepLines w:val="0"/>
        <w:pageBreakBefore w:val="0"/>
        <w:widowControl w:val="0"/>
        <w:numPr>
          <w:ilvl w:val="0"/>
          <w:numId w:val="0"/>
        </w:numPr>
        <w:kinsoku/>
        <w:wordWrap/>
        <w:overflowPunct/>
        <w:topLinePunct w:val="0"/>
        <w:autoSpaceDE/>
        <w:autoSpaceDN/>
        <w:bidi w:val="0"/>
        <w:adjustRightInd/>
        <w:snapToGrid/>
        <w:spacing w:before="120" w:after="120" w:line="594" w:lineRule="exact"/>
        <w:jc w:val="left"/>
        <w:textAlignment w:val="auto"/>
        <w:rPr>
          <w:rFonts w:hint="eastAsia" w:ascii="楷体_GB2312" w:hAnsi="楷体_GB2312" w:eastAsia="楷体_GB2312" w:cs="楷体_GB2312"/>
          <w:b w:val="0"/>
          <w:bCs/>
          <w:snapToGrid w:val="0"/>
          <w:color w:val="000000"/>
          <w:sz w:val="32"/>
          <w:szCs w:val="32"/>
          <w:lang w:val="en-US" w:eastAsia="zh-CN" w:bidi="ar-SA"/>
        </w:rPr>
      </w:pPr>
      <w:bookmarkStart w:id="3" w:name="heading_3"/>
      <w:r>
        <w:rPr>
          <w:rFonts w:hint="eastAsia" w:ascii="楷体_GB2312" w:hAnsi="楷体_GB2312" w:eastAsia="楷体_GB2312" w:cs="楷体_GB2312"/>
          <w:b w:val="0"/>
          <w:bCs/>
          <w:snapToGrid w:val="0"/>
          <w:color w:val="000000"/>
          <w:sz w:val="32"/>
          <w:szCs w:val="32"/>
          <w:lang w:val="en-US" w:eastAsia="zh-CN" w:bidi="ar-SA"/>
        </w:rPr>
        <w:t>（一）文件名称、定位与整体结构调整</w:t>
      </w:r>
      <w:bookmarkEnd w:id="3"/>
    </w:p>
    <w:p w14:paraId="7C080286">
      <w:pPr>
        <w:keepNext w:val="0"/>
        <w:keepLines w:val="0"/>
        <w:pageBreakBefore w:val="0"/>
        <w:widowControl w:val="0"/>
        <w:numPr>
          <w:ilvl w:val="0"/>
          <w:numId w:val="3"/>
        </w:numPr>
        <w:kinsoku/>
        <w:wordWrap/>
        <w:overflowPunct/>
        <w:topLinePunct w:val="0"/>
        <w:autoSpaceDE/>
        <w:autoSpaceDN/>
        <w:bidi w:val="0"/>
        <w:adjustRightInd/>
        <w:snapToGrid/>
        <w:spacing w:before="120" w:after="120" w:line="594" w:lineRule="exact"/>
        <w:ind w:left="0"/>
        <w:jc w:val="left"/>
        <w:textAlignment w:val="auto"/>
        <w:rPr>
          <w:rFonts w:hint="eastAsia" w:ascii="Times New Roman" w:hAnsi="仿宋_GB2312" w:eastAsia="仿宋_GB2312" w:cs="仿宋_GB2312"/>
          <w:snapToGrid w:val="0"/>
          <w:color w:val="000000"/>
          <w:sz w:val="32"/>
          <w:szCs w:val="32"/>
          <w:lang w:val="en-US" w:eastAsia="zh-CN" w:bidi="ar-SA"/>
        </w:rPr>
      </w:pPr>
      <w:r>
        <w:rPr>
          <w:rFonts w:hint="eastAsia" w:ascii="楷体_GB2312" w:hAnsi="楷体_GB2312" w:eastAsia="楷体_GB2312" w:cs="楷体_GB2312"/>
          <w:b w:val="0"/>
          <w:bCs/>
          <w:snapToGrid w:val="0"/>
          <w:color w:val="000000"/>
          <w:sz w:val="32"/>
          <w:szCs w:val="32"/>
          <w:lang w:val="en-US" w:eastAsia="zh-CN" w:bidi="ar-SA"/>
        </w:rPr>
        <w:t>文件名称统一规范</w:t>
      </w:r>
      <w:r>
        <w:rPr>
          <w:rFonts w:ascii="Arial" w:hAnsi="Arial" w:eastAsia="等线" w:cs="Arial"/>
          <w:color w:val="auto"/>
          <w:sz w:val="22"/>
        </w:rPr>
        <w:br w:type="textWrapping"/>
      </w:r>
      <w:r>
        <w:rPr>
          <w:rFonts w:hint="eastAsia" w:ascii="Times New Roman" w:hAnsi="仿宋_GB2312" w:eastAsia="仿宋_GB2312" w:cs="仿宋_GB2312"/>
          <w:snapToGrid w:val="0"/>
          <w:color w:val="000000"/>
          <w:sz w:val="32"/>
          <w:szCs w:val="32"/>
          <w:lang w:val="en-US" w:eastAsia="zh-CN" w:bidi="ar-SA"/>
        </w:rPr>
        <w:t>旧文件名称为《生产许可审查细则》，新方案将全文所有 “细则” 统一修改为 “方案”，依据国家市场监管总局食品生产许可文件命名统一规定，与省内其他食品类别审查文件体例保持一致。</w:t>
      </w:r>
    </w:p>
    <w:p w14:paraId="4D8C85D2">
      <w:pPr>
        <w:keepNext w:val="0"/>
        <w:keepLines w:val="0"/>
        <w:pageBreakBefore w:val="0"/>
        <w:widowControl w:val="0"/>
        <w:numPr>
          <w:ilvl w:val="0"/>
          <w:numId w:val="3"/>
        </w:numPr>
        <w:kinsoku/>
        <w:wordWrap/>
        <w:overflowPunct/>
        <w:topLinePunct w:val="0"/>
        <w:autoSpaceDE/>
        <w:autoSpaceDN/>
        <w:bidi w:val="0"/>
        <w:adjustRightInd/>
        <w:snapToGrid/>
        <w:spacing w:before="120" w:after="120" w:line="594" w:lineRule="exact"/>
        <w:ind w:left="0"/>
        <w:jc w:val="left"/>
        <w:textAlignment w:val="auto"/>
        <w:rPr>
          <w:rFonts w:hint="eastAsia" w:ascii="Times New Roman" w:hAnsi="仿宋_GB2312" w:eastAsia="仿宋_GB2312" w:cs="仿宋_GB2312"/>
          <w:snapToGrid w:val="0"/>
          <w:color w:val="000000"/>
          <w:sz w:val="32"/>
          <w:szCs w:val="32"/>
          <w:lang w:val="en-US" w:eastAsia="zh-CN" w:bidi="ar-SA"/>
        </w:rPr>
      </w:pPr>
      <w:r>
        <w:rPr>
          <w:rFonts w:hint="eastAsia" w:ascii="楷体_GB2312" w:hAnsi="楷体_GB2312" w:eastAsia="楷体_GB2312" w:cs="楷体_GB2312"/>
          <w:b w:val="0"/>
          <w:bCs/>
          <w:snapToGrid w:val="0"/>
          <w:color w:val="000000"/>
          <w:sz w:val="32"/>
          <w:szCs w:val="32"/>
          <w:lang w:val="en-US" w:eastAsia="zh-CN" w:bidi="ar-SA"/>
        </w:rPr>
        <w:t>章节逻辑优化</w:t>
      </w:r>
      <w:r>
        <w:rPr>
          <w:rFonts w:ascii="Arial" w:hAnsi="Arial" w:eastAsia="等线" w:cs="Arial"/>
          <w:color w:val="auto"/>
          <w:sz w:val="22"/>
        </w:rPr>
        <w:br w:type="textWrapping"/>
      </w:r>
      <w:r>
        <w:rPr>
          <w:rFonts w:hint="eastAsia" w:ascii="Times New Roman" w:hAnsi="仿宋_GB2312" w:eastAsia="仿宋_GB2312" w:cs="仿宋_GB2312"/>
          <w:snapToGrid w:val="0"/>
          <w:color w:val="000000"/>
          <w:sz w:val="32"/>
          <w:szCs w:val="32"/>
          <w:lang w:val="en-US" w:eastAsia="zh-CN" w:bidi="ar-SA"/>
        </w:rPr>
        <w:t>旧文件共九节（总则、许可范围、生产场所核查、设备设施核查、设备布局和工艺流程核查、人员核查、管理制度审查、试制产品检验、附则）；新方案调整为八节，将原 “许可范围” 内容并入第一节总则，删除 “核查” 后缀，章节名称简化为 “生产场所、设备设施、设备布局和工艺流程、人员管理、管理制度、试制产品检验、附则”，层级更清晰，与总局医学用途配方食品审查细则、婴幼儿配方液态乳生产许可审查细则结构对齐。</w:t>
      </w:r>
    </w:p>
    <w:p w14:paraId="4FC1CA6A">
      <w:pPr>
        <w:keepNext w:val="0"/>
        <w:keepLines w:val="0"/>
        <w:pageBreakBefore w:val="0"/>
        <w:widowControl w:val="0"/>
        <w:numPr>
          <w:ilvl w:val="0"/>
          <w:numId w:val="4"/>
        </w:numPr>
        <w:kinsoku/>
        <w:wordWrap/>
        <w:overflowPunct/>
        <w:topLinePunct w:val="0"/>
        <w:autoSpaceDE/>
        <w:autoSpaceDN/>
        <w:bidi w:val="0"/>
        <w:adjustRightInd/>
        <w:snapToGrid/>
        <w:spacing w:before="120" w:after="120" w:line="594" w:lineRule="exact"/>
        <w:ind w:left="0"/>
        <w:jc w:val="left"/>
        <w:textAlignment w:val="auto"/>
        <w:rPr>
          <w:rFonts w:hint="eastAsia" w:ascii="Times New Roman" w:hAnsi="仿宋_GB2312" w:eastAsia="仿宋_GB2312" w:cs="仿宋_GB2312"/>
          <w:snapToGrid w:val="0"/>
          <w:color w:val="000000"/>
          <w:sz w:val="32"/>
          <w:szCs w:val="32"/>
          <w:lang w:val="en-US" w:eastAsia="zh-CN" w:bidi="ar-SA"/>
        </w:rPr>
      </w:pPr>
      <w:r>
        <w:rPr>
          <w:rFonts w:hint="eastAsia" w:ascii="楷体_GB2312" w:hAnsi="楷体_GB2312" w:eastAsia="楷体_GB2312" w:cs="楷体_GB2312"/>
          <w:b w:val="0"/>
          <w:bCs/>
          <w:snapToGrid w:val="0"/>
          <w:color w:val="000000"/>
          <w:sz w:val="32"/>
          <w:szCs w:val="32"/>
          <w:lang w:val="en-US" w:eastAsia="zh-CN" w:bidi="ar-SA"/>
        </w:rPr>
        <w:t>条款数量扩充</w:t>
      </w:r>
      <w:r>
        <w:rPr>
          <w:rFonts w:ascii="Arial" w:hAnsi="Arial" w:eastAsia="等线" w:cs="Arial"/>
          <w:color w:val="auto"/>
          <w:sz w:val="22"/>
        </w:rPr>
        <w:br w:type="textWrapping"/>
      </w:r>
      <w:r>
        <w:rPr>
          <w:rFonts w:hint="eastAsia" w:ascii="Times New Roman" w:hAnsi="仿宋_GB2312" w:eastAsia="仿宋_GB2312" w:cs="仿宋_GB2312"/>
          <w:snapToGrid w:val="0"/>
          <w:color w:val="000000"/>
          <w:sz w:val="32"/>
          <w:szCs w:val="32"/>
          <w:lang w:val="en-US" w:eastAsia="zh-CN" w:bidi="ar-SA"/>
        </w:rPr>
        <w:t>旧细则共计 38 条，新方案扩充至 41 条，新增食品安全总监、产品召回、事故处置、年度培训、压缩空气净化、粉尘除尘、多类必备管理制度等专项条款，全流程管控覆盖更完整。</w:t>
      </w:r>
    </w:p>
    <w:p w14:paraId="51F7F284">
      <w:pPr>
        <w:keepNext w:val="0"/>
        <w:keepLines w:val="0"/>
        <w:pageBreakBefore w:val="0"/>
        <w:widowControl w:val="0"/>
        <w:numPr>
          <w:ilvl w:val="0"/>
          <w:numId w:val="0"/>
        </w:numPr>
        <w:kinsoku/>
        <w:wordWrap/>
        <w:overflowPunct/>
        <w:topLinePunct w:val="0"/>
        <w:autoSpaceDE/>
        <w:autoSpaceDN/>
        <w:bidi w:val="0"/>
        <w:adjustRightInd/>
        <w:snapToGrid/>
        <w:spacing w:before="120" w:after="120" w:line="594" w:lineRule="exact"/>
        <w:jc w:val="left"/>
        <w:textAlignment w:val="auto"/>
        <w:rPr>
          <w:rFonts w:hint="eastAsia" w:ascii="楷体_GB2312" w:hAnsi="楷体_GB2312" w:eastAsia="楷体_GB2312" w:cs="楷体_GB2312"/>
          <w:b w:val="0"/>
          <w:bCs/>
          <w:snapToGrid w:val="0"/>
          <w:color w:val="000000"/>
          <w:sz w:val="32"/>
          <w:szCs w:val="32"/>
          <w:lang w:val="en-US" w:eastAsia="zh-CN" w:bidi="ar-SA"/>
        </w:rPr>
      </w:pPr>
      <w:bookmarkStart w:id="4" w:name="heading_4"/>
      <w:r>
        <w:rPr>
          <w:rFonts w:hint="eastAsia" w:ascii="楷体_GB2312" w:hAnsi="楷体_GB2312" w:eastAsia="楷体_GB2312" w:cs="楷体_GB2312"/>
          <w:b w:val="0"/>
          <w:bCs/>
          <w:snapToGrid w:val="0"/>
          <w:color w:val="000000"/>
          <w:sz w:val="32"/>
          <w:szCs w:val="32"/>
          <w:lang w:val="en-US" w:eastAsia="zh-CN" w:bidi="ar-SA"/>
        </w:rPr>
        <w:t>（二）总则与许可范围条款细化，明确许可准入边界</w:t>
      </w:r>
      <w:bookmarkEnd w:id="4"/>
    </w:p>
    <w:p w14:paraId="4C4FCC8A">
      <w:pPr>
        <w:keepNext w:val="0"/>
        <w:keepLines w:val="0"/>
        <w:pageBreakBefore w:val="0"/>
        <w:widowControl w:val="0"/>
        <w:numPr>
          <w:ilvl w:val="0"/>
          <w:numId w:val="5"/>
        </w:numPr>
        <w:kinsoku/>
        <w:wordWrap/>
        <w:overflowPunct/>
        <w:topLinePunct w:val="0"/>
        <w:autoSpaceDE/>
        <w:autoSpaceDN/>
        <w:bidi w:val="0"/>
        <w:adjustRightInd/>
        <w:snapToGrid/>
        <w:spacing w:before="120" w:after="120" w:line="594" w:lineRule="exact"/>
        <w:ind w:left="0"/>
        <w:jc w:val="left"/>
        <w:textAlignment w:val="auto"/>
        <w:rPr>
          <w:rFonts w:hint="eastAsia" w:ascii="Times New Roman" w:hAnsi="仿宋_GB2312" w:eastAsia="仿宋_GB2312" w:cs="仿宋_GB2312"/>
          <w:snapToGrid w:val="0"/>
          <w:color w:val="000000"/>
          <w:sz w:val="32"/>
          <w:szCs w:val="32"/>
          <w:lang w:val="en-US" w:eastAsia="zh-CN" w:bidi="ar-SA"/>
        </w:rPr>
      </w:pPr>
      <w:r>
        <w:rPr>
          <w:rFonts w:hint="eastAsia" w:ascii="楷体_GB2312" w:hAnsi="楷体_GB2312" w:eastAsia="楷体_GB2312" w:cs="楷体_GB2312"/>
          <w:b w:val="0"/>
          <w:bCs/>
          <w:snapToGrid w:val="0"/>
          <w:color w:val="000000"/>
          <w:sz w:val="32"/>
          <w:szCs w:val="32"/>
          <w:lang w:val="en-US" w:eastAsia="zh-CN" w:bidi="ar-SA"/>
        </w:rPr>
        <w:t>细化不予许可情形</w:t>
      </w:r>
      <w:r>
        <w:rPr>
          <w:rFonts w:ascii="Arial" w:hAnsi="Arial" w:eastAsia="等线" w:cs="Arial"/>
          <w:color w:val="auto"/>
          <w:sz w:val="22"/>
        </w:rPr>
        <w:br w:type="textWrapping"/>
      </w:r>
      <w:r>
        <w:rPr>
          <w:rFonts w:hint="eastAsia" w:ascii="Times New Roman" w:hAnsi="仿宋_GB2312" w:eastAsia="仿宋_GB2312" w:cs="仿宋_GB2312"/>
          <w:snapToGrid w:val="0"/>
          <w:color w:val="000000"/>
          <w:sz w:val="32"/>
          <w:szCs w:val="32"/>
          <w:lang w:val="en-US" w:eastAsia="zh-CN" w:bidi="ar-SA"/>
        </w:rPr>
        <w:t>旧第三条仅规定 “不得分装、仅生产大包装无终销售包装不予许可”；新第三条补充：仅有包装场地、工序、设备，无完整生产条件不予许可，杜绝单纯分装、外包加工企业规避许可审查。</w:t>
      </w:r>
    </w:p>
    <w:p w14:paraId="20DE7DBA">
      <w:pPr>
        <w:keepNext w:val="0"/>
        <w:keepLines w:val="0"/>
        <w:pageBreakBefore w:val="0"/>
        <w:widowControl w:val="0"/>
        <w:numPr>
          <w:ilvl w:val="0"/>
          <w:numId w:val="6"/>
        </w:numPr>
        <w:kinsoku/>
        <w:wordWrap/>
        <w:overflowPunct/>
        <w:topLinePunct w:val="0"/>
        <w:autoSpaceDE/>
        <w:autoSpaceDN/>
        <w:bidi w:val="0"/>
        <w:adjustRightInd/>
        <w:snapToGrid/>
        <w:spacing w:before="120" w:after="120" w:line="594" w:lineRule="exact"/>
        <w:ind w:left="0"/>
        <w:jc w:val="left"/>
        <w:textAlignment w:val="auto"/>
        <w:rPr>
          <w:rFonts w:hint="eastAsia" w:ascii="Times New Roman" w:hAnsi="仿宋_GB2312" w:eastAsia="仿宋_GB2312" w:cs="仿宋_GB2312"/>
          <w:snapToGrid w:val="0"/>
          <w:color w:val="000000"/>
          <w:sz w:val="32"/>
          <w:szCs w:val="32"/>
          <w:lang w:val="en-US" w:eastAsia="zh-CN" w:bidi="ar-SA"/>
        </w:rPr>
      </w:pPr>
      <w:r>
        <w:rPr>
          <w:rFonts w:hint="eastAsia" w:ascii="楷体_GB2312" w:hAnsi="楷体_GB2312" w:eastAsia="楷体_GB2312" w:cs="楷体_GB2312"/>
          <w:b w:val="0"/>
          <w:bCs/>
          <w:snapToGrid w:val="0"/>
          <w:color w:val="000000"/>
          <w:sz w:val="32"/>
          <w:szCs w:val="32"/>
          <w:lang w:val="en-US" w:eastAsia="zh-CN" w:bidi="ar-SA"/>
        </w:rPr>
        <w:t>明确排除产品形态</w:t>
      </w:r>
      <w:r>
        <w:rPr>
          <w:rFonts w:ascii="Arial" w:hAnsi="Arial" w:eastAsia="等线" w:cs="Arial"/>
          <w:color w:val="auto"/>
          <w:sz w:val="22"/>
        </w:rPr>
        <w:br w:type="textWrapping"/>
      </w:r>
      <w:r>
        <w:rPr>
          <w:rFonts w:hint="eastAsia" w:ascii="Times New Roman" w:hAnsi="仿宋_GB2312" w:eastAsia="仿宋_GB2312" w:cs="仿宋_GB2312"/>
          <w:snapToGrid w:val="0"/>
          <w:color w:val="000000"/>
          <w:sz w:val="32"/>
          <w:szCs w:val="32"/>
          <w:lang w:val="en-US" w:eastAsia="zh-CN" w:bidi="ar-SA"/>
        </w:rPr>
        <w:t>旧第六条仅划分固态、半固态、液态三类形态；新方案增加排除条款：不包括以胶囊、口服液、丸剂等名称生产的产品，厘清运动营养食品与保健食品、膳食补充剂边界，避免类别混淆。</w:t>
      </w:r>
    </w:p>
    <w:p w14:paraId="34AA8D69">
      <w:pPr>
        <w:keepNext w:val="0"/>
        <w:keepLines w:val="0"/>
        <w:pageBreakBefore w:val="0"/>
        <w:widowControl w:val="0"/>
        <w:numPr>
          <w:ilvl w:val="0"/>
          <w:numId w:val="7"/>
        </w:numPr>
        <w:kinsoku/>
        <w:wordWrap/>
        <w:overflowPunct/>
        <w:topLinePunct w:val="0"/>
        <w:autoSpaceDE/>
        <w:autoSpaceDN/>
        <w:bidi w:val="0"/>
        <w:adjustRightInd/>
        <w:snapToGrid/>
        <w:spacing w:before="120" w:after="120" w:line="594" w:lineRule="exact"/>
        <w:ind w:left="0"/>
        <w:jc w:val="left"/>
        <w:textAlignment w:val="auto"/>
        <w:rPr>
          <w:rFonts w:hint="eastAsia" w:ascii="Times New Roman" w:hAnsi="仿宋_GB2312" w:eastAsia="仿宋_GB2312" w:cs="仿宋_GB2312"/>
          <w:snapToGrid w:val="0"/>
          <w:color w:val="000000"/>
          <w:sz w:val="32"/>
          <w:szCs w:val="32"/>
          <w:lang w:val="en-US" w:eastAsia="zh-CN" w:bidi="ar-SA"/>
        </w:rPr>
      </w:pPr>
      <w:r>
        <w:rPr>
          <w:rFonts w:hint="eastAsia" w:ascii="楷体_GB2312" w:hAnsi="楷体_GB2312" w:eastAsia="楷体_GB2312" w:cs="楷体_GB2312"/>
          <w:b w:val="0"/>
          <w:bCs/>
          <w:snapToGrid w:val="0"/>
          <w:color w:val="000000"/>
          <w:sz w:val="32"/>
          <w:szCs w:val="32"/>
          <w:lang w:val="en-US" w:eastAsia="zh-CN" w:bidi="ar-SA"/>
        </w:rPr>
        <w:t>原辅料管控新增风险提示</w:t>
      </w:r>
      <w:r>
        <w:rPr>
          <w:rFonts w:ascii="Arial" w:hAnsi="Arial" w:eastAsia="等线" w:cs="Arial"/>
          <w:color w:val="auto"/>
          <w:sz w:val="22"/>
        </w:rPr>
        <w:br w:type="textWrapping"/>
      </w:r>
      <w:r>
        <w:rPr>
          <w:rFonts w:hint="eastAsia" w:ascii="Times New Roman" w:hAnsi="仿宋_GB2312" w:eastAsia="仿宋_GB2312" w:cs="仿宋_GB2312"/>
          <w:snapToGrid w:val="0"/>
          <w:color w:val="000000"/>
          <w:sz w:val="32"/>
          <w:szCs w:val="32"/>
          <w:lang w:val="en-US" w:eastAsia="zh-CN" w:bidi="ar-SA"/>
        </w:rPr>
        <w:t>加强供应商管控，进口原料增加入境货物证明查验要求。</w:t>
      </w:r>
    </w:p>
    <w:p w14:paraId="3EC9A8A9">
      <w:pPr>
        <w:keepNext w:val="0"/>
        <w:keepLines w:val="0"/>
        <w:pageBreakBefore w:val="0"/>
        <w:widowControl w:val="0"/>
        <w:numPr>
          <w:ilvl w:val="0"/>
          <w:numId w:val="0"/>
        </w:numPr>
        <w:kinsoku/>
        <w:wordWrap/>
        <w:overflowPunct/>
        <w:topLinePunct w:val="0"/>
        <w:autoSpaceDE/>
        <w:autoSpaceDN/>
        <w:bidi w:val="0"/>
        <w:adjustRightInd/>
        <w:snapToGrid/>
        <w:spacing w:before="120" w:after="120" w:line="594" w:lineRule="exact"/>
        <w:jc w:val="left"/>
        <w:textAlignment w:val="auto"/>
        <w:rPr>
          <w:rFonts w:hint="eastAsia" w:ascii="楷体_GB2312" w:hAnsi="楷体_GB2312" w:eastAsia="楷体_GB2312" w:cs="楷体_GB2312"/>
          <w:b w:val="0"/>
          <w:bCs/>
          <w:snapToGrid w:val="0"/>
          <w:color w:val="000000"/>
          <w:sz w:val="32"/>
          <w:szCs w:val="32"/>
          <w:lang w:val="en-US" w:eastAsia="zh-CN" w:bidi="ar-SA"/>
        </w:rPr>
      </w:pPr>
      <w:bookmarkStart w:id="5" w:name="heading_5"/>
      <w:r>
        <w:rPr>
          <w:rFonts w:hint="eastAsia" w:ascii="楷体_GB2312" w:hAnsi="楷体_GB2312" w:eastAsia="楷体_GB2312" w:cs="楷体_GB2312"/>
          <w:b w:val="0"/>
          <w:bCs/>
          <w:snapToGrid w:val="0"/>
          <w:color w:val="000000"/>
          <w:sz w:val="32"/>
          <w:szCs w:val="32"/>
          <w:lang w:val="en-US" w:eastAsia="zh-CN" w:bidi="ar-SA"/>
        </w:rPr>
        <w:t>（三）生产场所章节：细化分区、洁净区与人流物流卫生管控</w:t>
      </w:r>
      <w:bookmarkEnd w:id="5"/>
    </w:p>
    <w:p w14:paraId="3039B930">
      <w:pPr>
        <w:keepNext w:val="0"/>
        <w:keepLines w:val="0"/>
        <w:pageBreakBefore w:val="0"/>
        <w:widowControl w:val="0"/>
        <w:numPr>
          <w:ilvl w:val="0"/>
          <w:numId w:val="8"/>
        </w:numPr>
        <w:kinsoku/>
        <w:wordWrap/>
        <w:overflowPunct/>
        <w:topLinePunct w:val="0"/>
        <w:autoSpaceDE/>
        <w:autoSpaceDN/>
        <w:bidi w:val="0"/>
        <w:adjustRightInd/>
        <w:snapToGrid/>
        <w:spacing w:before="120" w:after="120" w:line="594" w:lineRule="exact"/>
        <w:ind w:left="0"/>
        <w:jc w:val="left"/>
        <w:textAlignment w:val="auto"/>
        <w:rPr>
          <w:rFonts w:hint="eastAsia" w:ascii="Times New Roman" w:hAnsi="仿宋_GB2312" w:eastAsia="仿宋_GB2312" w:cs="仿宋_GB2312"/>
          <w:snapToGrid w:val="0"/>
          <w:color w:val="000000"/>
          <w:sz w:val="32"/>
          <w:szCs w:val="32"/>
          <w:lang w:val="en-US" w:eastAsia="zh-CN" w:bidi="ar-SA"/>
        </w:rPr>
      </w:pPr>
      <w:r>
        <w:rPr>
          <w:rFonts w:hint="eastAsia" w:ascii="楷体_GB2312" w:hAnsi="楷体_GB2312" w:eastAsia="楷体_GB2312" w:cs="楷体_GB2312"/>
          <w:b w:val="0"/>
          <w:bCs/>
          <w:snapToGrid w:val="0"/>
          <w:color w:val="000000"/>
          <w:sz w:val="32"/>
          <w:szCs w:val="32"/>
          <w:lang w:val="en-US" w:eastAsia="zh-CN" w:bidi="ar-SA"/>
        </w:rPr>
        <w:t>作业区分隔要求升级</w:t>
      </w:r>
      <w:r>
        <w:rPr>
          <w:rFonts w:ascii="Arial" w:hAnsi="Arial" w:eastAsia="等线" w:cs="Arial"/>
          <w:color w:val="auto"/>
          <w:sz w:val="22"/>
        </w:rPr>
        <w:br w:type="textWrapping"/>
      </w:r>
      <w:r>
        <w:rPr>
          <w:rFonts w:hint="eastAsia" w:ascii="Times New Roman" w:hAnsi="仿宋_GB2312" w:eastAsia="仿宋_GB2312" w:cs="仿宋_GB2312"/>
          <w:snapToGrid w:val="0"/>
          <w:color w:val="000000"/>
          <w:sz w:val="32"/>
          <w:szCs w:val="32"/>
          <w:lang w:val="en-US" w:eastAsia="zh-CN" w:bidi="ar-SA"/>
        </w:rPr>
        <w:t>旧第八条仅要求不同作业区分隔；新第八条补充：不同清洁程度作业区分别设置独立工器具清洗消毒区域，强化交叉污染防控，参考GB 14881-2025 《食品安全国家标准 食品生产通用卫生规范》 要求。</w:t>
      </w:r>
    </w:p>
    <w:p w14:paraId="385BF334">
      <w:pPr>
        <w:keepNext w:val="0"/>
        <w:keepLines w:val="0"/>
        <w:pageBreakBefore w:val="0"/>
        <w:widowControl w:val="0"/>
        <w:numPr>
          <w:ilvl w:val="0"/>
          <w:numId w:val="9"/>
        </w:numPr>
        <w:kinsoku/>
        <w:wordWrap/>
        <w:overflowPunct/>
        <w:topLinePunct w:val="0"/>
        <w:autoSpaceDE/>
        <w:autoSpaceDN/>
        <w:bidi w:val="0"/>
        <w:adjustRightInd/>
        <w:snapToGrid/>
        <w:spacing w:before="120" w:after="120" w:line="594" w:lineRule="exact"/>
        <w:ind w:left="0"/>
        <w:jc w:val="left"/>
        <w:textAlignment w:val="auto"/>
        <w:rPr>
          <w:rFonts w:hint="eastAsia" w:ascii="Times New Roman" w:hAnsi="仿宋_GB2312" w:eastAsia="仿宋_GB2312" w:cs="仿宋_GB2312"/>
          <w:snapToGrid w:val="0"/>
          <w:color w:val="000000"/>
          <w:sz w:val="32"/>
          <w:szCs w:val="32"/>
          <w:lang w:val="en-US" w:eastAsia="zh-CN" w:bidi="ar-SA"/>
        </w:rPr>
      </w:pPr>
      <w:r>
        <w:rPr>
          <w:rFonts w:hint="eastAsia" w:ascii="楷体_GB2312" w:hAnsi="楷体_GB2312" w:eastAsia="楷体_GB2312" w:cs="楷体_GB2312"/>
          <w:b w:val="0"/>
          <w:bCs/>
          <w:snapToGrid w:val="0"/>
          <w:color w:val="000000"/>
          <w:sz w:val="32"/>
          <w:szCs w:val="32"/>
          <w:lang w:val="en-US" w:eastAsia="zh-CN" w:bidi="ar-SA"/>
        </w:rPr>
        <w:t>更衣室、洁净区入口管控强化</w:t>
      </w:r>
      <w:r>
        <w:rPr>
          <w:rFonts w:ascii="Arial" w:hAnsi="Arial" w:eastAsia="等线" w:cs="Arial"/>
          <w:color w:val="auto"/>
          <w:sz w:val="22"/>
        </w:rPr>
        <w:br w:type="textWrapping"/>
      </w:r>
      <w:r>
        <w:rPr>
          <w:rFonts w:hint="eastAsia" w:ascii="Times New Roman" w:hAnsi="仿宋_GB2312" w:eastAsia="仿宋_GB2312" w:cs="仿宋_GB2312"/>
          <w:snapToGrid w:val="0"/>
          <w:color w:val="000000"/>
          <w:sz w:val="32"/>
          <w:szCs w:val="32"/>
          <w:lang w:val="en-US" w:eastAsia="zh-CN" w:bidi="ar-SA"/>
        </w:rPr>
        <w:t>旧第十条仅要求二次更衣室；新方案明确清洁作业区入口设置专用更衣室、阻拦式鞋柜、独立手部消毒设施，细化人员进入洁净区梯度卫生管控流程。</w:t>
      </w:r>
    </w:p>
    <w:p w14:paraId="37BCE1BE">
      <w:pPr>
        <w:keepNext w:val="0"/>
        <w:keepLines w:val="0"/>
        <w:pageBreakBefore w:val="0"/>
        <w:widowControl w:val="0"/>
        <w:numPr>
          <w:ilvl w:val="0"/>
          <w:numId w:val="10"/>
        </w:numPr>
        <w:kinsoku/>
        <w:wordWrap/>
        <w:overflowPunct/>
        <w:topLinePunct w:val="0"/>
        <w:autoSpaceDE/>
        <w:autoSpaceDN/>
        <w:bidi w:val="0"/>
        <w:adjustRightInd/>
        <w:snapToGrid/>
        <w:spacing w:before="120" w:after="120" w:line="594" w:lineRule="exact"/>
        <w:ind w:left="0"/>
        <w:jc w:val="left"/>
        <w:textAlignment w:val="auto"/>
        <w:rPr>
          <w:rFonts w:hint="eastAsia" w:ascii="Times New Roman" w:hAnsi="仿宋_GB2312" w:eastAsia="仿宋_GB2312" w:cs="仿宋_GB2312"/>
          <w:snapToGrid w:val="0"/>
          <w:color w:val="000000"/>
          <w:sz w:val="32"/>
          <w:szCs w:val="32"/>
          <w:lang w:val="en-US" w:eastAsia="zh-CN" w:bidi="ar-SA"/>
        </w:rPr>
      </w:pPr>
      <w:r>
        <w:rPr>
          <w:rFonts w:hint="eastAsia" w:ascii="楷体_GB2312" w:hAnsi="楷体_GB2312" w:eastAsia="楷体_GB2312" w:cs="楷体_GB2312"/>
          <w:b w:val="0"/>
          <w:bCs/>
          <w:snapToGrid w:val="0"/>
          <w:color w:val="000000"/>
          <w:sz w:val="32"/>
          <w:szCs w:val="32"/>
          <w:lang w:val="en-US" w:eastAsia="zh-CN" w:bidi="ar-SA"/>
        </w:rPr>
        <w:t>新增清洁作业区专项强制设施要求（新增第十六条）</w:t>
      </w:r>
      <w:r>
        <w:rPr>
          <w:rFonts w:ascii="Arial" w:hAnsi="Arial" w:eastAsia="等线" w:cs="Arial"/>
          <w:color w:val="auto"/>
          <w:sz w:val="22"/>
        </w:rPr>
        <w:br w:type="textWrapping"/>
      </w:r>
      <w:r>
        <w:rPr>
          <w:rFonts w:hint="eastAsia" w:ascii="Times New Roman" w:hAnsi="仿宋_GB2312" w:eastAsia="仿宋_GB2312" w:cs="仿宋_GB2312"/>
          <w:snapToGrid w:val="0"/>
          <w:color w:val="000000"/>
          <w:sz w:val="32"/>
          <w:szCs w:val="32"/>
          <w:lang w:val="en-US" w:eastAsia="zh-CN" w:bidi="ar-SA"/>
        </w:rPr>
        <w:t>强制要求清洁作业区配置独立带过滤空气净化空调系统，维持持续正压；针对粉状产品易扬尘问题，要求粉尘区域配套除尘设施并定期清洁，解决旧文件无粉尘管控要求的漏洞。</w:t>
      </w:r>
    </w:p>
    <w:p w14:paraId="1FD474F4">
      <w:pPr>
        <w:keepNext w:val="0"/>
        <w:keepLines w:val="0"/>
        <w:pageBreakBefore w:val="0"/>
        <w:widowControl w:val="0"/>
        <w:numPr>
          <w:ilvl w:val="0"/>
          <w:numId w:val="11"/>
        </w:numPr>
        <w:kinsoku/>
        <w:wordWrap/>
        <w:overflowPunct/>
        <w:topLinePunct w:val="0"/>
        <w:autoSpaceDE/>
        <w:autoSpaceDN/>
        <w:bidi w:val="0"/>
        <w:adjustRightInd/>
        <w:snapToGrid/>
        <w:spacing w:before="120" w:after="120" w:line="594" w:lineRule="exact"/>
        <w:ind w:left="0"/>
        <w:jc w:val="left"/>
        <w:textAlignment w:val="auto"/>
        <w:rPr>
          <w:rFonts w:hint="eastAsia" w:ascii="Times New Roman" w:hAnsi="仿宋_GB2312" w:eastAsia="仿宋_GB2312" w:cs="仿宋_GB2312"/>
          <w:snapToGrid w:val="0"/>
          <w:color w:val="000000"/>
          <w:sz w:val="32"/>
          <w:szCs w:val="32"/>
          <w:lang w:val="en-US" w:eastAsia="zh-CN" w:bidi="ar-SA"/>
        </w:rPr>
      </w:pPr>
      <w:r>
        <w:rPr>
          <w:rFonts w:hint="eastAsia" w:ascii="楷体_GB2312" w:hAnsi="楷体_GB2312" w:eastAsia="楷体_GB2312" w:cs="楷体_GB2312"/>
          <w:b w:val="0"/>
          <w:bCs/>
          <w:snapToGrid w:val="0"/>
          <w:color w:val="000000"/>
          <w:sz w:val="32"/>
          <w:szCs w:val="32"/>
          <w:lang w:val="en-US" w:eastAsia="zh-CN" w:bidi="ar-SA"/>
        </w:rPr>
        <w:t>新增压缩空气净化管控（新增第十七条）</w:t>
      </w:r>
      <w:r>
        <w:rPr>
          <w:rFonts w:ascii="Arial" w:hAnsi="Arial" w:eastAsia="等线" w:cs="Arial"/>
          <w:color w:val="auto"/>
          <w:sz w:val="22"/>
        </w:rPr>
        <w:br w:type="textWrapping"/>
      </w:r>
      <w:r>
        <w:rPr>
          <w:rFonts w:hint="eastAsia" w:ascii="Times New Roman" w:hAnsi="仿宋_GB2312" w:eastAsia="仿宋_GB2312" w:cs="仿宋_GB2312"/>
          <w:snapToGrid w:val="0"/>
          <w:color w:val="000000"/>
          <w:sz w:val="32"/>
          <w:szCs w:val="32"/>
          <w:lang w:val="en-US" w:eastAsia="zh-CN" w:bidi="ar-SA"/>
        </w:rPr>
        <w:t>针对灌装、包装、喷粉等工艺使用的压缩空气，要求配套除油、除水、除尘、除菌过滤设施，避免气体携带污染物污染食品，填补气体介质污染管控空白。</w:t>
      </w:r>
    </w:p>
    <w:p w14:paraId="4CE0904C">
      <w:pPr>
        <w:keepNext w:val="0"/>
        <w:keepLines w:val="0"/>
        <w:pageBreakBefore w:val="0"/>
        <w:widowControl w:val="0"/>
        <w:numPr>
          <w:ilvl w:val="0"/>
          <w:numId w:val="12"/>
        </w:numPr>
        <w:kinsoku/>
        <w:wordWrap/>
        <w:overflowPunct/>
        <w:topLinePunct w:val="0"/>
        <w:autoSpaceDE/>
        <w:autoSpaceDN/>
        <w:bidi w:val="0"/>
        <w:adjustRightInd/>
        <w:snapToGrid/>
        <w:spacing w:before="120" w:after="120" w:line="594" w:lineRule="exact"/>
        <w:ind w:left="0"/>
        <w:jc w:val="left"/>
        <w:textAlignment w:val="auto"/>
        <w:rPr>
          <w:rFonts w:hint="eastAsia" w:ascii="Times New Roman" w:hAnsi="仿宋_GB2312" w:eastAsia="仿宋_GB2312" w:cs="仿宋_GB2312"/>
          <w:snapToGrid w:val="0"/>
          <w:color w:val="000000"/>
          <w:sz w:val="32"/>
          <w:szCs w:val="32"/>
          <w:lang w:val="en-US" w:eastAsia="zh-CN" w:bidi="ar-SA"/>
        </w:rPr>
      </w:pPr>
      <w:r>
        <w:rPr>
          <w:rFonts w:hint="eastAsia" w:ascii="楷体_GB2312" w:hAnsi="楷体_GB2312" w:eastAsia="楷体_GB2312" w:cs="楷体_GB2312"/>
          <w:b w:val="0"/>
          <w:bCs/>
          <w:snapToGrid w:val="0"/>
          <w:color w:val="000000"/>
          <w:sz w:val="32"/>
          <w:szCs w:val="32"/>
          <w:lang w:val="en-US" w:eastAsia="zh-CN" w:bidi="ar-SA"/>
        </w:rPr>
        <w:t>给排水、地漏、管路要求细化</w:t>
      </w:r>
      <w:r>
        <w:rPr>
          <w:rFonts w:ascii="Arial" w:hAnsi="Arial" w:eastAsia="等线" w:cs="Arial"/>
          <w:color w:val="auto"/>
          <w:sz w:val="22"/>
        </w:rPr>
        <w:br w:type="textWrapping"/>
      </w:r>
      <w:r>
        <w:rPr>
          <w:rFonts w:hint="eastAsia" w:ascii="Times New Roman" w:hAnsi="仿宋_GB2312" w:eastAsia="仿宋_GB2312" w:cs="仿宋_GB2312"/>
          <w:snapToGrid w:val="0"/>
          <w:color w:val="000000"/>
          <w:sz w:val="32"/>
          <w:szCs w:val="32"/>
          <w:lang w:val="en-US" w:eastAsia="zh-CN" w:bidi="ar-SA"/>
        </w:rPr>
        <w:t>区分接触食品用水、非食品用水两套独立管路并标识；要求定期检查水封地漏，防止干涸产生异味；增设固体废弃物前置收集装置，适配新版 GB 14881 管道卫生要求。</w:t>
      </w:r>
    </w:p>
    <w:p w14:paraId="37025971">
      <w:pPr>
        <w:keepNext w:val="0"/>
        <w:keepLines w:val="0"/>
        <w:pageBreakBefore w:val="0"/>
        <w:widowControl w:val="0"/>
        <w:numPr>
          <w:ilvl w:val="0"/>
          <w:numId w:val="13"/>
        </w:numPr>
        <w:kinsoku/>
        <w:wordWrap/>
        <w:overflowPunct/>
        <w:topLinePunct w:val="0"/>
        <w:autoSpaceDE/>
        <w:autoSpaceDN/>
        <w:bidi w:val="0"/>
        <w:adjustRightInd/>
        <w:snapToGrid/>
        <w:spacing w:before="120" w:after="120" w:line="594" w:lineRule="exact"/>
        <w:ind w:left="0"/>
        <w:jc w:val="left"/>
        <w:textAlignment w:val="auto"/>
        <w:rPr>
          <w:color w:val="auto"/>
        </w:rPr>
      </w:pPr>
      <w:r>
        <w:rPr>
          <w:rFonts w:hint="eastAsia" w:ascii="楷体_GB2312" w:hAnsi="楷体_GB2312" w:eastAsia="楷体_GB2312" w:cs="楷体_GB2312"/>
          <w:b w:val="0"/>
          <w:bCs/>
          <w:snapToGrid w:val="0"/>
          <w:color w:val="000000"/>
          <w:sz w:val="32"/>
          <w:szCs w:val="32"/>
          <w:lang w:val="en-US" w:eastAsia="zh-CN" w:bidi="ar-SA"/>
        </w:rPr>
        <w:t>固态清洁作业区清单扩充（附件 1）</w:t>
      </w:r>
      <w:r>
        <w:rPr>
          <w:rFonts w:ascii="Arial" w:hAnsi="Arial" w:eastAsia="等线" w:cs="Arial"/>
          <w:color w:val="auto"/>
          <w:sz w:val="22"/>
        </w:rPr>
        <w:br w:type="textWrapping"/>
      </w:r>
      <w:r>
        <w:rPr>
          <w:rFonts w:hint="eastAsia" w:ascii="Times New Roman" w:hAnsi="仿宋_GB2312" w:eastAsia="仿宋_GB2312" w:cs="仿宋_GB2312"/>
          <w:snapToGrid w:val="0"/>
          <w:color w:val="000000"/>
          <w:sz w:val="32"/>
          <w:szCs w:val="32"/>
          <w:lang w:val="en-US" w:eastAsia="zh-CN" w:bidi="ar-SA"/>
        </w:rPr>
        <w:t>旧固态清洁区仅列明配料、混合、成型、内包装车间；新方案新增粉碎间、冷却间，覆盖半成品冷却等高洁净风险工序，分区管控更全面。</w:t>
      </w:r>
    </w:p>
    <w:p w14:paraId="633EF163">
      <w:pPr>
        <w:keepNext w:val="0"/>
        <w:keepLines w:val="0"/>
        <w:pageBreakBefore w:val="0"/>
        <w:widowControl w:val="0"/>
        <w:numPr>
          <w:ilvl w:val="0"/>
          <w:numId w:val="0"/>
        </w:numPr>
        <w:kinsoku/>
        <w:wordWrap/>
        <w:overflowPunct/>
        <w:topLinePunct w:val="0"/>
        <w:autoSpaceDE/>
        <w:autoSpaceDN/>
        <w:bidi w:val="0"/>
        <w:adjustRightInd/>
        <w:snapToGrid/>
        <w:spacing w:before="120" w:after="120" w:line="594" w:lineRule="exact"/>
        <w:jc w:val="left"/>
        <w:textAlignment w:val="auto"/>
        <w:rPr>
          <w:rFonts w:hint="eastAsia" w:ascii="楷体_GB2312" w:hAnsi="楷体_GB2312" w:eastAsia="楷体_GB2312" w:cs="楷体_GB2312"/>
          <w:b w:val="0"/>
          <w:bCs/>
          <w:snapToGrid w:val="0"/>
          <w:color w:val="000000"/>
          <w:sz w:val="32"/>
          <w:szCs w:val="32"/>
          <w:lang w:val="en-US" w:eastAsia="zh-CN" w:bidi="ar-SA"/>
        </w:rPr>
      </w:pPr>
      <w:bookmarkStart w:id="6" w:name="heading_6"/>
      <w:r>
        <w:rPr>
          <w:rFonts w:hint="eastAsia" w:ascii="楷体_GB2312" w:hAnsi="楷体_GB2312" w:eastAsia="楷体_GB2312" w:cs="楷体_GB2312"/>
          <w:b w:val="0"/>
          <w:bCs/>
          <w:snapToGrid w:val="0"/>
          <w:color w:val="000000"/>
          <w:sz w:val="32"/>
          <w:szCs w:val="32"/>
          <w:lang w:val="en-US" w:eastAsia="zh-CN" w:bidi="ar-SA"/>
        </w:rPr>
        <w:t>（四）设备设施：补充设备清单、检验设备、废弃物密闭管控</w:t>
      </w:r>
      <w:bookmarkEnd w:id="6"/>
    </w:p>
    <w:p w14:paraId="7BF0E747">
      <w:pPr>
        <w:keepNext w:val="0"/>
        <w:keepLines w:val="0"/>
        <w:pageBreakBefore w:val="0"/>
        <w:widowControl w:val="0"/>
        <w:numPr>
          <w:ilvl w:val="0"/>
          <w:numId w:val="14"/>
        </w:numPr>
        <w:kinsoku/>
        <w:wordWrap/>
        <w:overflowPunct/>
        <w:topLinePunct w:val="0"/>
        <w:autoSpaceDE/>
        <w:autoSpaceDN/>
        <w:bidi w:val="0"/>
        <w:adjustRightInd/>
        <w:snapToGrid/>
        <w:spacing w:before="120" w:after="120" w:line="594" w:lineRule="exact"/>
        <w:ind w:left="0"/>
        <w:jc w:val="left"/>
        <w:textAlignment w:val="auto"/>
        <w:rPr>
          <w:rFonts w:hint="eastAsia" w:ascii="Times New Roman" w:hAnsi="仿宋_GB2312" w:eastAsia="仿宋_GB2312" w:cs="仿宋_GB2312"/>
          <w:snapToGrid w:val="0"/>
          <w:color w:val="000000"/>
          <w:sz w:val="32"/>
          <w:szCs w:val="32"/>
          <w:lang w:val="en-US" w:eastAsia="zh-CN" w:bidi="ar-SA"/>
        </w:rPr>
      </w:pPr>
      <w:r>
        <w:rPr>
          <w:rFonts w:hint="eastAsia" w:ascii="楷体_GB2312" w:hAnsi="楷体_GB2312" w:eastAsia="楷体_GB2312" w:cs="楷体_GB2312"/>
          <w:b w:val="0"/>
          <w:bCs/>
          <w:snapToGrid w:val="0"/>
          <w:color w:val="000000"/>
          <w:sz w:val="32"/>
          <w:szCs w:val="32"/>
          <w:lang w:val="en-US" w:eastAsia="zh-CN" w:bidi="ar-SA"/>
        </w:rPr>
        <w:t>异物设备统一表述</w:t>
      </w:r>
      <w:r>
        <w:rPr>
          <w:rFonts w:ascii="Arial" w:hAnsi="Arial" w:eastAsia="等线" w:cs="Arial"/>
          <w:color w:val="auto"/>
          <w:sz w:val="22"/>
        </w:rPr>
        <w:br w:type="textWrapping"/>
      </w:r>
      <w:r>
        <w:rPr>
          <w:rFonts w:hint="eastAsia" w:ascii="Times New Roman" w:hAnsi="仿宋_GB2312" w:eastAsia="仿宋_GB2312" w:cs="仿宋_GB2312"/>
          <w:snapToGrid w:val="0"/>
          <w:color w:val="000000"/>
          <w:sz w:val="32"/>
          <w:szCs w:val="32"/>
          <w:lang w:val="en-US" w:eastAsia="zh-CN" w:bidi="ar-SA"/>
        </w:rPr>
        <w:t>将旧文中 “X 光异物监控设备或金属检测设备” 简化统一为异物探测设备，表述更简洁，也给企业增加更多选择性，更符合当前我省运动营养补充品的实际生产状况。</w:t>
      </w:r>
    </w:p>
    <w:p w14:paraId="2C536DCE">
      <w:pPr>
        <w:keepNext w:val="0"/>
        <w:keepLines w:val="0"/>
        <w:pageBreakBefore w:val="0"/>
        <w:widowControl w:val="0"/>
        <w:numPr>
          <w:ilvl w:val="0"/>
          <w:numId w:val="15"/>
        </w:numPr>
        <w:kinsoku/>
        <w:wordWrap/>
        <w:overflowPunct/>
        <w:topLinePunct w:val="0"/>
        <w:autoSpaceDE/>
        <w:autoSpaceDN/>
        <w:bidi w:val="0"/>
        <w:adjustRightInd/>
        <w:snapToGrid/>
        <w:spacing w:before="120" w:after="120" w:line="594" w:lineRule="exact"/>
        <w:ind w:left="0"/>
        <w:jc w:val="left"/>
        <w:textAlignment w:val="auto"/>
        <w:rPr>
          <w:rFonts w:hint="eastAsia" w:ascii="Times New Roman" w:hAnsi="仿宋_GB2312" w:eastAsia="仿宋_GB2312" w:cs="仿宋_GB2312"/>
          <w:snapToGrid w:val="0"/>
          <w:color w:val="000000"/>
          <w:sz w:val="32"/>
          <w:szCs w:val="32"/>
          <w:lang w:val="en-US" w:eastAsia="zh-CN" w:bidi="ar-SA"/>
        </w:rPr>
      </w:pPr>
      <w:r>
        <w:rPr>
          <w:rFonts w:hint="eastAsia" w:ascii="楷体_GB2312" w:hAnsi="楷体_GB2312" w:eastAsia="楷体_GB2312" w:cs="楷体_GB2312"/>
          <w:b w:val="0"/>
          <w:bCs/>
          <w:snapToGrid w:val="0"/>
          <w:color w:val="000000"/>
          <w:sz w:val="32"/>
          <w:szCs w:val="32"/>
          <w:lang w:val="en-US" w:eastAsia="zh-CN" w:bidi="ar-SA"/>
        </w:rPr>
        <w:t>半固态设备新增中间产品储存设备</w:t>
      </w:r>
      <w:r>
        <w:rPr>
          <w:rFonts w:ascii="Arial" w:hAnsi="Arial" w:eastAsia="等线" w:cs="Arial"/>
          <w:color w:val="auto"/>
          <w:sz w:val="22"/>
        </w:rPr>
        <w:br w:type="textWrapping"/>
      </w:r>
      <w:r>
        <w:rPr>
          <w:rFonts w:hint="eastAsia" w:ascii="Times New Roman" w:hAnsi="仿宋_GB2312" w:eastAsia="仿宋_GB2312" w:cs="仿宋_GB2312"/>
          <w:snapToGrid w:val="0"/>
          <w:color w:val="000000"/>
          <w:sz w:val="32"/>
          <w:szCs w:val="32"/>
          <w:lang w:val="en-US" w:eastAsia="zh-CN" w:bidi="ar-SA"/>
        </w:rPr>
        <w:t>适配膏状、凝胶类半固态产品暂存工艺，补齐中间半成品储存设备审查要求。</w:t>
      </w:r>
    </w:p>
    <w:p w14:paraId="4D69B999">
      <w:pPr>
        <w:keepNext w:val="0"/>
        <w:keepLines w:val="0"/>
        <w:pageBreakBefore w:val="0"/>
        <w:widowControl w:val="0"/>
        <w:numPr>
          <w:ilvl w:val="0"/>
          <w:numId w:val="16"/>
        </w:numPr>
        <w:kinsoku/>
        <w:wordWrap/>
        <w:overflowPunct/>
        <w:topLinePunct w:val="0"/>
        <w:autoSpaceDE/>
        <w:autoSpaceDN/>
        <w:bidi w:val="0"/>
        <w:adjustRightInd/>
        <w:snapToGrid/>
        <w:spacing w:before="120" w:after="120" w:line="594" w:lineRule="exact"/>
        <w:ind w:left="0"/>
        <w:jc w:val="left"/>
        <w:textAlignment w:val="auto"/>
        <w:rPr>
          <w:rFonts w:hint="eastAsia" w:ascii="Times New Roman" w:hAnsi="仿宋_GB2312" w:eastAsia="仿宋_GB2312" w:cs="仿宋_GB2312"/>
          <w:snapToGrid w:val="0"/>
          <w:color w:val="000000"/>
          <w:sz w:val="32"/>
          <w:szCs w:val="32"/>
          <w:lang w:val="en-US" w:eastAsia="zh-CN" w:bidi="ar-SA"/>
        </w:rPr>
      </w:pPr>
      <w:r>
        <w:rPr>
          <w:rFonts w:hint="eastAsia" w:ascii="楷体_GB2312" w:hAnsi="楷体_GB2312" w:eastAsia="楷体_GB2312" w:cs="楷体_GB2312"/>
          <w:b w:val="0"/>
          <w:bCs/>
          <w:snapToGrid w:val="0"/>
          <w:color w:val="000000"/>
          <w:sz w:val="32"/>
          <w:szCs w:val="32"/>
          <w:lang w:val="en-US" w:eastAsia="zh-CN" w:bidi="ar-SA"/>
        </w:rPr>
        <w:t>废弃物容器增加密闭强制要求</w:t>
      </w:r>
      <w:r>
        <w:rPr>
          <w:rFonts w:ascii="Arial" w:hAnsi="Arial" w:eastAsia="等线" w:cs="Arial"/>
          <w:color w:val="auto"/>
          <w:sz w:val="22"/>
        </w:rPr>
        <w:br w:type="textWrapping"/>
      </w:r>
      <w:r>
        <w:rPr>
          <w:rFonts w:hint="eastAsia" w:ascii="Times New Roman" w:hAnsi="仿宋_GB2312" w:eastAsia="仿宋_GB2312" w:cs="仿宋_GB2312"/>
          <w:snapToGrid w:val="0"/>
          <w:color w:val="000000"/>
          <w:sz w:val="32"/>
          <w:szCs w:val="32"/>
          <w:lang w:val="en-US" w:eastAsia="zh-CN" w:bidi="ar-SA"/>
        </w:rPr>
        <w:t>旧版仅要求专用、标识清晰；新方案规定高洁净区域废弃物设施必要时采用密闭容器，防止异味、粉尘、蚊虫扩散污染生产区。</w:t>
      </w:r>
    </w:p>
    <w:p w14:paraId="550F2C76">
      <w:pPr>
        <w:keepNext w:val="0"/>
        <w:keepLines w:val="0"/>
        <w:pageBreakBefore w:val="0"/>
        <w:widowControl w:val="0"/>
        <w:numPr>
          <w:ilvl w:val="0"/>
          <w:numId w:val="17"/>
        </w:numPr>
        <w:kinsoku/>
        <w:wordWrap/>
        <w:overflowPunct/>
        <w:topLinePunct w:val="0"/>
        <w:autoSpaceDE/>
        <w:autoSpaceDN/>
        <w:bidi w:val="0"/>
        <w:adjustRightInd/>
        <w:snapToGrid/>
        <w:spacing w:before="120" w:after="120" w:line="594" w:lineRule="exact"/>
        <w:ind w:left="0"/>
        <w:jc w:val="left"/>
        <w:textAlignment w:val="auto"/>
        <w:rPr>
          <w:rFonts w:hint="eastAsia" w:ascii="Times New Roman" w:hAnsi="仿宋_GB2312" w:eastAsia="仿宋_GB2312" w:cs="仿宋_GB2312"/>
          <w:snapToGrid w:val="0"/>
          <w:color w:val="000000"/>
          <w:sz w:val="32"/>
          <w:szCs w:val="32"/>
          <w:lang w:val="en-US" w:eastAsia="zh-CN" w:bidi="ar-SA"/>
        </w:rPr>
      </w:pPr>
      <w:r>
        <w:rPr>
          <w:rFonts w:hint="eastAsia" w:ascii="楷体_GB2312" w:hAnsi="楷体_GB2312" w:eastAsia="楷体_GB2312" w:cs="楷体_GB2312"/>
          <w:b w:val="0"/>
          <w:bCs/>
          <w:snapToGrid w:val="0"/>
          <w:color w:val="000000"/>
          <w:sz w:val="32"/>
          <w:szCs w:val="32"/>
          <w:lang w:val="en-US" w:eastAsia="zh-CN" w:bidi="ar-SA"/>
        </w:rPr>
        <w:t>检验设备动态更新机制</w:t>
      </w:r>
      <w:r>
        <w:rPr>
          <w:rFonts w:ascii="Arial" w:hAnsi="Arial" w:eastAsia="等线" w:cs="Arial"/>
          <w:color w:val="auto"/>
          <w:sz w:val="22"/>
        </w:rPr>
        <w:br w:type="textWrapping"/>
      </w:r>
      <w:r>
        <w:rPr>
          <w:rFonts w:hint="eastAsia" w:ascii="Times New Roman" w:hAnsi="仿宋_GB2312" w:eastAsia="仿宋_GB2312" w:cs="仿宋_GB2312"/>
          <w:snapToGrid w:val="0"/>
          <w:color w:val="000000"/>
          <w:sz w:val="32"/>
          <w:szCs w:val="32"/>
          <w:lang w:val="en-US" w:eastAsia="zh-CN" w:bidi="ar-SA"/>
        </w:rPr>
        <w:t>旧版要求检验设备满足全部项目的检测需求，新方案修改为检验设备配置应与“自行检验项目”匹配，允许可不配备送外检验项目的设备，减轻企业负担，同时要求企业随国标、产品标准修订同步配齐新增检验设备与试剂，明确检验室布局、设备精度、数量匹配产能，强化出厂自检硬件保障。</w:t>
      </w:r>
    </w:p>
    <w:p w14:paraId="0C6A5228">
      <w:pPr>
        <w:keepNext w:val="0"/>
        <w:keepLines w:val="0"/>
        <w:pageBreakBefore w:val="0"/>
        <w:widowControl w:val="0"/>
        <w:numPr>
          <w:ilvl w:val="0"/>
          <w:numId w:val="0"/>
        </w:numPr>
        <w:kinsoku/>
        <w:wordWrap/>
        <w:overflowPunct/>
        <w:topLinePunct w:val="0"/>
        <w:autoSpaceDE/>
        <w:autoSpaceDN/>
        <w:bidi w:val="0"/>
        <w:adjustRightInd/>
        <w:snapToGrid/>
        <w:spacing w:before="120" w:after="120" w:line="594" w:lineRule="exact"/>
        <w:jc w:val="left"/>
        <w:textAlignment w:val="auto"/>
        <w:rPr>
          <w:rFonts w:hint="default" w:ascii="楷体_GB2312" w:hAnsi="楷体_GB2312" w:eastAsia="楷体_GB2312" w:cs="楷体_GB2312"/>
          <w:b w:val="0"/>
          <w:bCs/>
          <w:snapToGrid w:val="0"/>
          <w:color w:val="000000"/>
          <w:sz w:val="32"/>
          <w:szCs w:val="32"/>
          <w:lang w:val="en-US" w:eastAsia="zh-CN" w:bidi="ar-SA"/>
        </w:rPr>
      </w:pPr>
      <w:bookmarkStart w:id="7" w:name="heading_7"/>
      <w:r>
        <w:rPr>
          <w:rFonts w:hint="eastAsia" w:ascii="楷体_GB2312" w:hAnsi="楷体_GB2312" w:eastAsia="楷体_GB2312" w:cs="楷体_GB2312"/>
          <w:b w:val="0"/>
          <w:bCs/>
          <w:snapToGrid w:val="0"/>
          <w:color w:val="000000"/>
          <w:sz w:val="32"/>
          <w:szCs w:val="32"/>
          <w:lang w:val="en-US" w:eastAsia="zh-CN" w:bidi="ar-SA"/>
        </w:rPr>
        <w:t>（五）工艺流程：简化通用流程、</w:t>
      </w:r>
      <w:bookmarkEnd w:id="7"/>
      <w:r>
        <w:rPr>
          <w:rFonts w:hint="eastAsia" w:ascii="楷体_GB2312" w:hAnsi="楷体_GB2312" w:eastAsia="楷体_GB2312" w:cs="楷体_GB2312"/>
          <w:b w:val="0"/>
          <w:bCs/>
          <w:snapToGrid w:val="0"/>
          <w:color w:val="000000"/>
          <w:sz w:val="32"/>
          <w:szCs w:val="32"/>
          <w:lang w:val="en-US" w:eastAsia="zh-CN" w:bidi="ar-SA"/>
        </w:rPr>
        <w:t>关键控制工序统一概括</w:t>
      </w:r>
    </w:p>
    <w:p w14:paraId="51FE4EBC">
      <w:pPr>
        <w:keepNext w:val="0"/>
        <w:keepLines w:val="0"/>
        <w:pageBreakBefore w:val="0"/>
        <w:widowControl w:val="0"/>
        <w:numPr>
          <w:ilvl w:val="0"/>
          <w:numId w:val="18"/>
        </w:numPr>
        <w:kinsoku/>
        <w:wordWrap/>
        <w:overflowPunct/>
        <w:topLinePunct w:val="0"/>
        <w:autoSpaceDE/>
        <w:autoSpaceDN/>
        <w:bidi w:val="0"/>
        <w:adjustRightInd/>
        <w:snapToGrid/>
        <w:spacing w:before="120" w:after="120" w:line="594" w:lineRule="exact"/>
        <w:ind w:left="0"/>
        <w:jc w:val="left"/>
        <w:textAlignment w:val="auto"/>
        <w:rPr>
          <w:rFonts w:hint="eastAsia" w:ascii="Times New Roman" w:hAnsi="仿宋_GB2312" w:eastAsia="仿宋_GB2312" w:cs="仿宋_GB2312"/>
          <w:snapToGrid w:val="0"/>
          <w:color w:val="000000"/>
          <w:sz w:val="32"/>
          <w:szCs w:val="32"/>
          <w:lang w:val="en-US" w:eastAsia="zh-CN" w:bidi="ar-SA"/>
        </w:rPr>
      </w:pPr>
      <w:r>
        <w:rPr>
          <w:rFonts w:hint="eastAsia" w:ascii="楷体_GB2312" w:hAnsi="楷体_GB2312" w:eastAsia="楷体_GB2312" w:cs="楷体_GB2312"/>
          <w:b w:val="0"/>
          <w:bCs/>
          <w:snapToGrid w:val="0"/>
          <w:color w:val="000000"/>
          <w:sz w:val="32"/>
          <w:szCs w:val="32"/>
          <w:lang w:val="en-US" w:eastAsia="zh-CN" w:bidi="ar-SA"/>
        </w:rPr>
        <w:t>工艺流程区分基础工序与可选工序</w:t>
      </w:r>
      <w:r>
        <w:rPr>
          <w:rFonts w:ascii="Arial" w:hAnsi="Arial" w:eastAsia="等线" w:cs="Arial"/>
          <w:color w:val="auto"/>
          <w:sz w:val="22"/>
        </w:rPr>
        <w:br w:type="textWrapping"/>
      </w:r>
      <w:r>
        <w:rPr>
          <w:rFonts w:hint="eastAsia" w:ascii="Times New Roman" w:hAnsi="仿宋_GB2312" w:eastAsia="仿宋_GB2312" w:cs="仿宋_GB2312"/>
          <w:snapToGrid w:val="0"/>
          <w:color w:val="000000"/>
          <w:sz w:val="32"/>
          <w:szCs w:val="32"/>
          <w:lang w:val="en-US" w:eastAsia="zh-CN" w:bidi="ar-SA"/>
        </w:rPr>
        <w:t>旧细则将所有工艺步骤并列；新方案明确固态 / 半固态 / 液态产品核心必做工序（配料、混合、灌装、杀菌、异物检测），预处理、熟制、成型等列为可选工艺，适配不同品类企业差异化生产模式，降低合规冗余。</w:t>
      </w:r>
    </w:p>
    <w:p w14:paraId="11169FC5">
      <w:pPr>
        <w:keepNext w:val="0"/>
        <w:keepLines w:val="0"/>
        <w:pageBreakBefore w:val="0"/>
        <w:widowControl w:val="0"/>
        <w:numPr>
          <w:ilvl w:val="0"/>
          <w:numId w:val="18"/>
        </w:numPr>
        <w:kinsoku/>
        <w:wordWrap/>
        <w:overflowPunct/>
        <w:topLinePunct w:val="0"/>
        <w:autoSpaceDE/>
        <w:autoSpaceDN/>
        <w:bidi w:val="0"/>
        <w:adjustRightInd/>
        <w:snapToGrid/>
        <w:spacing w:before="120" w:after="120" w:line="594" w:lineRule="exact"/>
        <w:ind w:left="0"/>
        <w:jc w:val="left"/>
        <w:textAlignment w:val="auto"/>
        <w:rPr>
          <w:rFonts w:hint="eastAsia" w:ascii="Times New Roman" w:hAnsi="仿宋_GB2312" w:eastAsia="仿宋_GB2312" w:cs="仿宋_GB2312"/>
          <w:snapToGrid w:val="0"/>
          <w:color w:val="000000"/>
          <w:sz w:val="32"/>
          <w:szCs w:val="32"/>
          <w:lang w:val="en-US" w:eastAsia="zh-CN" w:bidi="ar-SA"/>
        </w:rPr>
      </w:pPr>
      <w:r>
        <w:rPr>
          <w:rFonts w:hint="eastAsia" w:ascii="楷体_GB2312" w:hAnsi="楷体_GB2312" w:eastAsia="楷体_GB2312" w:cs="楷体_GB2312"/>
          <w:b w:val="0"/>
          <w:bCs/>
          <w:snapToGrid w:val="0"/>
          <w:color w:val="000000"/>
          <w:sz w:val="32"/>
          <w:szCs w:val="32"/>
          <w:lang w:val="en-US" w:eastAsia="zh-CN" w:bidi="ar-SA"/>
        </w:rPr>
        <w:t>关键控制工序统一概括</w:t>
      </w:r>
      <w:r>
        <w:rPr>
          <w:rFonts w:ascii="Arial" w:hAnsi="Arial" w:eastAsia="等线" w:cs="Arial"/>
          <w:color w:val="auto"/>
          <w:sz w:val="22"/>
        </w:rPr>
        <w:br w:type="textWrapping"/>
      </w:r>
      <w:r>
        <w:rPr>
          <w:rFonts w:hint="eastAsia" w:ascii="Times New Roman" w:hAnsi="仿宋_GB2312" w:eastAsia="仿宋_GB2312" w:cs="仿宋_GB2312"/>
          <w:snapToGrid w:val="0"/>
          <w:color w:val="000000"/>
          <w:sz w:val="32"/>
          <w:szCs w:val="32"/>
          <w:lang w:val="en-US" w:eastAsia="zh-CN" w:bidi="ar-SA"/>
        </w:rPr>
        <w:t>不再分固态、半固态、液态单独罗列关键控制点，统一汇总核心工序清单，审查人员可根据企业实际工艺灵活判定，提升审查灵活性。</w:t>
      </w:r>
    </w:p>
    <w:p w14:paraId="57246E17">
      <w:pPr>
        <w:keepNext w:val="0"/>
        <w:keepLines w:val="0"/>
        <w:pageBreakBefore w:val="0"/>
        <w:widowControl w:val="0"/>
        <w:numPr>
          <w:ilvl w:val="0"/>
          <w:numId w:val="0"/>
        </w:numPr>
        <w:kinsoku/>
        <w:wordWrap/>
        <w:overflowPunct/>
        <w:topLinePunct w:val="0"/>
        <w:autoSpaceDE/>
        <w:autoSpaceDN/>
        <w:bidi w:val="0"/>
        <w:adjustRightInd/>
        <w:snapToGrid/>
        <w:spacing w:before="120" w:after="120" w:line="594" w:lineRule="exact"/>
        <w:jc w:val="left"/>
        <w:textAlignment w:val="auto"/>
        <w:rPr>
          <w:rFonts w:hint="eastAsia" w:ascii="楷体_GB2312" w:hAnsi="楷体_GB2312" w:eastAsia="楷体_GB2312" w:cs="楷体_GB2312"/>
          <w:b w:val="0"/>
          <w:bCs/>
          <w:snapToGrid w:val="0"/>
          <w:color w:val="000000"/>
          <w:sz w:val="32"/>
          <w:szCs w:val="32"/>
          <w:lang w:val="en-US" w:eastAsia="zh-CN" w:bidi="ar-SA"/>
        </w:rPr>
      </w:pPr>
      <w:bookmarkStart w:id="8" w:name="heading_8"/>
      <w:r>
        <w:rPr>
          <w:rFonts w:hint="eastAsia" w:ascii="楷体_GB2312" w:hAnsi="楷体_GB2312" w:eastAsia="楷体_GB2312" w:cs="楷体_GB2312"/>
          <w:b w:val="0"/>
          <w:bCs/>
          <w:snapToGrid w:val="0"/>
          <w:color w:val="000000"/>
          <w:sz w:val="32"/>
          <w:szCs w:val="32"/>
          <w:lang w:val="en-US" w:eastAsia="zh-CN" w:bidi="ar-SA"/>
        </w:rPr>
        <w:t>（六）人员管理：落实企业食品安全总监制度，完善全岗位资质与培训体系</w:t>
      </w:r>
      <w:bookmarkEnd w:id="8"/>
    </w:p>
    <w:p w14:paraId="1C40A548">
      <w:pPr>
        <w:keepNext w:val="0"/>
        <w:keepLines w:val="0"/>
        <w:pageBreakBefore w:val="0"/>
        <w:widowControl w:val="0"/>
        <w:numPr>
          <w:ilvl w:val="0"/>
          <w:numId w:val="19"/>
        </w:numPr>
        <w:kinsoku/>
        <w:wordWrap/>
        <w:overflowPunct/>
        <w:topLinePunct w:val="0"/>
        <w:autoSpaceDE/>
        <w:autoSpaceDN/>
        <w:bidi w:val="0"/>
        <w:adjustRightInd/>
        <w:snapToGrid/>
        <w:spacing w:before="120" w:after="120" w:line="594" w:lineRule="exact"/>
        <w:ind w:left="0"/>
        <w:jc w:val="left"/>
        <w:textAlignment w:val="auto"/>
        <w:rPr>
          <w:rFonts w:hint="eastAsia" w:ascii="Times New Roman" w:hAnsi="仿宋_GB2312" w:eastAsia="仿宋_GB2312" w:cs="仿宋_GB2312"/>
          <w:snapToGrid w:val="0"/>
          <w:color w:val="000000"/>
          <w:sz w:val="32"/>
          <w:szCs w:val="32"/>
          <w:lang w:val="en-US" w:eastAsia="zh-CN" w:bidi="ar-SA"/>
        </w:rPr>
      </w:pPr>
      <w:r>
        <w:rPr>
          <w:rFonts w:hint="eastAsia" w:ascii="楷体_GB2312" w:hAnsi="楷体_GB2312" w:eastAsia="楷体_GB2312" w:cs="楷体_GB2312"/>
          <w:b w:val="0"/>
          <w:bCs/>
          <w:snapToGrid w:val="0"/>
          <w:color w:val="000000"/>
          <w:sz w:val="32"/>
          <w:szCs w:val="32"/>
          <w:lang w:val="en-US" w:eastAsia="zh-CN" w:bidi="ar-SA"/>
        </w:rPr>
        <w:t>新增食品安全总监、食品安全员岗位强制配置</w:t>
      </w:r>
      <w:r>
        <w:rPr>
          <w:rFonts w:ascii="Arial" w:hAnsi="Arial" w:eastAsia="等线" w:cs="Arial"/>
          <w:color w:val="auto"/>
          <w:sz w:val="22"/>
        </w:rPr>
        <w:br w:type="textWrapping"/>
      </w:r>
      <w:r>
        <w:rPr>
          <w:rFonts w:hint="eastAsia" w:ascii="Times New Roman" w:hAnsi="仿宋_GB2312" w:eastAsia="仿宋_GB2312" w:cs="仿宋_GB2312"/>
          <w:snapToGrid w:val="0"/>
          <w:color w:val="000000"/>
          <w:sz w:val="32"/>
          <w:szCs w:val="32"/>
          <w:lang w:val="en-US" w:eastAsia="zh-CN" w:bidi="ar-SA"/>
        </w:rPr>
        <w:t>旧仅笼统设置食品安全管理人员；新方案依据《食品生产经营企业落实食品安全主体责任监督管理规定》，强制配备食品安全总监 + 食品安全员双岗。</w:t>
      </w:r>
    </w:p>
    <w:p w14:paraId="68B6F9C7">
      <w:pPr>
        <w:keepNext w:val="0"/>
        <w:keepLines w:val="0"/>
        <w:pageBreakBefore w:val="0"/>
        <w:widowControl w:val="0"/>
        <w:numPr>
          <w:ilvl w:val="0"/>
          <w:numId w:val="19"/>
        </w:numPr>
        <w:kinsoku/>
        <w:wordWrap/>
        <w:overflowPunct/>
        <w:topLinePunct w:val="0"/>
        <w:autoSpaceDE/>
        <w:autoSpaceDN/>
        <w:bidi w:val="0"/>
        <w:adjustRightInd/>
        <w:snapToGrid/>
        <w:spacing w:before="120" w:after="120" w:line="594" w:lineRule="exact"/>
        <w:ind w:left="0"/>
        <w:jc w:val="left"/>
        <w:textAlignment w:val="auto"/>
        <w:rPr>
          <w:rFonts w:hint="eastAsia" w:ascii="Times New Roman" w:hAnsi="仿宋_GB2312" w:eastAsia="仿宋_GB2312" w:cs="仿宋_GB2312"/>
          <w:snapToGrid w:val="0"/>
          <w:color w:val="000000"/>
          <w:sz w:val="32"/>
          <w:szCs w:val="32"/>
          <w:lang w:val="en-US" w:eastAsia="zh-CN" w:bidi="ar-SA"/>
        </w:rPr>
      </w:pPr>
      <w:bookmarkStart w:id="14" w:name="_GoBack"/>
      <w:bookmarkEnd w:id="14"/>
      <w:r>
        <w:rPr>
          <w:rFonts w:hint="eastAsia" w:ascii="楷体_GB2312" w:hAnsi="楷体_GB2312" w:eastAsia="楷体_GB2312" w:cs="楷体_GB2312"/>
          <w:b w:val="0"/>
          <w:bCs/>
          <w:snapToGrid w:val="0"/>
          <w:color w:val="000000"/>
          <w:sz w:val="32"/>
          <w:szCs w:val="32"/>
          <w:lang w:val="en-US" w:eastAsia="zh-CN" w:bidi="ar-SA"/>
        </w:rPr>
        <w:t>建立常态化年度培训考核制度（新增第二十七条）</w:t>
      </w:r>
      <w:r>
        <w:rPr>
          <w:rFonts w:ascii="Arial" w:hAnsi="Arial" w:eastAsia="等线" w:cs="Arial"/>
          <w:color w:val="auto"/>
          <w:sz w:val="22"/>
        </w:rPr>
        <w:br w:type="textWrapping"/>
      </w:r>
      <w:r>
        <w:rPr>
          <w:rFonts w:hint="eastAsia" w:ascii="Times New Roman" w:hAnsi="仿宋_GB2312" w:eastAsia="仿宋_GB2312" w:cs="仿宋_GB2312"/>
          <w:snapToGrid w:val="0"/>
          <w:color w:val="000000"/>
          <w:sz w:val="32"/>
          <w:szCs w:val="32"/>
          <w:lang w:val="en-US" w:eastAsia="zh-CN" w:bidi="ar-SA"/>
        </w:rPr>
        <w:t>强制制定年度培训计划，覆盖工艺、清洗消毒、致敏物质、检验；法规标准更新后需及时组织专项培训，所有人员持证上岗，完整留存培训考核记录，补齐旧文件无系统培训要求短板。</w:t>
      </w:r>
    </w:p>
    <w:p w14:paraId="02B981F3">
      <w:pPr>
        <w:keepNext w:val="0"/>
        <w:keepLines w:val="0"/>
        <w:pageBreakBefore w:val="0"/>
        <w:widowControl w:val="0"/>
        <w:numPr>
          <w:ilvl w:val="0"/>
          <w:numId w:val="0"/>
        </w:numPr>
        <w:kinsoku/>
        <w:wordWrap/>
        <w:overflowPunct/>
        <w:topLinePunct w:val="0"/>
        <w:autoSpaceDE/>
        <w:autoSpaceDN/>
        <w:bidi w:val="0"/>
        <w:adjustRightInd/>
        <w:snapToGrid/>
        <w:spacing w:before="120" w:after="120" w:line="594" w:lineRule="exact"/>
        <w:jc w:val="left"/>
        <w:textAlignment w:val="auto"/>
        <w:rPr>
          <w:rFonts w:hint="eastAsia" w:ascii="楷体_GB2312" w:hAnsi="楷体_GB2312" w:eastAsia="楷体_GB2312" w:cs="楷体_GB2312"/>
          <w:b w:val="0"/>
          <w:bCs/>
          <w:snapToGrid w:val="0"/>
          <w:color w:val="000000"/>
          <w:sz w:val="32"/>
          <w:szCs w:val="32"/>
          <w:lang w:val="en-US" w:eastAsia="zh-CN" w:bidi="ar-SA"/>
        </w:rPr>
      </w:pPr>
      <w:bookmarkStart w:id="9" w:name="heading_9"/>
      <w:r>
        <w:rPr>
          <w:rFonts w:hint="eastAsia" w:ascii="楷体_GB2312" w:hAnsi="楷体_GB2312" w:eastAsia="楷体_GB2312" w:cs="楷体_GB2312"/>
          <w:b w:val="0"/>
          <w:bCs/>
          <w:snapToGrid w:val="0"/>
          <w:color w:val="000000"/>
          <w:sz w:val="32"/>
          <w:szCs w:val="32"/>
          <w:lang w:val="en-US" w:eastAsia="zh-CN" w:bidi="ar-SA"/>
        </w:rPr>
        <w:t>（七）管理制度：扩充制度清单，新增召回、追溯、留样、应急、出厂放行管控</w:t>
      </w:r>
      <w:bookmarkEnd w:id="9"/>
    </w:p>
    <w:p w14:paraId="292A9AA2">
      <w:pPr>
        <w:keepNext w:val="0"/>
        <w:keepLines w:val="0"/>
        <w:pageBreakBefore w:val="0"/>
        <w:widowControl w:val="0"/>
        <w:numPr>
          <w:ilvl w:val="0"/>
          <w:numId w:val="20"/>
        </w:numPr>
        <w:kinsoku/>
        <w:wordWrap/>
        <w:overflowPunct/>
        <w:topLinePunct w:val="0"/>
        <w:autoSpaceDE/>
        <w:autoSpaceDN/>
        <w:bidi w:val="0"/>
        <w:adjustRightInd/>
        <w:snapToGrid/>
        <w:spacing w:before="120" w:after="120" w:line="594" w:lineRule="exact"/>
        <w:ind w:left="0"/>
        <w:jc w:val="left"/>
        <w:textAlignment w:val="auto"/>
        <w:rPr>
          <w:rFonts w:hint="eastAsia" w:ascii="Times New Roman" w:hAnsi="仿宋_GB2312" w:eastAsia="仿宋_GB2312" w:cs="仿宋_GB2312"/>
          <w:snapToGrid w:val="0"/>
          <w:color w:val="000000"/>
          <w:sz w:val="32"/>
          <w:szCs w:val="32"/>
          <w:lang w:val="en-US" w:eastAsia="zh-CN" w:bidi="ar-SA"/>
        </w:rPr>
      </w:pPr>
      <w:r>
        <w:rPr>
          <w:rFonts w:hint="eastAsia" w:ascii="楷体_GB2312" w:hAnsi="楷体_GB2312" w:eastAsia="楷体_GB2312" w:cs="楷体_GB2312"/>
          <w:b w:val="0"/>
          <w:bCs/>
          <w:snapToGrid w:val="0"/>
          <w:color w:val="000000"/>
          <w:sz w:val="32"/>
          <w:szCs w:val="32"/>
          <w:lang w:val="en-US" w:eastAsia="zh-CN" w:bidi="ar-SA"/>
        </w:rPr>
        <w:t>进货查验与供应商管理升级</w:t>
      </w:r>
      <w:r>
        <w:rPr>
          <w:rFonts w:ascii="Arial" w:hAnsi="Arial" w:eastAsia="等线" w:cs="Arial"/>
          <w:color w:val="auto"/>
          <w:sz w:val="22"/>
        </w:rPr>
        <w:br w:type="textWrapping"/>
      </w:r>
      <w:r>
        <w:rPr>
          <w:rFonts w:hint="eastAsia" w:ascii="Times New Roman" w:hAnsi="仿宋_GB2312" w:eastAsia="仿宋_GB2312" w:cs="仿宋_GB2312"/>
          <w:snapToGrid w:val="0"/>
          <w:color w:val="000000"/>
          <w:sz w:val="32"/>
          <w:szCs w:val="32"/>
          <w:lang w:val="en-US" w:eastAsia="zh-CN" w:bidi="ar-SA"/>
        </w:rPr>
        <w:t>加强供应商管控；进口原料额外查验入境货物证明，强化上游原料风险源头管控。</w:t>
      </w:r>
    </w:p>
    <w:p w14:paraId="645EF9AA">
      <w:pPr>
        <w:keepNext w:val="0"/>
        <w:keepLines w:val="0"/>
        <w:pageBreakBefore w:val="0"/>
        <w:widowControl w:val="0"/>
        <w:numPr>
          <w:ilvl w:val="0"/>
          <w:numId w:val="21"/>
        </w:numPr>
        <w:kinsoku/>
        <w:wordWrap/>
        <w:overflowPunct/>
        <w:topLinePunct w:val="0"/>
        <w:autoSpaceDE/>
        <w:autoSpaceDN/>
        <w:bidi w:val="0"/>
        <w:adjustRightInd/>
        <w:snapToGrid/>
        <w:spacing w:before="120" w:after="120" w:line="594" w:lineRule="exact"/>
        <w:ind w:left="0"/>
        <w:jc w:val="left"/>
        <w:textAlignment w:val="auto"/>
        <w:rPr>
          <w:rFonts w:hint="eastAsia" w:ascii="Times New Roman" w:hAnsi="仿宋_GB2312" w:eastAsia="仿宋_GB2312" w:cs="仿宋_GB2312"/>
          <w:snapToGrid w:val="0"/>
          <w:color w:val="000000"/>
          <w:sz w:val="32"/>
          <w:szCs w:val="32"/>
          <w:lang w:val="en-US" w:eastAsia="zh-CN" w:bidi="ar-SA"/>
        </w:rPr>
      </w:pPr>
      <w:r>
        <w:rPr>
          <w:rFonts w:hint="eastAsia" w:ascii="楷体_GB2312" w:hAnsi="楷体_GB2312" w:eastAsia="楷体_GB2312" w:cs="楷体_GB2312"/>
          <w:b w:val="0"/>
          <w:bCs/>
          <w:snapToGrid w:val="0"/>
          <w:color w:val="000000"/>
          <w:sz w:val="32"/>
          <w:szCs w:val="32"/>
          <w:lang w:val="en-US" w:eastAsia="zh-CN" w:bidi="ar-SA"/>
        </w:rPr>
        <w:t>食品添加剂管理优化</w:t>
      </w:r>
      <w:r>
        <w:rPr>
          <w:rFonts w:ascii="Arial" w:hAnsi="Arial" w:eastAsia="等线" w:cs="Arial"/>
          <w:color w:val="auto"/>
          <w:sz w:val="22"/>
        </w:rPr>
        <w:br w:type="textWrapping"/>
      </w:r>
      <w:r>
        <w:rPr>
          <w:rFonts w:hint="eastAsia" w:ascii="Times New Roman" w:hAnsi="仿宋_GB2312" w:eastAsia="仿宋_GB2312" w:cs="仿宋_GB2312"/>
          <w:snapToGrid w:val="0"/>
          <w:color w:val="000000"/>
          <w:sz w:val="32"/>
          <w:szCs w:val="32"/>
          <w:lang w:val="en-US" w:eastAsia="zh-CN" w:bidi="ar-SA"/>
        </w:rPr>
        <w:t>保留专库 / 专区存放要求，删除 “专人采购” 表述，仅保留专人保管，减轻企业不必要人力约束。</w:t>
      </w:r>
    </w:p>
    <w:p w14:paraId="5E66262B">
      <w:pPr>
        <w:keepNext w:val="0"/>
        <w:keepLines w:val="0"/>
        <w:pageBreakBefore w:val="0"/>
        <w:widowControl w:val="0"/>
        <w:numPr>
          <w:ilvl w:val="0"/>
          <w:numId w:val="21"/>
        </w:numPr>
        <w:kinsoku/>
        <w:wordWrap/>
        <w:overflowPunct/>
        <w:topLinePunct w:val="0"/>
        <w:autoSpaceDE/>
        <w:autoSpaceDN/>
        <w:bidi w:val="0"/>
        <w:adjustRightInd/>
        <w:snapToGrid/>
        <w:spacing w:before="120" w:after="120" w:line="594" w:lineRule="exact"/>
        <w:ind w:left="0"/>
        <w:jc w:val="left"/>
        <w:textAlignment w:val="auto"/>
        <w:rPr>
          <w:color w:val="auto"/>
        </w:rPr>
      </w:pPr>
      <w:r>
        <w:rPr>
          <w:rFonts w:hint="eastAsia" w:ascii="楷体_GB2312" w:hAnsi="楷体_GB2312" w:eastAsia="楷体_GB2312" w:cs="楷体_GB2312"/>
          <w:b w:val="0"/>
          <w:bCs/>
          <w:snapToGrid w:val="0"/>
          <w:color w:val="000000"/>
          <w:sz w:val="32"/>
          <w:szCs w:val="32"/>
          <w:lang w:val="en-US" w:eastAsia="zh-CN" w:bidi="ar-SA"/>
        </w:rPr>
        <w:t>完善全链条食品安全管理制度体系</w:t>
      </w:r>
      <w:r>
        <w:rPr>
          <w:rFonts w:ascii="Arial" w:hAnsi="Arial" w:eastAsia="等线" w:cs="Arial"/>
          <w:color w:val="auto"/>
          <w:sz w:val="22"/>
        </w:rPr>
        <w:br w:type="textWrapping"/>
      </w:r>
      <w:r>
        <w:rPr>
          <w:rFonts w:hint="eastAsia" w:ascii="Times New Roman" w:hAnsi="仿宋_GB2312" w:eastAsia="仿宋_GB2312" w:cs="仿宋_GB2312"/>
          <w:snapToGrid w:val="0"/>
          <w:color w:val="000000"/>
          <w:sz w:val="32"/>
          <w:szCs w:val="32"/>
          <w:lang w:val="en-US" w:eastAsia="zh-CN" w:bidi="ar-SA"/>
        </w:rPr>
        <w:t>新增多项强制性制度（旧细则无专项条款）：</w:t>
      </w:r>
      <w:r>
        <w:rPr>
          <w:rFonts w:hint="eastAsia" w:ascii="Times New Roman" w:hAnsi="仿宋_GB2312" w:eastAsia="仿宋_GB2312" w:cs="仿宋_GB2312"/>
          <w:snapToGrid w:val="0"/>
          <w:color w:val="000000"/>
          <w:sz w:val="32"/>
          <w:szCs w:val="32"/>
          <w:lang w:val="en-US" w:eastAsia="zh-CN" w:bidi="ar-SA"/>
        </w:rPr>
        <w:br w:type="textWrapping"/>
      </w:r>
      <w:r>
        <w:rPr>
          <w:rFonts w:hint="eastAsia" w:ascii="Times New Roman" w:hAnsi="仿宋_GB2312" w:eastAsia="仿宋_GB2312" w:cs="仿宋_GB2312"/>
          <w:snapToGrid w:val="0"/>
          <w:color w:val="000000"/>
          <w:sz w:val="32"/>
          <w:szCs w:val="32"/>
          <w:lang w:val="en-US" w:eastAsia="zh-CN" w:bidi="ar-SA"/>
        </w:rPr>
        <w:t>① 产品召回制度（第三十五条）；</w:t>
      </w:r>
      <w:r>
        <w:rPr>
          <w:rFonts w:hint="eastAsia" w:ascii="Times New Roman" w:hAnsi="仿宋_GB2312" w:eastAsia="仿宋_GB2312" w:cs="仿宋_GB2312"/>
          <w:snapToGrid w:val="0"/>
          <w:color w:val="000000"/>
          <w:sz w:val="32"/>
          <w:szCs w:val="32"/>
          <w:lang w:val="en-US" w:eastAsia="zh-CN" w:bidi="ar-SA"/>
        </w:rPr>
        <w:br w:type="textWrapping"/>
      </w:r>
      <w:r>
        <w:rPr>
          <w:rFonts w:hint="eastAsia" w:ascii="Times New Roman" w:hAnsi="仿宋_GB2312" w:eastAsia="仿宋_GB2312" w:cs="仿宋_GB2312"/>
          <w:snapToGrid w:val="0"/>
          <w:color w:val="000000"/>
          <w:sz w:val="32"/>
          <w:szCs w:val="32"/>
          <w:lang w:val="en-US" w:eastAsia="zh-CN" w:bidi="ar-SA"/>
        </w:rPr>
        <w:t>② 食品安全事故处置方案（第三十六条）：明确上报监管、卫健部门时限与处置流程；</w:t>
      </w:r>
      <w:r>
        <w:rPr>
          <w:rFonts w:hint="eastAsia" w:ascii="Times New Roman" w:hAnsi="仿宋_GB2312" w:eastAsia="仿宋_GB2312" w:cs="仿宋_GB2312"/>
          <w:snapToGrid w:val="0"/>
          <w:color w:val="000000"/>
          <w:sz w:val="32"/>
          <w:szCs w:val="32"/>
          <w:lang w:val="en-US" w:eastAsia="zh-CN" w:bidi="ar-SA"/>
        </w:rPr>
        <w:br w:type="textWrapping"/>
      </w:r>
      <w:r>
        <w:rPr>
          <w:rFonts w:hint="eastAsia" w:ascii="Times New Roman" w:hAnsi="仿宋_GB2312" w:eastAsia="仿宋_GB2312" w:cs="仿宋_GB2312"/>
          <w:snapToGrid w:val="0"/>
          <w:color w:val="000000"/>
          <w:sz w:val="32"/>
          <w:szCs w:val="32"/>
          <w:lang w:val="en-US" w:eastAsia="zh-CN" w:bidi="ar-SA"/>
        </w:rPr>
        <w:t>③ 强制配套制度清单（第三十八条）：清洁消毒、食品安全自查、应急处置、产品标签审核管理、产品留样制度。</w:t>
      </w:r>
    </w:p>
    <w:p w14:paraId="306EE4E2">
      <w:pPr>
        <w:keepNext w:val="0"/>
        <w:keepLines w:val="0"/>
        <w:pageBreakBefore w:val="0"/>
        <w:widowControl w:val="0"/>
        <w:numPr>
          <w:ilvl w:val="0"/>
          <w:numId w:val="21"/>
        </w:numPr>
        <w:kinsoku/>
        <w:wordWrap/>
        <w:overflowPunct/>
        <w:topLinePunct w:val="0"/>
        <w:autoSpaceDE/>
        <w:autoSpaceDN/>
        <w:bidi w:val="0"/>
        <w:adjustRightInd/>
        <w:snapToGrid/>
        <w:spacing w:before="120" w:after="120" w:line="594" w:lineRule="exact"/>
        <w:ind w:left="0"/>
        <w:jc w:val="left"/>
        <w:textAlignment w:val="auto"/>
        <w:rPr>
          <w:rFonts w:hint="eastAsia" w:ascii="Times New Roman" w:hAnsi="仿宋_GB2312" w:eastAsia="仿宋_GB2312" w:cs="仿宋_GB2312"/>
          <w:snapToGrid w:val="0"/>
          <w:color w:val="000000"/>
          <w:sz w:val="32"/>
          <w:szCs w:val="32"/>
          <w:lang w:val="en-US" w:eastAsia="zh-CN" w:bidi="ar-SA"/>
        </w:rPr>
      </w:pPr>
      <w:r>
        <w:rPr>
          <w:rFonts w:hint="eastAsia" w:ascii="楷体_GB2312" w:hAnsi="楷体_GB2312" w:eastAsia="楷体_GB2312" w:cs="楷体_GB2312"/>
          <w:b w:val="0"/>
          <w:bCs/>
          <w:snapToGrid w:val="0"/>
          <w:color w:val="000000"/>
          <w:sz w:val="32"/>
          <w:szCs w:val="32"/>
          <w:lang w:val="en-US" w:eastAsia="zh-CN" w:bidi="ar-SA"/>
        </w:rPr>
        <w:t>追溯体系电子化要求细化（第三十四条）</w:t>
      </w:r>
      <w:r>
        <w:rPr>
          <w:rFonts w:ascii="Arial" w:hAnsi="Arial" w:eastAsia="等线" w:cs="Arial"/>
          <w:color w:val="auto"/>
          <w:sz w:val="22"/>
        </w:rPr>
        <w:br w:type="textWrapping"/>
      </w:r>
      <w:r>
        <w:rPr>
          <w:rFonts w:hint="eastAsia" w:ascii="Times New Roman" w:hAnsi="仿宋_GB2312" w:eastAsia="仿宋_GB2312" w:cs="仿宋_GB2312"/>
          <w:snapToGrid w:val="0"/>
          <w:color w:val="000000"/>
          <w:sz w:val="32"/>
          <w:szCs w:val="32"/>
          <w:lang w:val="en-US" w:eastAsia="zh-CN" w:bidi="ar-SA"/>
        </w:rPr>
        <w:t>明确批次划分、批号编制规则，鼓励全流程电子追溯系统，替代旧文件笼统追溯记录要求。</w:t>
      </w:r>
    </w:p>
    <w:p w14:paraId="3CD648DC">
      <w:pPr>
        <w:keepNext w:val="0"/>
        <w:keepLines w:val="0"/>
        <w:pageBreakBefore w:val="0"/>
        <w:widowControl w:val="0"/>
        <w:numPr>
          <w:ilvl w:val="0"/>
          <w:numId w:val="21"/>
        </w:numPr>
        <w:kinsoku/>
        <w:wordWrap/>
        <w:overflowPunct/>
        <w:topLinePunct w:val="0"/>
        <w:autoSpaceDE/>
        <w:autoSpaceDN/>
        <w:bidi w:val="0"/>
        <w:adjustRightInd/>
        <w:snapToGrid/>
        <w:spacing w:before="120" w:after="120" w:line="594" w:lineRule="exact"/>
        <w:ind w:left="0"/>
        <w:jc w:val="left"/>
        <w:textAlignment w:val="auto"/>
        <w:rPr>
          <w:rFonts w:hint="eastAsia" w:ascii="Times New Roman" w:hAnsi="仿宋_GB2312" w:eastAsia="仿宋_GB2312" w:cs="仿宋_GB2312"/>
          <w:snapToGrid w:val="0"/>
          <w:color w:val="000000"/>
          <w:sz w:val="32"/>
          <w:szCs w:val="32"/>
          <w:lang w:val="en-US" w:eastAsia="zh-CN" w:bidi="ar-SA"/>
        </w:rPr>
      </w:pPr>
      <w:r>
        <w:rPr>
          <w:rFonts w:hint="eastAsia" w:ascii="楷体_GB2312" w:hAnsi="楷体_GB2312" w:eastAsia="楷体_GB2312" w:cs="楷体_GB2312"/>
          <w:b w:val="0"/>
          <w:bCs/>
          <w:snapToGrid w:val="0"/>
          <w:color w:val="000000"/>
          <w:sz w:val="32"/>
          <w:szCs w:val="32"/>
          <w:lang w:val="en-US" w:eastAsia="zh-CN" w:bidi="ar-SA"/>
        </w:rPr>
        <w:t>记录管理扩充归档内容</w:t>
      </w:r>
      <w:r>
        <w:rPr>
          <w:rFonts w:ascii="Arial" w:hAnsi="Arial" w:eastAsia="等线" w:cs="Arial"/>
          <w:color w:val="auto"/>
          <w:sz w:val="22"/>
        </w:rPr>
        <w:br w:type="textWrapping"/>
      </w:r>
      <w:r>
        <w:rPr>
          <w:rFonts w:hint="eastAsia" w:ascii="Times New Roman" w:hAnsi="仿宋_GB2312" w:eastAsia="仿宋_GB2312" w:cs="仿宋_GB2312"/>
          <w:snapToGrid w:val="0"/>
          <w:color w:val="000000"/>
          <w:sz w:val="32"/>
          <w:szCs w:val="32"/>
          <w:lang w:val="en-US" w:eastAsia="zh-CN" w:bidi="ar-SA"/>
        </w:rPr>
        <w:t>除原有记录外，新增召回记录，记录保存期限不变（保质期满 6 个月，无保质期保存 2 年）。</w:t>
      </w:r>
    </w:p>
    <w:p w14:paraId="33E772E5">
      <w:pPr>
        <w:keepNext w:val="0"/>
        <w:keepLines w:val="0"/>
        <w:pageBreakBefore w:val="0"/>
        <w:widowControl w:val="0"/>
        <w:numPr>
          <w:ilvl w:val="0"/>
          <w:numId w:val="0"/>
        </w:numPr>
        <w:kinsoku/>
        <w:wordWrap/>
        <w:overflowPunct/>
        <w:topLinePunct w:val="0"/>
        <w:autoSpaceDE/>
        <w:autoSpaceDN/>
        <w:bidi w:val="0"/>
        <w:adjustRightInd/>
        <w:snapToGrid/>
        <w:spacing w:before="120" w:after="120" w:line="594" w:lineRule="exact"/>
        <w:jc w:val="left"/>
        <w:textAlignment w:val="auto"/>
        <w:rPr>
          <w:rFonts w:hint="eastAsia" w:ascii="楷体_GB2312" w:hAnsi="楷体_GB2312" w:eastAsia="楷体_GB2312" w:cs="楷体_GB2312"/>
          <w:b w:val="0"/>
          <w:bCs/>
          <w:snapToGrid w:val="0"/>
          <w:color w:val="000000"/>
          <w:sz w:val="32"/>
          <w:szCs w:val="32"/>
          <w:lang w:val="en-US" w:eastAsia="zh-CN" w:bidi="ar-SA"/>
        </w:rPr>
      </w:pPr>
      <w:bookmarkStart w:id="10" w:name="heading_10"/>
      <w:r>
        <w:rPr>
          <w:rFonts w:hint="eastAsia" w:ascii="楷体_GB2312" w:hAnsi="楷体_GB2312" w:eastAsia="楷体_GB2312" w:cs="楷体_GB2312"/>
          <w:b w:val="0"/>
          <w:bCs/>
          <w:snapToGrid w:val="0"/>
          <w:color w:val="000000"/>
          <w:sz w:val="32"/>
          <w:szCs w:val="32"/>
          <w:lang w:val="en-US" w:eastAsia="zh-CN" w:bidi="ar-SA"/>
        </w:rPr>
        <w:t>（八）试制产品检验：细化抽样判定标准</w:t>
      </w:r>
      <w:bookmarkEnd w:id="10"/>
    </w:p>
    <w:p w14:paraId="3AE87DD7">
      <w:pPr>
        <w:keepNext w:val="0"/>
        <w:keepLines w:val="0"/>
        <w:pageBreakBefore w:val="0"/>
        <w:widowControl w:val="0"/>
        <w:numPr>
          <w:ilvl w:val="0"/>
          <w:numId w:val="0"/>
        </w:numPr>
        <w:kinsoku/>
        <w:wordWrap/>
        <w:overflowPunct/>
        <w:topLinePunct w:val="0"/>
        <w:autoSpaceDE/>
        <w:autoSpaceDN/>
        <w:bidi w:val="0"/>
        <w:adjustRightInd/>
        <w:snapToGrid/>
        <w:spacing w:before="120" w:after="120" w:line="594" w:lineRule="exact"/>
        <w:ind w:firstLine="640" w:firstLineChars="200"/>
        <w:jc w:val="left"/>
        <w:textAlignment w:val="auto"/>
        <w:rPr>
          <w:rFonts w:hint="eastAsia" w:ascii="Times New Roman" w:hAnsi="仿宋_GB2312" w:eastAsia="仿宋_GB2312" w:cs="仿宋_GB2312"/>
          <w:snapToGrid w:val="0"/>
          <w:color w:val="000000"/>
          <w:sz w:val="32"/>
          <w:szCs w:val="32"/>
          <w:lang w:val="en-US" w:eastAsia="zh-CN" w:bidi="ar-SA"/>
        </w:rPr>
      </w:pPr>
      <w:r>
        <w:rPr>
          <w:rFonts w:hint="eastAsia" w:ascii="Times New Roman" w:hAnsi="仿宋_GB2312" w:eastAsia="仿宋_GB2312" w:cs="仿宋_GB2312"/>
          <w:snapToGrid w:val="0"/>
          <w:color w:val="000000"/>
          <w:sz w:val="32"/>
          <w:szCs w:val="32"/>
          <w:lang w:val="en-US" w:eastAsia="zh-CN" w:bidi="ar-SA"/>
        </w:rPr>
        <w:t>旧第三十六条仅要求同规格同批次；新第三十九条细化抽样要求：同一产品分类、同一批次、同一包装形式分别抽样，增加试制产品检验的抽样实际操作性。</w:t>
      </w:r>
    </w:p>
    <w:p w14:paraId="762F91AC">
      <w:pPr>
        <w:keepNext w:val="0"/>
        <w:keepLines w:val="0"/>
        <w:pageBreakBefore w:val="0"/>
        <w:widowControl w:val="0"/>
        <w:numPr>
          <w:ilvl w:val="0"/>
          <w:numId w:val="0"/>
        </w:numPr>
        <w:kinsoku/>
        <w:wordWrap/>
        <w:overflowPunct/>
        <w:topLinePunct w:val="0"/>
        <w:autoSpaceDE/>
        <w:autoSpaceDN/>
        <w:bidi w:val="0"/>
        <w:adjustRightInd/>
        <w:snapToGrid/>
        <w:spacing w:before="120" w:after="120" w:line="594" w:lineRule="exact"/>
        <w:jc w:val="left"/>
        <w:textAlignment w:val="auto"/>
        <w:rPr>
          <w:rFonts w:hint="eastAsia" w:ascii="楷体_GB2312" w:hAnsi="楷体_GB2312" w:eastAsia="楷体_GB2312" w:cs="楷体_GB2312"/>
          <w:b w:val="0"/>
          <w:bCs/>
          <w:snapToGrid w:val="0"/>
          <w:color w:val="000000"/>
          <w:sz w:val="32"/>
          <w:szCs w:val="32"/>
          <w:lang w:val="en-US" w:eastAsia="zh-CN" w:bidi="ar-SA"/>
        </w:rPr>
      </w:pPr>
      <w:bookmarkStart w:id="11" w:name="heading_11"/>
      <w:r>
        <w:rPr>
          <w:rFonts w:hint="eastAsia" w:ascii="楷体_GB2312" w:hAnsi="楷体_GB2312" w:eastAsia="楷体_GB2312" w:cs="楷体_GB2312"/>
          <w:b w:val="0"/>
          <w:bCs/>
          <w:snapToGrid w:val="0"/>
          <w:color w:val="000000"/>
          <w:sz w:val="32"/>
          <w:szCs w:val="32"/>
          <w:lang w:val="en-US" w:eastAsia="zh-CN" w:bidi="ar-SA"/>
        </w:rPr>
        <w:t>（九）附件技术参数调整，优化洁净区判定指标</w:t>
      </w:r>
      <w:bookmarkEnd w:id="11"/>
    </w:p>
    <w:p w14:paraId="6403953C">
      <w:pPr>
        <w:keepNext w:val="0"/>
        <w:keepLines w:val="0"/>
        <w:pageBreakBefore w:val="0"/>
        <w:widowControl w:val="0"/>
        <w:numPr>
          <w:ilvl w:val="0"/>
          <w:numId w:val="22"/>
        </w:numPr>
        <w:kinsoku/>
        <w:wordWrap/>
        <w:overflowPunct/>
        <w:topLinePunct w:val="0"/>
        <w:autoSpaceDE/>
        <w:autoSpaceDN/>
        <w:bidi w:val="0"/>
        <w:adjustRightInd/>
        <w:snapToGrid/>
        <w:spacing w:before="120" w:after="120" w:line="594" w:lineRule="exact"/>
        <w:ind w:left="0"/>
        <w:jc w:val="left"/>
        <w:textAlignment w:val="auto"/>
        <w:rPr>
          <w:rFonts w:hint="eastAsia" w:ascii="Times New Roman" w:hAnsi="仿宋_GB2312" w:eastAsia="仿宋_GB2312" w:cs="仿宋_GB2312"/>
          <w:snapToGrid w:val="0"/>
          <w:color w:val="000000"/>
          <w:sz w:val="32"/>
          <w:szCs w:val="32"/>
          <w:lang w:val="en-US" w:eastAsia="zh-CN" w:bidi="ar-SA"/>
        </w:rPr>
      </w:pPr>
      <w:r>
        <w:rPr>
          <w:rFonts w:hint="eastAsia" w:ascii="楷体_GB2312" w:hAnsi="楷体_GB2312" w:eastAsia="楷体_GB2312" w:cs="楷体_GB2312"/>
          <w:b w:val="0"/>
          <w:bCs/>
          <w:snapToGrid w:val="0"/>
          <w:color w:val="000000"/>
          <w:sz w:val="32"/>
          <w:szCs w:val="32"/>
          <w:lang w:val="en-US" w:eastAsia="zh-CN" w:bidi="ar-SA"/>
        </w:rPr>
        <w:t>清洁作业区悬浮粒子静态标准下调</w:t>
      </w:r>
      <w:r>
        <w:rPr>
          <w:rFonts w:ascii="Arial" w:hAnsi="Arial" w:eastAsia="等线" w:cs="Arial"/>
          <w:color w:val="auto"/>
          <w:sz w:val="22"/>
        </w:rPr>
        <w:br w:type="textWrapping"/>
      </w:r>
      <w:r>
        <w:rPr>
          <w:rFonts w:hint="eastAsia" w:ascii="Times New Roman" w:hAnsi="仿宋_GB2312" w:eastAsia="仿宋_GB2312" w:cs="仿宋_GB2312"/>
          <w:snapToGrid w:val="0"/>
          <w:color w:val="000000"/>
          <w:sz w:val="32"/>
          <w:szCs w:val="32"/>
          <w:lang w:val="en-US" w:eastAsia="zh-CN" w:bidi="ar-SA"/>
        </w:rPr>
        <w:t>旧静态</w:t>
      </w:r>
      <w:r>
        <w:rPr>
          <w:rFonts w:hint="default" w:ascii="Times New Roman" w:hAnsi="仿宋_GB2312" w:eastAsia="仿宋_GB2312" w:cs="仿宋_GB2312"/>
          <w:snapToGrid w:val="0"/>
          <w:color w:val="000000"/>
          <w:sz w:val="32"/>
          <w:szCs w:val="32"/>
          <w:lang w:val="en-US" w:eastAsia="zh-CN" w:bidi="ar-SA"/>
        </w:rPr>
        <w:t>≥</w:t>
      </w:r>
      <w:r>
        <w:rPr>
          <w:rFonts w:hint="eastAsia" w:ascii="Times New Roman" w:hAnsi="仿宋_GB2312" w:eastAsia="仿宋_GB2312" w:cs="仿宋_GB2312"/>
          <w:snapToGrid w:val="0"/>
          <w:color w:val="000000"/>
          <w:sz w:val="32"/>
          <w:szCs w:val="32"/>
          <w:lang w:val="en-US" w:eastAsia="zh-CN" w:bidi="ar-SA"/>
        </w:rPr>
        <w:t>0.5μm粒子限值3520000个 /m³、≥5.0μm 粒子限值 29000 个 /m³；新方案调整为</w:t>
      </w:r>
      <w:r>
        <w:rPr>
          <w:rFonts w:hint="default" w:ascii="Times New Roman" w:hAnsi="仿宋_GB2312" w:eastAsia="仿宋_GB2312" w:cs="仿宋_GB2312"/>
          <w:snapToGrid w:val="0"/>
          <w:color w:val="000000"/>
          <w:sz w:val="32"/>
          <w:szCs w:val="32"/>
          <w:lang w:val="en-US" w:eastAsia="zh-CN" w:bidi="ar-SA"/>
        </w:rPr>
        <w:t>≤</w:t>
      </w:r>
      <w:r>
        <w:rPr>
          <w:rFonts w:hint="eastAsia" w:ascii="Times New Roman" w:hAnsi="仿宋_GB2312" w:eastAsia="仿宋_GB2312" w:cs="仿宋_GB2312"/>
          <w:snapToGrid w:val="0"/>
          <w:color w:val="000000"/>
          <w:sz w:val="32"/>
          <w:szCs w:val="32"/>
          <w:lang w:val="en-US" w:eastAsia="zh-CN" w:bidi="ar-SA"/>
        </w:rPr>
        <w:t>3500000个/m³、≤20000 个 /m³，调整洁净区颗粒管控标准，与2026版特医食品生产许可审查细则要求相同。</w:t>
      </w:r>
    </w:p>
    <w:p w14:paraId="5230BE60">
      <w:pPr>
        <w:keepNext w:val="0"/>
        <w:keepLines w:val="0"/>
        <w:pageBreakBefore w:val="0"/>
        <w:widowControl w:val="0"/>
        <w:numPr>
          <w:ilvl w:val="0"/>
          <w:numId w:val="23"/>
        </w:numPr>
        <w:kinsoku/>
        <w:wordWrap/>
        <w:overflowPunct/>
        <w:topLinePunct w:val="0"/>
        <w:autoSpaceDE/>
        <w:autoSpaceDN/>
        <w:bidi w:val="0"/>
        <w:adjustRightInd/>
        <w:snapToGrid/>
        <w:spacing w:before="120" w:after="120" w:line="594" w:lineRule="exact"/>
        <w:ind w:left="0"/>
        <w:jc w:val="left"/>
        <w:textAlignment w:val="auto"/>
        <w:rPr>
          <w:rFonts w:hint="eastAsia" w:ascii="Times New Roman" w:hAnsi="仿宋_GB2312" w:eastAsia="仿宋_GB2312" w:cs="仿宋_GB2312"/>
          <w:snapToGrid w:val="0"/>
          <w:color w:val="000000"/>
          <w:sz w:val="32"/>
          <w:szCs w:val="32"/>
          <w:lang w:val="en-US" w:eastAsia="zh-CN" w:bidi="ar-SA"/>
        </w:rPr>
      </w:pPr>
      <w:r>
        <w:rPr>
          <w:rFonts w:hint="eastAsia" w:ascii="楷体_GB2312" w:hAnsi="楷体_GB2312" w:eastAsia="楷体_GB2312" w:cs="楷体_GB2312"/>
          <w:b w:val="0"/>
          <w:bCs/>
          <w:snapToGrid w:val="0"/>
          <w:color w:val="000000"/>
          <w:sz w:val="32"/>
          <w:szCs w:val="32"/>
          <w:lang w:val="en-US" w:eastAsia="zh-CN" w:bidi="ar-SA"/>
        </w:rPr>
        <w:t>换气次数标准下调并补充层高豁免条款</w:t>
      </w:r>
      <w:r>
        <w:rPr>
          <w:rFonts w:ascii="Arial" w:hAnsi="Arial" w:eastAsia="等线" w:cs="Arial"/>
          <w:color w:val="auto"/>
          <w:sz w:val="22"/>
        </w:rPr>
        <w:br w:type="textWrapping"/>
      </w:r>
      <w:r>
        <w:rPr>
          <w:rFonts w:hint="eastAsia" w:ascii="Times New Roman" w:hAnsi="仿宋_GB2312" w:eastAsia="仿宋_GB2312" w:cs="仿宋_GB2312"/>
          <w:snapToGrid w:val="0"/>
          <w:color w:val="000000"/>
          <w:sz w:val="32"/>
          <w:szCs w:val="32"/>
          <w:lang w:val="en-US" w:eastAsia="zh-CN" w:bidi="ar-SA"/>
        </w:rPr>
        <w:t>旧要求换气次数≥12 次 /h；新方案调整≥10 次 /h，同时规定层高 4 米以上车间可适度调整换气次数，兼顾高大干燥、喷雾车间实际工况。</w:t>
      </w:r>
    </w:p>
    <w:p w14:paraId="05099BAD">
      <w:pPr>
        <w:keepNext w:val="0"/>
        <w:keepLines w:val="0"/>
        <w:pageBreakBefore w:val="0"/>
        <w:widowControl w:val="0"/>
        <w:numPr>
          <w:ilvl w:val="0"/>
          <w:numId w:val="24"/>
        </w:numPr>
        <w:kinsoku/>
        <w:wordWrap/>
        <w:overflowPunct/>
        <w:topLinePunct w:val="0"/>
        <w:autoSpaceDE/>
        <w:autoSpaceDN/>
        <w:bidi w:val="0"/>
        <w:adjustRightInd/>
        <w:snapToGrid/>
        <w:spacing w:before="120" w:after="120" w:line="594" w:lineRule="exact"/>
        <w:ind w:left="0"/>
        <w:jc w:val="left"/>
        <w:textAlignment w:val="auto"/>
        <w:rPr>
          <w:rFonts w:hint="eastAsia" w:ascii="Times New Roman" w:hAnsi="仿宋_GB2312" w:eastAsia="仿宋_GB2312" w:cs="仿宋_GB2312"/>
          <w:snapToGrid w:val="0"/>
          <w:color w:val="000000"/>
          <w:sz w:val="32"/>
          <w:szCs w:val="32"/>
          <w:lang w:val="en-US" w:eastAsia="zh-CN" w:bidi="ar-SA"/>
        </w:rPr>
      </w:pPr>
      <w:r>
        <w:rPr>
          <w:rFonts w:hint="eastAsia" w:ascii="楷体_GB2312" w:hAnsi="楷体_GB2312" w:eastAsia="楷体_GB2312" w:cs="楷体_GB2312"/>
          <w:b w:val="0"/>
          <w:bCs/>
          <w:snapToGrid w:val="0"/>
          <w:color w:val="000000"/>
          <w:sz w:val="32"/>
          <w:szCs w:val="32"/>
          <w:lang w:val="en-US" w:eastAsia="zh-CN" w:bidi="ar-SA"/>
        </w:rPr>
        <w:t>表面微生物增设两种采样判定方法</w:t>
      </w:r>
      <w:r>
        <w:rPr>
          <w:rFonts w:ascii="Arial" w:hAnsi="Arial" w:eastAsia="等线" w:cs="Arial"/>
          <w:color w:val="auto"/>
          <w:sz w:val="22"/>
        </w:rPr>
        <w:br w:type="textWrapping"/>
      </w:r>
      <w:r>
        <w:rPr>
          <w:rFonts w:hint="eastAsia" w:ascii="Times New Roman" w:hAnsi="仿宋_GB2312" w:eastAsia="仿宋_GB2312" w:cs="仿宋_GB2312"/>
          <w:snapToGrid w:val="0"/>
          <w:color w:val="000000"/>
          <w:sz w:val="32"/>
          <w:szCs w:val="32"/>
          <w:lang w:val="en-US" w:eastAsia="zh-CN" w:bidi="ar-SA"/>
        </w:rPr>
        <w:t>新增 25cm² 擦拭采样限值，适配不规则设备、管道表面微生物监测，提升现场检测可操作性。</w:t>
      </w:r>
    </w:p>
    <w:p w14:paraId="4CF5575F">
      <w:pPr>
        <w:keepNext w:val="0"/>
        <w:keepLines w:val="0"/>
        <w:pageBreakBefore w:val="0"/>
        <w:widowControl w:val="0"/>
        <w:numPr>
          <w:ilvl w:val="0"/>
          <w:numId w:val="25"/>
        </w:numPr>
        <w:kinsoku/>
        <w:wordWrap/>
        <w:overflowPunct/>
        <w:topLinePunct w:val="0"/>
        <w:autoSpaceDE/>
        <w:autoSpaceDN/>
        <w:bidi w:val="0"/>
        <w:adjustRightInd/>
        <w:snapToGrid/>
        <w:spacing w:before="120" w:after="120" w:line="594" w:lineRule="exact"/>
        <w:ind w:left="0"/>
        <w:jc w:val="left"/>
        <w:textAlignment w:val="auto"/>
        <w:rPr>
          <w:rFonts w:hint="eastAsia" w:ascii="Times New Roman" w:hAnsi="仿宋_GB2312" w:eastAsia="仿宋_GB2312" w:cs="仿宋_GB2312"/>
          <w:snapToGrid w:val="0"/>
          <w:color w:val="000000"/>
          <w:sz w:val="32"/>
          <w:szCs w:val="32"/>
          <w:lang w:val="en-US" w:eastAsia="zh-CN" w:bidi="ar-SA"/>
        </w:rPr>
      </w:pPr>
      <w:r>
        <w:rPr>
          <w:rFonts w:hint="eastAsia" w:ascii="楷体_GB2312" w:hAnsi="楷体_GB2312" w:eastAsia="楷体_GB2312" w:cs="楷体_GB2312"/>
          <w:b w:val="0"/>
          <w:bCs/>
          <w:snapToGrid w:val="0"/>
          <w:color w:val="000000"/>
          <w:sz w:val="32"/>
          <w:szCs w:val="32"/>
          <w:lang w:val="en-US" w:eastAsia="zh-CN" w:bidi="ar-SA"/>
        </w:rPr>
        <w:t>检验方法标准号简化更新</w:t>
      </w:r>
      <w:r>
        <w:rPr>
          <w:rFonts w:ascii="Arial" w:hAnsi="Arial" w:eastAsia="等线" w:cs="Arial"/>
          <w:color w:val="auto"/>
          <w:sz w:val="22"/>
        </w:rPr>
        <w:br w:type="textWrapping"/>
      </w:r>
      <w:r>
        <w:rPr>
          <w:rFonts w:hint="eastAsia" w:ascii="Times New Roman" w:hAnsi="仿宋_GB2312" w:eastAsia="仿宋_GB2312" w:cs="仿宋_GB2312"/>
          <w:snapToGrid w:val="0"/>
          <w:color w:val="000000"/>
          <w:sz w:val="32"/>
          <w:szCs w:val="32"/>
          <w:lang w:val="en-US" w:eastAsia="zh-CN" w:bidi="ar-SA"/>
        </w:rPr>
        <w:t>附件 3 删除作废标准引用，直接列明现行有效 GB 检测标准，取消过时替代说明文字。</w:t>
      </w:r>
    </w:p>
    <w:p w14:paraId="6011CBA1">
      <w:pPr>
        <w:keepNext w:val="0"/>
        <w:keepLines w:val="0"/>
        <w:pageBreakBefore w:val="0"/>
        <w:widowControl w:val="0"/>
        <w:kinsoku/>
        <w:wordWrap/>
        <w:overflowPunct/>
        <w:topLinePunct w:val="0"/>
        <w:autoSpaceDE/>
        <w:autoSpaceDN/>
        <w:bidi w:val="0"/>
        <w:adjustRightInd/>
        <w:snapToGrid/>
        <w:spacing w:before="320" w:after="120" w:line="594" w:lineRule="exact"/>
        <w:ind w:left="0"/>
        <w:jc w:val="left"/>
        <w:textAlignment w:val="auto"/>
        <w:outlineLvl w:val="1"/>
        <w:rPr>
          <w:rFonts w:hint="eastAsia" w:ascii="黑体" w:hAnsi="黑体" w:eastAsia="黑体" w:cs="黑体"/>
          <w:b/>
          <w:color w:val="auto"/>
          <w:sz w:val="32"/>
          <w:szCs w:val="32"/>
        </w:rPr>
      </w:pPr>
      <w:bookmarkStart w:id="12" w:name="heading_12"/>
      <w:r>
        <w:rPr>
          <w:rFonts w:hint="eastAsia" w:ascii="黑体" w:hAnsi="黑体" w:eastAsia="黑体" w:cs="黑体"/>
          <w:b/>
          <w:color w:val="auto"/>
          <w:sz w:val="32"/>
          <w:szCs w:val="32"/>
        </w:rPr>
        <w:t>四、修订实施意义</w:t>
      </w:r>
      <w:bookmarkEnd w:id="12"/>
    </w:p>
    <w:p w14:paraId="066B4C3E">
      <w:pPr>
        <w:keepNext w:val="0"/>
        <w:keepLines w:val="0"/>
        <w:pageBreakBefore w:val="0"/>
        <w:widowControl w:val="0"/>
        <w:numPr>
          <w:ilvl w:val="0"/>
          <w:numId w:val="26"/>
        </w:numPr>
        <w:kinsoku/>
        <w:wordWrap/>
        <w:overflowPunct/>
        <w:topLinePunct w:val="0"/>
        <w:autoSpaceDE/>
        <w:autoSpaceDN/>
        <w:bidi w:val="0"/>
        <w:adjustRightInd/>
        <w:snapToGrid/>
        <w:spacing w:before="120" w:after="120" w:line="594" w:lineRule="exact"/>
        <w:ind w:left="0"/>
        <w:jc w:val="left"/>
        <w:textAlignment w:val="auto"/>
        <w:rPr>
          <w:color w:val="auto"/>
        </w:rPr>
      </w:pPr>
      <w:r>
        <w:rPr>
          <w:rFonts w:hint="eastAsia" w:ascii="楷体_GB2312" w:hAnsi="楷体_GB2312" w:eastAsia="楷体_GB2312" w:cs="楷体_GB2312"/>
          <w:b w:val="0"/>
          <w:bCs/>
          <w:snapToGrid w:val="0"/>
          <w:color w:val="000000"/>
          <w:sz w:val="32"/>
          <w:szCs w:val="32"/>
          <w:lang w:val="en-US" w:eastAsia="zh-CN" w:bidi="ar-SA"/>
        </w:rPr>
        <w:t>落实国家法规强制要求</w:t>
      </w:r>
      <w:r>
        <w:rPr>
          <w:rFonts w:ascii="Arial" w:hAnsi="Arial" w:eastAsia="等线" w:cs="Arial"/>
          <w:color w:val="auto"/>
          <w:sz w:val="22"/>
        </w:rPr>
        <w:br w:type="textWrapping"/>
      </w:r>
      <w:r>
        <w:rPr>
          <w:rFonts w:hint="eastAsia" w:ascii="Times New Roman" w:hAnsi="仿宋_GB2312" w:eastAsia="仿宋_GB2312" w:cs="仿宋_GB2312"/>
          <w:snapToGrid w:val="0"/>
          <w:color w:val="000000"/>
          <w:sz w:val="32"/>
          <w:szCs w:val="32"/>
          <w:lang w:val="en-US" w:eastAsia="zh-CN" w:bidi="ar-SA"/>
        </w:rPr>
        <w:t>新增食品安全总监、产品召回、年度培训等条款，落地食品企业主体责任新规，实现运动营养食品许可审查与国家现行法规无缝衔接。</w:t>
      </w:r>
    </w:p>
    <w:p w14:paraId="6D67B383">
      <w:pPr>
        <w:keepNext w:val="0"/>
        <w:keepLines w:val="0"/>
        <w:pageBreakBefore w:val="0"/>
        <w:widowControl w:val="0"/>
        <w:numPr>
          <w:ilvl w:val="0"/>
          <w:numId w:val="27"/>
        </w:numPr>
        <w:kinsoku/>
        <w:wordWrap/>
        <w:overflowPunct/>
        <w:topLinePunct w:val="0"/>
        <w:autoSpaceDE/>
        <w:autoSpaceDN/>
        <w:bidi w:val="0"/>
        <w:adjustRightInd/>
        <w:snapToGrid/>
        <w:spacing w:before="120" w:after="120" w:line="594" w:lineRule="exact"/>
        <w:ind w:left="0"/>
        <w:jc w:val="left"/>
        <w:textAlignment w:val="auto"/>
        <w:rPr>
          <w:color w:val="auto"/>
        </w:rPr>
      </w:pPr>
      <w:r>
        <w:rPr>
          <w:rFonts w:hint="eastAsia" w:ascii="楷体_GB2312" w:hAnsi="楷体_GB2312" w:eastAsia="楷体_GB2312" w:cs="楷体_GB2312"/>
          <w:b w:val="0"/>
          <w:bCs/>
          <w:snapToGrid w:val="0"/>
          <w:color w:val="000000"/>
          <w:sz w:val="32"/>
          <w:szCs w:val="32"/>
          <w:lang w:val="en-US" w:eastAsia="zh-CN" w:bidi="ar-SA"/>
        </w:rPr>
        <w:t>补齐行业高频质量风险管控短板</w:t>
      </w:r>
      <w:r>
        <w:rPr>
          <w:rFonts w:ascii="Arial" w:hAnsi="Arial" w:eastAsia="等线" w:cs="Arial"/>
          <w:color w:val="auto"/>
          <w:sz w:val="22"/>
        </w:rPr>
        <w:br w:type="textWrapping"/>
      </w:r>
      <w:r>
        <w:rPr>
          <w:rFonts w:hint="eastAsia" w:ascii="Times New Roman" w:hAnsi="仿宋_GB2312" w:eastAsia="仿宋_GB2312" w:cs="仿宋_GB2312"/>
          <w:snapToGrid w:val="0"/>
          <w:color w:val="000000"/>
          <w:sz w:val="32"/>
          <w:szCs w:val="32"/>
          <w:lang w:val="en-US" w:eastAsia="zh-CN" w:bidi="ar-SA"/>
        </w:rPr>
        <w:t>针对粉状产品粉尘污染、洁净区人员交叉污染、压缩空气二次污染、胶囊类跨界产品混淆等行业突出问题增设专项管控要求，从许可准入环节降低生产安全风险。</w:t>
      </w:r>
    </w:p>
    <w:p w14:paraId="27BD8D2D">
      <w:pPr>
        <w:keepNext w:val="0"/>
        <w:keepLines w:val="0"/>
        <w:pageBreakBefore w:val="0"/>
        <w:widowControl w:val="0"/>
        <w:numPr>
          <w:ilvl w:val="0"/>
          <w:numId w:val="27"/>
        </w:numPr>
        <w:kinsoku/>
        <w:wordWrap/>
        <w:overflowPunct/>
        <w:topLinePunct w:val="0"/>
        <w:autoSpaceDE/>
        <w:autoSpaceDN/>
        <w:bidi w:val="0"/>
        <w:adjustRightInd/>
        <w:snapToGrid/>
        <w:spacing w:before="120" w:after="120" w:line="594" w:lineRule="exact"/>
        <w:ind w:left="0"/>
        <w:jc w:val="left"/>
        <w:textAlignment w:val="auto"/>
        <w:rPr>
          <w:rFonts w:hint="eastAsia" w:ascii="Times New Roman" w:hAnsi="仿宋_GB2312" w:eastAsia="仿宋_GB2312" w:cs="仿宋_GB2312"/>
          <w:snapToGrid w:val="0"/>
          <w:color w:val="000000"/>
          <w:sz w:val="32"/>
          <w:szCs w:val="32"/>
          <w:lang w:val="en-US" w:eastAsia="zh-CN" w:bidi="ar-SA"/>
        </w:rPr>
      </w:pPr>
      <w:r>
        <w:rPr>
          <w:rFonts w:hint="eastAsia" w:ascii="楷体_GB2312" w:hAnsi="楷体_GB2312" w:eastAsia="楷体_GB2312" w:cs="楷体_GB2312"/>
          <w:b w:val="0"/>
          <w:bCs/>
          <w:snapToGrid w:val="0"/>
          <w:color w:val="000000"/>
          <w:sz w:val="32"/>
          <w:szCs w:val="32"/>
          <w:lang w:val="en-US" w:eastAsia="zh-CN" w:bidi="ar-SA"/>
        </w:rPr>
        <w:t>统一全省许可审查裁量尺度</w:t>
      </w:r>
      <w:r>
        <w:rPr>
          <w:rFonts w:ascii="Arial" w:hAnsi="Arial" w:eastAsia="等线" w:cs="Arial"/>
          <w:color w:val="auto"/>
          <w:sz w:val="22"/>
        </w:rPr>
        <w:br w:type="textWrapping"/>
      </w:r>
      <w:r>
        <w:rPr>
          <w:rFonts w:hint="eastAsia" w:ascii="Times New Roman" w:hAnsi="仿宋_GB2312" w:eastAsia="仿宋_GB2312" w:cs="仿宋_GB2312"/>
          <w:snapToGrid w:val="0"/>
          <w:color w:val="000000"/>
          <w:sz w:val="32"/>
          <w:szCs w:val="32"/>
          <w:lang w:val="en-US" w:eastAsia="zh-CN" w:bidi="ar-SA"/>
        </w:rPr>
        <w:t>细化车间分区、洁净参数、设备清单、制度目录，消除基层审查自由裁量差异，实现同标准、同尺度开展运动营养补充品生产许可核查。</w:t>
      </w:r>
    </w:p>
    <w:p w14:paraId="137C7CF5">
      <w:pPr>
        <w:keepNext w:val="0"/>
        <w:keepLines w:val="0"/>
        <w:pageBreakBefore w:val="0"/>
        <w:widowControl w:val="0"/>
        <w:numPr>
          <w:ilvl w:val="0"/>
          <w:numId w:val="27"/>
        </w:numPr>
        <w:kinsoku/>
        <w:wordWrap/>
        <w:overflowPunct/>
        <w:topLinePunct w:val="0"/>
        <w:autoSpaceDE/>
        <w:autoSpaceDN/>
        <w:bidi w:val="0"/>
        <w:adjustRightInd/>
        <w:snapToGrid/>
        <w:spacing w:before="120" w:after="120" w:line="594" w:lineRule="exact"/>
        <w:ind w:left="0"/>
        <w:jc w:val="left"/>
        <w:textAlignment w:val="auto"/>
        <w:rPr>
          <w:color w:val="auto"/>
        </w:rPr>
      </w:pPr>
      <w:r>
        <w:rPr>
          <w:rFonts w:hint="eastAsia" w:ascii="楷体_GB2312" w:hAnsi="楷体_GB2312" w:eastAsia="楷体_GB2312" w:cs="楷体_GB2312"/>
          <w:b w:val="0"/>
          <w:bCs/>
          <w:snapToGrid w:val="0"/>
          <w:color w:val="000000"/>
          <w:sz w:val="32"/>
          <w:szCs w:val="32"/>
          <w:lang w:val="en-US" w:eastAsia="zh-CN" w:bidi="ar-SA"/>
        </w:rPr>
        <w:t>兼顾监管严格性与行业实操性</w:t>
      </w:r>
      <w:r>
        <w:rPr>
          <w:rFonts w:ascii="Arial" w:hAnsi="Arial" w:eastAsia="等线" w:cs="Arial"/>
          <w:color w:val="auto"/>
          <w:sz w:val="22"/>
        </w:rPr>
        <w:br w:type="textWrapping"/>
      </w:r>
      <w:r>
        <w:rPr>
          <w:rFonts w:hint="eastAsia" w:ascii="Times New Roman" w:hAnsi="仿宋_GB2312" w:eastAsia="仿宋_GB2312" w:cs="仿宋_GB2312"/>
          <w:snapToGrid w:val="0"/>
          <w:color w:val="000000"/>
          <w:sz w:val="32"/>
          <w:szCs w:val="32"/>
          <w:lang w:val="en-US" w:eastAsia="zh-CN" w:bidi="ar-SA"/>
        </w:rPr>
        <w:t>优化换气次数、食品添加剂采购、工艺流程等非核心强制条款，区分必选 / 可选工艺，减少无依据的硬性约束，在守住食品安全底线前提下适配省内不同规模、不同剂型生产企业实际生产条件。</w:t>
      </w:r>
    </w:p>
    <w:p w14:paraId="6867CEF4">
      <w:pPr>
        <w:keepNext w:val="0"/>
        <w:keepLines w:val="0"/>
        <w:pageBreakBefore w:val="0"/>
        <w:widowControl w:val="0"/>
        <w:numPr>
          <w:ilvl w:val="0"/>
          <w:numId w:val="27"/>
        </w:numPr>
        <w:kinsoku/>
        <w:wordWrap/>
        <w:overflowPunct/>
        <w:topLinePunct w:val="0"/>
        <w:autoSpaceDE/>
        <w:autoSpaceDN/>
        <w:bidi w:val="0"/>
        <w:adjustRightInd/>
        <w:snapToGrid/>
        <w:spacing w:before="120" w:after="120" w:line="594" w:lineRule="exact"/>
        <w:ind w:left="0"/>
        <w:jc w:val="left"/>
        <w:textAlignment w:val="auto"/>
        <w:rPr>
          <w:color w:val="auto"/>
        </w:rPr>
      </w:pPr>
      <w:r>
        <w:rPr>
          <w:rFonts w:hint="eastAsia" w:ascii="楷体_GB2312" w:hAnsi="楷体_GB2312" w:eastAsia="楷体_GB2312" w:cs="楷体_GB2312"/>
          <w:b w:val="0"/>
          <w:bCs/>
          <w:snapToGrid w:val="0"/>
          <w:color w:val="000000"/>
          <w:sz w:val="32"/>
          <w:szCs w:val="32"/>
          <w:lang w:val="en-US" w:eastAsia="zh-CN" w:bidi="ar-SA"/>
        </w:rPr>
        <w:t>完善全生命周期追溯管控</w:t>
      </w:r>
      <w:r>
        <w:rPr>
          <w:rFonts w:ascii="Arial" w:hAnsi="Arial" w:eastAsia="等线" w:cs="Arial"/>
          <w:color w:val="auto"/>
          <w:sz w:val="22"/>
        </w:rPr>
        <w:br w:type="textWrapping"/>
      </w:r>
      <w:r>
        <w:rPr>
          <w:rFonts w:hint="eastAsia" w:ascii="Times New Roman" w:hAnsi="仿宋_GB2312" w:eastAsia="仿宋_GB2312" w:cs="仿宋_GB2312"/>
          <w:snapToGrid w:val="0"/>
          <w:color w:val="000000"/>
          <w:sz w:val="32"/>
          <w:szCs w:val="32"/>
          <w:lang w:val="en-US" w:eastAsia="zh-CN" w:bidi="ar-SA"/>
        </w:rPr>
        <w:t>构建 “原料验收 — 生产过程 — 出厂放行 — 产品销售 — 召回处置” 全链条记录与追溯体系，为事后风险排查、不合格产品管控提供完整技术支撑。</w:t>
      </w:r>
    </w:p>
    <w:p w14:paraId="568D5CB7">
      <w:pPr>
        <w:keepNext w:val="0"/>
        <w:keepLines w:val="0"/>
        <w:pageBreakBefore w:val="0"/>
        <w:widowControl w:val="0"/>
        <w:kinsoku/>
        <w:wordWrap/>
        <w:overflowPunct/>
        <w:topLinePunct w:val="0"/>
        <w:autoSpaceDE/>
        <w:autoSpaceDN/>
        <w:bidi w:val="0"/>
        <w:adjustRightInd/>
        <w:snapToGrid/>
        <w:spacing w:before="320" w:after="120" w:line="594" w:lineRule="exact"/>
        <w:ind w:left="0"/>
        <w:jc w:val="left"/>
        <w:textAlignment w:val="auto"/>
        <w:outlineLvl w:val="1"/>
        <w:rPr>
          <w:rFonts w:hint="eastAsia" w:ascii="黑体" w:hAnsi="黑体" w:eastAsia="黑体" w:cs="黑体"/>
          <w:b/>
          <w:color w:val="auto"/>
          <w:sz w:val="32"/>
          <w:szCs w:val="32"/>
        </w:rPr>
      </w:pPr>
      <w:bookmarkStart w:id="13" w:name="heading_13"/>
      <w:r>
        <w:rPr>
          <w:rFonts w:hint="eastAsia" w:ascii="黑体" w:hAnsi="黑体" w:eastAsia="黑体" w:cs="黑体"/>
          <w:b/>
          <w:color w:val="auto"/>
          <w:sz w:val="32"/>
          <w:szCs w:val="32"/>
        </w:rPr>
        <w:t>五、施行说明</w:t>
      </w:r>
      <w:bookmarkEnd w:id="13"/>
    </w:p>
    <w:p w14:paraId="76111525">
      <w:pPr>
        <w:keepNext w:val="0"/>
        <w:keepLines w:val="0"/>
        <w:pageBreakBefore w:val="0"/>
        <w:widowControl w:val="0"/>
        <w:numPr>
          <w:ilvl w:val="0"/>
          <w:numId w:val="0"/>
        </w:numPr>
        <w:kinsoku/>
        <w:wordWrap/>
        <w:overflowPunct/>
        <w:topLinePunct w:val="0"/>
        <w:autoSpaceDE/>
        <w:autoSpaceDN/>
        <w:bidi w:val="0"/>
        <w:adjustRightInd/>
        <w:snapToGrid/>
        <w:spacing w:before="120" w:after="120" w:line="594" w:lineRule="exact"/>
        <w:ind w:firstLine="640" w:firstLineChars="200"/>
        <w:jc w:val="left"/>
        <w:textAlignment w:val="auto"/>
        <w:rPr>
          <w:rFonts w:hint="eastAsia" w:ascii="Times New Roman" w:hAnsi="仿宋_GB2312" w:eastAsia="仿宋_GB2312" w:cs="仿宋_GB2312"/>
          <w:snapToGrid w:val="0"/>
          <w:color w:val="000000"/>
          <w:sz w:val="32"/>
          <w:szCs w:val="32"/>
          <w:lang w:val="en-US" w:eastAsia="zh-CN" w:bidi="ar-SA"/>
        </w:rPr>
      </w:pPr>
      <w:r>
        <w:rPr>
          <w:rFonts w:hint="eastAsia" w:ascii="Times New Roman" w:hAnsi="仿宋_GB2312" w:eastAsia="仿宋_GB2312" w:cs="仿宋_GB2312"/>
          <w:snapToGrid w:val="0"/>
          <w:color w:val="000000"/>
          <w:sz w:val="32"/>
          <w:szCs w:val="32"/>
          <w:lang w:val="en-US" w:eastAsia="zh-CN" w:bidi="ar-SA"/>
        </w:rPr>
        <w:t>本《陕西省其他特殊膳食食品（运动营养补充品）生产许可审查方案》自发布之日起施行，有效期 5 年；实施后，全省市场监管部门开展运动营养补充品生产许可新办、变更、延续、现场核查均统一按照本方案执行，原 2021 版审查细则同步不再适用。</w:t>
      </w: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altName w:val="黑体"/>
    <w:panose1 w:val="02000000000000000000"/>
    <w:charset w:val="86"/>
    <w:family w:val="auto"/>
    <w:pitch w:val="default"/>
    <w:sig w:usb0="00000000" w:usb1="00000000" w:usb2="00000012" w:usb3="00000000" w:csb0="00040001"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CE597"/>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4502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AEB125"/>
    <w:multiLevelType w:val="singleLevel"/>
    <w:tmpl w:val="8CAEB125"/>
    <w:lvl w:ilvl="0" w:tentative="0">
      <w:start w:val="2"/>
      <w:numFmt w:val="decimal"/>
      <w:lvlText w:val="%1."/>
      <w:lvlJc w:val="left"/>
      <w:rPr>
        <w:rFonts w:hint="default" w:ascii="Times New Roman" w:hAnsi="Times New Roman" w:cs="Times New Roman"/>
        <w:color w:val="auto"/>
        <w:sz w:val="32"/>
        <w:szCs w:val="32"/>
      </w:rPr>
    </w:lvl>
  </w:abstractNum>
  <w:abstractNum w:abstractNumId="1">
    <w:nsid w:val="9377BC45"/>
    <w:multiLevelType w:val="singleLevel"/>
    <w:tmpl w:val="9377BC45"/>
    <w:lvl w:ilvl="0" w:tentative="0">
      <w:start w:val="2"/>
      <w:numFmt w:val="decimal"/>
      <w:lvlText w:val="%1."/>
      <w:lvlJc w:val="left"/>
      <w:rPr>
        <w:rFonts w:hint="default" w:ascii="Times New Roman" w:hAnsi="Times New Roman" w:cs="Times New Roman"/>
        <w:color w:val="auto"/>
        <w:sz w:val="32"/>
        <w:szCs w:val="32"/>
      </w:rPr>
    </w:lvl>
  </w:abstractNum>
  <w:abstractNum w:abstractNumId="2">
    <w:nsid w:val="9ACF65A0"/>
    <w:multiLevelType w:val="singleLevel"/>
    <w:tmpl w:val="9ACF65A0"/>
    <w:lvl w:ilvl="0" w:tentative="0">
      <w:start w:val="2"/>
      <w:numFmt w:val="decimal"/>
      <w:lvlText w:val="%1."/>
      <w:lvlJc w:val="left"/>
      <w:rPr>
        <w:rFonts w:hint="default"/>
        <w:color w:val="auto"/>
        <w:sz w:val="32"/>
        <w:szCs w:val="32"/>
      </w:rPr>
    </w:lvl>
  </w:abstractNum>
  <w:abstractNum w:abstractNumId="3">
    <w:nsid w:val="A0C93552"/>
    <w:multiLevelType w:val="singleLevel"/>
    <w:tmpl w:val="A0C93552"/>
    <w:lvl w:ilvl="0" w:tentative="0">
      <w:start w:val="2"/>
      <w:numFmt w:val="decimal"/>
      <w:lvlText w:val="%1."/>
      <w:lvlJc w:val="left"/>
      <w:rPr>
        <w:rFonts w:hint="default"/>
        <w:color w:val="auto"/>
        <w:sz w:val="32"/>
        <w:szCs w:val="32"/>
      </w:rPr>
    </w:lvl>
  </w:abstractNum>
  <w:abstractNum w:abstractNumId="4">
    <w:nsid w:val="B0ED9BEA"/>
    <w:multiLevelType w:val="singleLevel"/>
    <w:tmpl w:val="B0ED9BEA"/>
    <w:lvl w:ilvl="0" w:tentative="0">
      <w:start w:val="1"/>
      <w:numFmt w:val="decimal"/>
      <w:lvlText w:val="%1."/>
      <w:lvlJc w:val="left"/>
      <w:rPr>
        <w:rFonts w:hint="default" w:ascii="Times New Roman" w:hAnsi="Times New Roman" w:cs="Times New Roman"/>
        <w:color w:val="auto"/>
        <w:sz w:val="32"/>
        <w:szCs w:val="32"/>
      </w:rPr>
    </w:lvl>
  </w:abstractNum>
  <w:abstractNum w:abstractNumId="5">
    <w:nsid w:val="B23A94A9"/>
    <w:multiLevelType w:val="singleLevel"/>
    <w:tmpl w:val="B23A94A9"/>
    <w:lvl w:ilvl="0" w:tentative="0">
      <w:start w:val="4"/>
      <w:numFmt w:val="decimal"/>
      <w:lvlText w:val="%1."/>
      <w:lvlJc w:val="left"/>
      <w:rPr>
        <w:rFonts w:hint="default"/>
        <w:color w:val="auto"/>
        <w:sz w:val="32"/>
        <w:szCs w:val="32"/>
      </w:rPr>
    </w:lvl>
  </w:abstractNum>
  <w:abstractNum w:abstractNumId="6">
    <w:nsid w:val="B53F3350"/>
    <w:multiLevelType w:val="singleLevel"/>
    <w:tmpl w:val="B53F3350"/>
    <w:lvl w:ilvl="0" w:tentative="0">
      <w:start w:val="3"/>
      <w:numFmt w:val="decimal"/>
      <w:lvlText w:val="%1."/>
      <w:lvlJc w:val="left"/>
      <w:rPr>
        <w:rFonts w:hint="default"/>
        <w:color w:val="auto"/>
        <w:sz w:val="32"/>
        <w:szCs w:val="32"/>
      </w:rPr>
    </w:lvl>
  </w:abstractNum>
  <w:abstractNum w:abstractNumId="7">
    <w:nsid w:val="BDA1395C"/>
    <w:multiLevelType w:val="singleLevel"/>
    <w:tmpl w:val="BDA1395C"/>
    <w:lvl w:ilvl="0" w:tentative="0">
      <w:start w:val="4"/>
      <w:numFmt w:val="decimal"/>
      <w:lvlText w:val="%1."/>
      <w:lvlJc w:val="left"/>
      <w:rPr>
        <w:rFonts w:hint="default"/>
        <w:color w:val="auto"/>
        <w:sz w:val="32"/>
        <w:szCs w:val="32"/>
      </w:rPr>
    </w:lvl>
  </w:abstractNum>
  <w:abstractNum w:abstractNumId="8">
    <w:nsid w:val="C0915F4F"/>
    <w:multiLevelType w:val="singleLevel"/>
    <w:tmpl w:val="C0915F4F"/>
    <w:lvl w:ilvl="0" w:tentative="0">
      <w:start w:val="2"/>
      <w:numFmt w:val="decimal"/>
      <w:lvlText w:val="%1."/>
      <w:lvlJc w:val="left"/>
      <w:rPr>
        <w:rFonts w:hint="default"/>
        <w:color w:val="auto"/>
        <w:sz w:val="32"/>
        <w:szCs w:val="32"/>
      </w:rPr>
    </w:lvl>
  </w:abstractNum>
  <w:abstractNum w:abstractNumId="9">
    <w:nsid w:val="C4E0D24A"/>
    <w:multiLevelType w:val="singleLevel"/>
    <w:tmpl w:val="C4E0D24A"/>
    <w:lvl w:ilvl="0" w:tentative="0">
      <w:start w:val="1"/>
      <w:numFmt w:val="decimal"/>
      <w:lvlText w:val="%1."/>
      <w:lvlJc w:val="left"/>
      <w:rPr>
        <w:rFonts w:hint="default"/>
        <w:color w:val="auto"/>
        <w:sz w:val="32"/>
        <w:szCs w:val="32"/>
      </w:rPr>
    </w:lvl>
  </w:abstractNum>
  <w:abstractNum w:abstractNumId="10">
    <w:nsid w:val="D7D140E4"/>
    <w:multiLevelType w:val="singleLevel"/>
    <w:tmpl w:val="D7D140E4"/>
    <w:lvl w:ilvl="0" w:tentative="0">
      <w:start w:val="1"/>
      <w:numFmt w:val="decimal"/>
      <w:lvlText w:val="%1."/>
      <w:lvlJc w:val="left"/>
      <w:rPr>
        <w:rFonts w:hint="default"/>
        <w:color w:val="auto"/>
        <w:sz w:val="32"/>
        <w:szCs w:val="32"/>
      </w:rPr>
    </w:lvl>
  </w:abstractNum>
  <w:abstractNum w:abstractNumId="11">
    <w:nsid w:val="E7B27C5B"/>
    <w:multiLevelType w:val="singleLevel"/>
    <w:tmpl w:val="E7B27C5B"/>
    <w:lvl w:ilvl="0" w:tentative="0">
      <w:start w:val="1"/>
      <w:numFmt w:val="decimal"/>
      <w:lvlText w:val="%1."/>
      <w:lvlJc w:val="left"/>
      <w:rPr>
        <w:rFonts w:hint="default"/>
        <w:color w:val="auto"/>
        <w:sz w:val="32"/>
        <w:szCs w:val="32"/>
      </w:rPr>
    </w:lvl>
  </w:abstractNum>
  <w:abstractNum w:abstractNumId="12">
    <w:nsid w:val="F0E89278"/>
    <w:multiLevelType w:val="singleLevel"/>
    <w:tmpl w:val="F0E89278"/>
    <w:lvl w:ilvl="0" w:tentative="0">
      <w:start w:val="1"/>
      <w:numFmt w:val="decimal"/>
      <w:lvlText w:val="%1."/>
      <w:lvlJc w:val="left"/>
      <w:rPr>
        <w:rFonts w:hint="default"/>
        <w:color w:val="auto"/>
        <w:sz w:val="32"/>
        <w:szCs w:val="32"/>
      </w:rPr>
    </w:lvl>
  </w:abstractNum>
  <w:abstractNum w:abstractNumId="13">
    <w:nsid w:val="03A63A41"/>
    <w:multiLevelType w:val="singleLevel"/>
    <w:tmpl w:val="03A63A41"/>
    <w:lvl w:ilvl="0" w:tentative="0">
      <w:start w:val="1"/>
      <w:numFmt w:val="decimal"/>
      <w:lvlText w:val="%1."/>
      <w:lvlJc w:val="left"/>
      <w:rPr>
        <w:rFonts w:hint="default"/>
        <w:color w:val="auto"/>
        <w:sz w:val="32"/>
        <w:szCs w:val="32"/>
      </w:rPr>
    </w:lvl>
  </w:abstractNum>
  <w:abstractNum w:abstractNumId="14">
    <w:nsid w:val="0CEF100B"/>
    <w:multiLevelType w:val="singleLevel"/>
    <w:tmpl w:val="0CEF100B"/>
    <w:lvl w:ilvl="0" w:tentative="0">
      <w:start w:val="3"/>
      <w:numFmt w:val="decimal"/>
      <w:lvlText w:val="%1."/>
      <w:lvlJc w:val="left"/>
      <w:rPr>
        <w:rFonts w:hint="default"/>
        <w:color w:val="auto"/>
      </w:rPr>
    </w:lvl>
  </w:abstractNum>
  <w:abstractNum w:abstractNumId="15">
    <w:nsid w:val="0F9F9CCA"/>
    <w:multiLevelType w:val="singleLevel"/>
    <w:tmpl w:val="0F9F9CCA"/>
    <w:lvl w:ilvl="0" w:tentative="0">
      <w:start w:val="5"/>
      <w:numFmt w:val="decimal"/>
      <w:lvlText w:val="%1."/>
      <w:lvlJc w:val="left"/>
      <w:rPr>
        <w:rFonts w:hint="default"/>
        <w:color w:val="auto"/>
        <w:sz w:val="32"/>
        <w:szCs w:val="32"/>
      </w:rPr>
    </w:lvl>
  </w:abstractNum>
  <w:abstractNum w:abstractNumId="16">
    <w:nsid w:val="12EADF99"/>
    <w:multiLevelType w:val="singleLevel"/>
    <w:tmpl w:val="12EADF99"/>
    <w:lvl w:ilvl="0" w:tentative="0">
      <w:start w:val="3"/>
      <w:numFmt w:val="decimal"/>
      <w:lvlText w:val="%1."/>
      <w:lvlJc w:val="left"/>
      <w:rPr>
        <w:rFonts w:hint="default"/>
        <w:color w:val="auto"/>
        <w:sz w:val="32"/>
        <w:szCs w:val="32"/>
      </w:rPr>
    </w:lvl>
  </w:abstractNum>
  <w:abstractNum w:abstractNumId="17">
    <w:nsid w:val="1ACDE60F"/>
    <w:multiLevelType w:val="singleLevel"/>
    <w:tmpl w:val="1ACDE60F"/>
    <w:lvl w:ilvl="0" w:tentative="0">
      <w:start w:val="1"/>
      <w:numFmt w:val="decimal"/>
      <w:lvlText w:val="%1."/>
      <w:lvlJc w:val="left"/>
      <w:rPr>
        <w:rFonts w:hint="default"/>
        <w:color w:val="auto"/>
        <w:sz w:val="32"/>
        <w:szCs w:val="32"/>
      </w:rPr>
    </w:lvl>
  </w:abstractNum>
  <w:abstractNum w:abstractNumId="18">
    <w:nsid w:val="1C257C7B"/>
    <w:multiLevelType w:val="singleLevel"/>
    <w:tmpl w:val="1C257C7B"/>
    <w:lvl w:ilvl="0" w:tentative="0">
      <w:start w:val="3"/>
      <w:numFmt w:val="decimal"/>
      <w:lvlText w:val="%1."/>
      <w:lvlJc w:val="left"/>
      <w:rPr>
        <w:rFonts w:hint="default"/>
        <w:color w:val="auto"/>
        <w:sz w:val="32"/>
        <w:szCs w:val="32"/>
      </w:rPr>
    </w:lvl>
  </w:abstractNum>
  <w:abstractNum w:abstractNumId="19">
    <w:nsid w:val="23E97754"/>
    <w:multiLevelType w:val="singleLevel"/>
    <w:tmpl w:val="23E97754"/>
    <w:lvl w:ilvl="0" w:tentative="0">
      <w:start w:val="2"/>
      <w:numFmt w:val="decimal"/>
      <w:lvlText w:val="%1."/>
      <w:lvlJc w:val="left"/>
      <w:rPr>
        <w:rFonts w:hint="default"/>
        <w:color w:val="auto"/>
        <w:sz w:val="32"/>
        <w:szCs w:val="32"/>
      </w:rPr>
    </w:lvl>
  </w:abstractNum>
  <w:abstractNum w:abstractNumId="20">
    <w:nsid w:val="30A0AC00"/>
    <w:multiLevelType w:val="singleLevel"/>
    <w:tmpl w:val="30A0AC00"/>
    <w:lvl w:ilvl="0" w:tentative="0">
      <w:start w:val="1"/>
      <w:numFmt w:val="decimal"/>
      <w:lvlText w:val="%1."/>
      <w:lvlJc w:val="left"/>
      <w:rPr>
        <w:rFonts w:hint="default"/>
        <w:color w:val="auto"/>
        <w:sz w:val="32"/>
        <w:szCs w:val="32"/>
      </w:rPr>
    </w:lvl>
  </w:abstractNum>
  <w:abstractNum w:abstractNumId="21">
    <w:nsid w:val="32A7AF2D"/>
    <w:multiLevelType w:val="singleLevel"/>
    <w:tmpl w:val="32A7AF2D"/>
    <w:lvl w:ilvl="0" w:tentative="0">
      <w:start w:val="2"/>
      <w:numFmt w:val="decimal"/>
      <w:lvlText w:val="%1."/>
      <w:lvlJc w:val="left"/>
      <w:rPr>
        <w:rFonts w:hint="default"/>
        <w:color w:val="auto"/>
        <w:sz w:val="32"/>
        <w:szCs w:val="32"/>
      </w:rPr>
    </w:lvl>
  </w:abstractNum>
  <w:abstractNum w:abstractNumId="22">
    <w:nsid w:val="35E83B33"/>
    <w:multiLevelType w:val="singleLevel"/>
    <w:tmpl w:val="35E83B33"/>
    <w:lvl w:ilvl="0" w:tentative="0">
      <w:start w:val="6"/>
      <w:numFmt w:val="decimal"/>
      <w:lvlText w:val="%1."/>
      <w:lvlJc w:val="left"/>
      <w:rPr>
        <w:rFonts w:hint="default" w:ascii="Times New Roman" w:hAnsi="Times New Roman" w:cs="Times New Roman"/>
        <w:color w:val="auto"/>
        <w:sz w:val="32"/>
        <w:szCs w:val="32"/>
      </w:rPr>
    </w:lvl>
  </w:abstractNum>
  <w:abstractNum w:abstractNumId="23">
    <w:nsid w:val="3B8127DF"/>
    <w:multiLevelType w:val="singleLevel"/>
    <w:tmpl w:val="3B8127DF"/>
    <w:lvl w:ilvl="0" w:tentative="0">
      <w:start w:val="1"/>
      <w:numFmt w:val="decimal"/>
      <w:lvlText w:val="%1."/>
      <w:lvlJc w:val="left"/>
      <w:rPr>
        <w:rFonts w:hint="default"/>
        <w:color w:val="auto"/>
        <w:sz w:val="32"/>
        <w:szCs w:val="32"/>
      </w:rPr>
    </w:lvl>
  </w:abstractNum>
  <w:abstractNum w:abstractNumId="24">
    <w:nsid w:val="40B249F9"/>
    <w:multiLevelType w:val="singleLevel"/>
    <w:tmpl w:val="40B249F9"/>
    <w:lvl w:ilvl="0" w:tentative="0">
      <w:start w:val="4"/>
      <w:numFmt w:val="decimal"/>
      <w:lvlText w:val="%1."/>
      <w:lvlJc w:val="left"/>
      <w:rPr>
        <w:rFonts w:hint="default"/>
        <w:color w:val="auto"/>
        <w:sz w:val="32"/>
        <w:szCs w:val="32"/>
      </w:rPr>
    </w:lvl>
  </w:abstractNum>
  <w:abstractNum w:abstractNumId="25">
    <w:nsid w:val="59EEFD2A"/>
    <w:multiLevelType w:val="singleLevel"/>
    <w:tmpl w:val="59EEFD2A"/>
    <w:lvl w:ilvl="0" w:tentative="0">
      <w:start w:val="3"/>
      <w:numFmt w:val="decimal"/>
      <w:lvlText w:val="%1."/>
      <w:lvlJc w:val="left"/>
      <w:rPr>
        <w:rFonts w:hint="default"/>
        <w:color w:val="auto"/>
        <w:sz w:val="32"/>
        <w:szCs w:val="32"/>
      </w:rPr>
    </w:lvl>
  </w:abstractNum>
  <w:abstractNum w:abstractNumId="26">
    <w:nsid w:val="65CD0074"/>
    <w:multiLevelType w:val="singleLevel"/>
    <w:tmpl w:val="65CD0074"/>
    <w:lvl w:ilvl="0" w:tentative="0">
      <w:start w:val="1"/>
      <w:numFmt w:val="decimal"/>
      <w:lvlText w:val="%1."/>
      <w:lvlJc w:val="left"/>
      <w:rPr>
        <w:rFonts w:hint="default"/>
        <w:color w:val="auto"/>
        <w:sz w:val="32"/>
        <w:szCs w:val="32"/>
      </w:rPr>
    </w:lvl>
  </w:abstractNum>
  <w:num w:numId="1">
    <w:abstractNumId w:val="17"/>
  </w:num>
  <w:num w:numId="2">
    <w:abstractNumId w:val="0"/>
  </w:num>
  <w:num w:numId="3">
    <w:abstractNumId w:val="26"/>
  </w:num>
  <w:num w:numId="4">
    <w:abstractNumId w:val="14"/>
  </w:num>
  <w:num w:numId="5">
    <w:abstractNumId w:val="10"/>
  </w:num>
  <w:num w:numId="6">
    <w:abstractNumId w:val="21"/>
  </w:num>
  <w:num w:numId="7">
    <w:abstractNumId w:val="18"/>
  </w:num>
  <w:num w:numId="8">
    <w:abstractNumId w:val="12"/>
  </w:num>
  <w:num w:numId="9">
    <w:abstractNumId w:val="19"/>
  </w:num>
  <w:num w:numId="10">
    <w:abstractNumId w:val="6"/>
  </w:num>
  <w:num w:numId="11">
    <w:abstractNumId w:val="24"/>
  </w:num>
  <w:num w:numId="12">
    <w:abstractNumId w:val="15"/>
  </w:num>
  <w:num w:numId="13">
    <w:abstractNumId w:val="22"/>
  </w:num>
  <w:num w:numId="14">
    <w:abstractNumId w:val="13"/>
  </w:num>
  <w:num w:numId="15">
    <w:abstractNumId w:val="8"/>
  </w:num>
  <w:num w:numId="16">
    <w:abstractNumId w:val="16"/>
  </w:num>
  <w:num w:numId="17">
    <w:abstractNumId w:val="5"/>
  </w:num>
  <w:num w:numId="18">
    <w:abstractNumId w:val="23"/>
  </w:num>
  <w:num w:numId="19">
    <w:abstractNumId w:val="20"/>
  </w:num>
  <w:num w:numId="20">
    <w:abstractNumId w:val="9"/>
  </w:num>
  <w:num w:numId="21">
    <w:abstractNumId w:val="3"/>
  </w:num>
  <w:num w:numId="22">
    <w:abstractNumId w:val="11"/>
  </w:num>
  <w:num w:numId="23">
    <w:abstractNumId w:val="2"/>
  </w:num>
  <w:num w:numId="24">
    <w:abstractNumId w:val="25"/>
  </w:num>
  <w:num w:numId="25">
    <w:abstractNumId w:val="7"/>
  </w:num>
  <w:num w:numId="26">
    <w:abstractNumId w:val="4"/>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compat>
    <w:useFELayout/>
    <w:splitPgBreakAndParaMark/>
    <w:compatSetting w:name="compatibilityMode" w:uri="http://schemas.microsoft.com/office/word" w:val="12"/>
  </w:compat>
  <w:rsids>
    <w:rsidRoot w:val="00000000"/>
    <w:rsid w:val="04EC5DC4"/>
    <w:rsid w:val="1FEB5D86"/>
    <w:rsid w:val="3F34724E"/>
    <w:rsid w:val="432D0FAE"/>
    <w:rsid w:val="46252A99"/>
    <w:rsid w:val="512F7D09"/>
    <w:rsid w:val="74C1629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11</Pages>
  <Words>3824</Words>
  <Characters>3908</Characters>
  <TotalTime>6</TotalTime>
  <ScaleCrop>false</ScaleCrop>
  <LinksUpToDate>false</LinksUpToDate>
  <CharactersWithSpaces>3965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2026-08-16T14:23:00Z</dcterms:created>
  <dc:creator>Apache POI</dc:creator>
  <cp:lastModifiedBy>lán</cp:lastModifiedBy>
  <dcterms:modified xsi:type="dcterms:W3CDTF">2026-10-08T06:57:49Z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{"Label":"1","ContentProducer":"001191110102MACQD9K64010000","ProduceID":"7674635025883925703","ReservedCode1":"","ContentPropagator":"","PropagateID":"","ReservedCode2":""}</vt:lpwstr>
  </property>
  <property fmtid="{D5CDD505-2E9C-101B-9397-08002B2CF9AE}" pid="3" name="KSOProductBuildVer">
    <vt:lpwstr>2052-12.1.0.28505</vt:lpwstr>
  </property>
  <property fmtid="{D5CDD505-2E9C-101B-9397-08002B2CF9AE}" pid="4" name="ICV">
    <vt:lpwstr>F5C1C326B2534D909D587ADCDE55C551_12</vt:lpwstr>
  </property>
  <property fmtid="{D5CDD505-2E9C-101B-9397-08002B2CF9AE}" pid="5" name="KSOTemplateDocerSaveRecord">
    <vt:lpwstr>eyJoZGlkIjoiMjcyNjA1MmY5MzQzNDc0ZDkyNmZmZmQ4NTBhOWM0OTUiLCJ1c2VySWQiOiIxOTg2MTQ3NjUifQ==</vt:lpwstr>
  </property>
</Properties>
</file>