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8251B6">
      <w:pPr>
        <w:spacing w:line="560" w:lineRule="exact"/>
        <w:rPr>
          <w:rFonts w:eastAsia="黑体"/>
          <w:sz w:val="32"/>
          <w:szCs w:val="32"/>
        </w:rPr>
      </w:pPr>
      <w:bookmarkStart w:id="0" w:name="zhengwen"/>
      <w:r>
        <w:rPr>
          <w:rFonts w:eastAsia="黑体"/>
          <w:sz w:val="32"/>
          <w:szCs w:val="32"/>
        </w:rPr>
        <w:t>附件</w:t>
      </w:r>
      <w:r>
        <w:rPr>
          <w:rFonts w:hint="eastAsia" w:ascii="黑体" w:hAnsi="黑体" w:eastAsia="黑体"/>
          <w:sz w:val="32"/>
          <w:szCs w:val="32"/>
        </w:rPr>
        <w:t>1</w:t>
      </w:r>
    </w:p>
    <w:p w14:paraId="7DA18B00">
      <w:pPr>
        <w:spacing w:line="580" w:lineRule="exact"/>
        <w:jc w:val="center"/>
        <w:rPr>
          <w:rFonts w:eastAsia="方正小标宋简体"/>
          <w:color w:val="000000"/>
          <w:sz w:val="44"/>
          <w:szCs w:val="44"/>
        </w:rPr>
      </w:pPr>
    </w:p>
    <w:p w14:paraId="4CD8089E">
      <w:pPr>
        <w:spacing w:line="580" w:lineRule="exact"/>
        <w:jc w:val="center"/>
        <w:rPr>
          <w:rFonts w:eastAsia="方正小标宋简体"/>
          <w:color w:val="000000"/>
          <w:sz w:val="44"/>
          <w:szCs w:val="44"/>
        </w:rPr>
      </w:pPr>
      <w:r>
        <w:rPr>
          <w:rFonts w:eastAsia="方正小标宋简体"/>
          <w:color w:val="000000"/>
          <w:sz w:val="44"/>
          <w:szCs w:val="44"/>
        </w:rPr>
        <w:t>结核分枝杆菌复合群耐药基因突变检测试剂</w:t>
      </w:r>
    </w:p>
    <w:p w14:paraId="4BA6C801">
      <w:pPr>
        <w:spacing w:line="580" w:lineRule="exact"/>
        <w:jc w:val="center"/>
        <w:rPr>
          <w:rFonts w:eastAsia="方正小标宋简体"/>
          <w:color w:val="000000"/>
          <w:sz w:val="44"/>
          <w:szCs w:val="44"/>
        </w:rPr>
      </w:pPr>
      <w:r>
        <w:rPr>
          <w:rFonts w:eastAsia="方正小标宋简体"/>
          <w:color w:val="000000"/>
          <w:sz w:val="44"/>
          <w:szCs w:val="44"/>
        </w:rPr>
        <w:t>注册审查指导原则（</w:t>
      </w:r>
      <w:r>
        <w:rPr>
          <w:rFonts w:hint="eastAsia" w:eastAsia="方正小标宋简体"/>
          <w:color w:val="000000"/>
          <w:sz w:val="44"/>
          <w:szCs w:val="44"/>
        </w:rPr>
        <w:t>2</w:t>
      </w:r>
      <w:r>
        <w:rPr>
          <w:rFonts w:eastAsia="方正小标宋简体"/>
          <w:color w:val="000000"/>
          <w:sz w:val="44"/>
          <w:szCs w:val="44"/>
        </w:rPr>
        <w:t>026</w:t>
      </w:r>
      <w:r>
        <w:rPr>
          <w:rFonts w:hint="eastAsia" w:eastAsia="方正小标宋简体"/>
          <w:color w:val="000000"/>
          <w:sz w:val="44"/>
          <w:szCs w:val="44"/>
        </w:rPr>
        <w:t>年修订版</w:t>
      </w:r>
      <w:r>
        <w:rPr>
          <w:rFonts w:eastAsia="方正小标宋简体"/>
          <w:color w:val="000000"/>
          <w:sz w:val="44"/>
          <w:szCs w:val="44"/>
        </w:rPr>
        <w:t>）</w:t>
      </w:r>
    </w:p>
    <w:p w14:paraId="351EB406">
      <w:pPr>
        <w:spacing w:line="580" w:lineRule="exact"/>
        <w:jc w:val="center"/>
        <w:rPr>
          <w:rFonts w:eastAsia="方正小标宋简体"/>
          <w:color w:val="000000"/>
          <w:sz w:val="44"/>
          <w:szCs w:val="44"/>
        </w:rPr>
      </w:pPr>
      <w:r>
        <w:rPr>
          <w:rFonts w:eastAsia="方正小标宋简体"/>
          <w:color w:val="000000"/>
          <w:sz w:val="44"/>
          <w:szCs w:val="44"/>
        </w:rPr>
        <w:t>（</w:t>
      </w:r>
      <w:r>
        <w:rPr>
          <w:rFonts w:hint="eastAsia" w:eastAsia="方正小标宋简体"/>
          <w:color w:val="000000"/>
          <w:sz w:val="44"/>
          <w:szCs w:val="44"/>
        </w:rPr>
        <w:t>征求意见稿</w:t>
      </w:r>
      <w:r>
        <w:rPr>
          <w:rFonts w:eastAsia="方正小标宋简体"/>
          <w:color w:val="000000"/>
          <w:sz w:val="44"/>
          <w:szCs w:val="44"/>
        </w:rPr>
        <w:t>）</w:t>
      </w:r>
    </w:p>
    <w:p w14:paraId="37BCD6A3">
      <w:pPr>
        <w:spacing w:line="580" w:lineRule="exact"/>
        <w:ind w:firstLine="643" w:firstLineChars="200"/>
        <w:outlineLvl w:val="0"/>
        <w:rPr>
          <w:b/>
          <w:bCs/>
          <w:kern w:val="0"/>
          <w:sz w:val="32"/>
          <w:szCs w:val="32"/>
        </w:rPr>
      </w:pPr>
    </w:p>
    <w:p w14:paraId="7E22213E">
      <w:pPr>
        <w:spacing w:line="560" w:lineRule="exact"/>
        <w:ind w:firstLine="640" w:firstLineChars="200"/>
        <w:rPr>
          <w:rFonts w:eastAsia="仿宋_GB2312"/>
          <w:color w:val="000000"/>
          <w:kern w:val="0"/>
          <w:sz w:val="32"/>
          <w:szCs w:val="32"/>
        </w:rPr>
      </w:pPr>
      <w:r>
        <w:rPr>
          <w:rFonts w:eastAsia="仿宋_GB2312"/>
          <w:color w:val="000000"/>
          <w:kern w:val="0"/>
          <w:sz w:val="32"/>
          <w:szCs w:val="32"/>
        </w:rPr>
        <w:t>本指导原则旨在指导注册申请人对结核分枝杆菌复合群耐药基因突变检测试剂注册申报资料的准备及撰写，同时也为技术审评部门对注册申报资料的技术审评提供参考。</w:t>
      </w:r>
    </w:p>
    <w:p w14:paraId="756DC341">
      <w:pPr>
        <w:spacing w:line="560" w:lineRule="exact"/>
        <w:ind w:firstLine="640" w:firstLineChars="200"/>
        <w:rPr>
          <w:rFonts w:eastAsia="仿宋_GB2312"/>
          <w:color w:val="000000"/>
          <w:kern w:val="0"/>
          <w:sz w:val="32"/>
          <w:szCs w:val="32"/>
        </w:rPr>
      </w:pPr>
      <w:r>
        <w:rPr>
          <w:rFonts w:eastAsia="仿宋_GB2312"/>
          <w:color w:val="000000"/>
          <w:kern w:val="0"/>
          <w:sz w:val="32"/>
          <w:szCs w:val="32"/>
        </w:rPr>
        <w:t>本指导原则是针对结核分枝杆菌复合群耐药基因突变检测试剂的一般要求，申请人应依据产品的具体特性确定其中内容是否适用，若不适用，需阐述具体理由及相应的科学依据，并依据产品的具体特性对注册申报资料的内容进行充实和细化。</w:t>
      </w:r>
    </w:p>
    <w:p w14:paraId="51AAAEDB">
      <w:pPr>
        <w:spacing w:line="560" w:lineRule="exact"/>
        <w:ind w:firstLine="640" w:firstLineChars="200"/>
        <w:rPr>
          <w:rFonts w:eastAsia="仿宋_GB2312"/>
          <w:color w:val="000000"/>
          <w:kern w:val="0"/>
          <w:sz w:val="32"/>
          <w:szCs w:val="32"/>
        </w:rPr>
      </w:pPr>
      <w:r>
        <w:rPr>
          <w:rFonts w:eastAsia="仿宋_GB2312"/>
          <w:color w:val="000000"/>
          <w:kern w:val="0"/>
          <w:sz w:val="32"/>
          <w:szCs w:val="32"/>
        </w:rPr>
        <w:t>本指导原则是对</w:t>
      </w:r>
      <w:r>
        <w:rPr>
          <w:rFonts w:hint="eastAsia" w:eastAsia="仿宋_GB2312"/>
          <w:color w:val="000000"/>
          <w:kern w:val="0"/>
          <w:sz w:val="32"/>
          <w:szCs w:val="32"/>
        </w:rPr>
        <w:t>注册</w:t>
      </w:r>
      <w:r>
        <w:rPr>
          <w:rFonts w:eastAsia="仿宋_GB2312"/>
          <w:color w:val="000000"/>
          <w:kern w:val="0"/>
          <w:sz w:val="32"/>
          <w:szCs w:val="32"/>
        </w:rPr>
        <w:t>申请人和审查人员的指导性文件，但不包括注册审批所涉及的行政事项，也不作为法规强制执行，如果有能够满足相关法规要求的其他方法，也可以采用，但需要详细阐明理由，并对其科学合理性进行验证，提供详细的研究资料和验证资料，相关人员应在遵循相关法规的前提下使用本指导原则。</w:t>
      </w:r>
    </w:p>
    <w:p w14:paraId="12CB2595">
      <w:pPr>
        <w:spacing w:line="560" w:lineRule="exact"/>
        <w:ind w:firstLine="640" w:firstLineChars="200"/>
        <w:rPr>
          <w:rFonts w:eastAsia="仿宋_GB2312"/>
          <w:color w:val="000000"/>
          <w:kern w:val="0"/>
          <w:sz w:val="32"/>
          <w:szCs w:val="32"/>
        </w:rPr>
      </w:pPr>
      <w:r>
        <w:rPr>
          <w:rFonts w:eastAsia="仿宋_GB2312"/>
          <w:color w:val="000000"/>
          <w:kern w:val="0"/>
          <w:sz w:val="32"/>
          <w:szCs w:val="32"/>
        </w:rPr>
        <w:t>本指导原则是在现行法规和标准体系以及当前认知水平下制定的，随着法规和标准的不断完善，以及科学技术的不断发展，本指导原则相关内容也将适时进行调整。</w:t>
      </w:r>
    </w:p>
    <w:p w14:paraId="78D41641">
      <w:pPr>
        <w:spacing w:line="560" w:lineRule="exact"/>
        <w:ind w:firstLine="640" w:firstLineChars="200"/>
        <w:rPr>
          <w:rFonts w:eastAsia="黑体"/>
          <w:sz w:val="32"/>
          <w:szCs w:val="32"/>
        </w:rPr>
      </w:pPr>
      <w:bookmarkStart w:id="1" w:name="_Toc375311129"/>
      <w:bookmarkStart w:id="2" w:name="_Toc375311130"/>
      <w:r>
        <w:rPr>
          <w:rFonts w:eastAsia="黑体"/>
          <w:sz w:val="32"/>
          <w:szCs w:val="32"/>
        </w:rPr>
        <w:t>一、范围</w:t>
      </w:r>
      <w:bookmarkEnd w:id="1"/>
    </w:p>
    <w:p w14:paraId="16470A6E">
      <w:pPr>
        <w:spacing w:line="560" w:lineRule="exact"/>
        <w:ind w:firstLine="640" w:firstLineChars="200"/>
        <w:rPr>
          <w:rFonts w:eastAsia="仿宋_GB2312"/>
          <w:color w:val="000000"/>
          <w:kern w:val="0"/>
          <w:sz w:val="32"/>
          <w:szCs w:val="32"/>
        </w:rPr>
      </w:pPr>
      <w:r>
        <w:rPr>
          <w:rFonts w:eastAsia="仿宋_GB2312"/>
          <w:color w:val="000000"/>
          <w:kern w:val="0"/>
          <w:sz w:val="32"/>
          <w:szCs w:val="32"/>
        </w:rPr>
        <w:t>本指导原则所述结核分枝杆菌复合群耐药基因突变检测试剂是指：利用分子生物学技术，对结核病患者的</w:t>
      </w:r>
      <w:r>
        <w:rPr>
          <w:rFonts w:hint="eastAsia" w:eastAsia="仿宋_GB2312"/>
          <w:color w:val="000000"/>
          <w:kern w:val="0"/>
          <w:sz w:val="32"/>
          <w:szCs w:val="32"/>
        </w:rPr>
        <w:t>临床样本或临床培养物</w:t>
      </w:r>
      <w:r>
        <w:rPr>
          <w:rFonts w:eastAsia="仿宋_GB2312"/>
          <w:color w:val="000000"/>
          <w:kern w:val="0"/>
          <w:sz w:val="32"/>
          <w:szCs w:val="32"/>
        </w:rPr>
        <w:t>样本中的结核分枝杆菌复合群耐药基因突变进行体外定性检测的试剂。</w:t>
      </w:r>
    </w:p>
    <w:p w14:paraId="7B0768E0">
      <w:pPr>
        <w:spacing w:line="560" w:lineRule="exact"/>
        <w:ind w:firstLine="640" w:firstLineChars="200"/>
        <w:rPr>
          <w:rFonts w:eastAsia="仿宋_GB2312"/>
          <w:color w:val="000000"/>
          <w:kern w:val="0"/>
          <w:sz w:val="32"/>
          <w:szCs w:val="32"/>
        </w:rPr>
      </w:pPr>
      <w:r>
        <w:rPr>
          <w:rFonts w:hint="eastAsia" w:eastAsia="仿宋_GB2312"/>
          <w:color w:val="000000"/>
          <w:kern w:val="0"/>
          <w:sz w:val="32"/>
          <w:szCs w:val="32"/>
        </w:rPr>
        <w:t>针对该类产品的设计，需关注如下几点：</w:t>
      </w:r>
    </w:p>
    <w:p w14:paraId="5E74C49D">
      <w:pPr>
        <w:spacing w:line="560" w:lineRule="exact"/>
        <w:ind w:firstLine="640" w:firstLineChars="200"/>
        <w:rPr>
          <w:rFonts w:eastAsia="仿宋_GB2312"/>
          <w:color w:val="000000"/>
          <w:kern w:val="0"/>
          <w:sz w:val="32"/>
          <w:szCs w:val="32"/>
        </w:rPr>
      </w:pPr>
      <w:r>
        <w:rPr>
          <w:rFonts w:hint="eastAsia" w:eastAsia="仿宋_GB2312"/>
          <w:color w:val="000000"/>
          <w:kern w:val="0"/>
          <w:sz w:val="32"/>
          <w:szCs w:val="32"/>
        </w:rPr>
        <w:t>1. 鉴于结核分枝杆菌复合群不同耐药基因与表型的符合率有较大差异，建议申请人选择公认符合率较高的抗生素耐药基因作为靶标。如同一种抗生素存在多个耐药基因或耐药突变位点，建议申请人在产品设计时考虑申报产品对耐药基因/突变位点的覆盖率。</w:t>
      </w:r>
    </w:p>
    <w:p w14:paraId="4EF6CA07">
      <w:pPr>
        <w:spacing w:line="560" w:lineRule="exact"/>
        <w:ind w:firstLine="640" w:firstLineChars="200"/>
        <w:rPr>
          <w:rFonts w:eastAsia="仿宋_GB2312"/>
          <w:color w:val="000000"/>
          <w:kern w:val="0"/>
          <w:sz w:val="32"/>
          <w:szCs w:val="32"/>
        </w:rPr>
      </w:pPr>
      <w:r>
        <w:rPr>
          <w:rFonts w:hint="eastAsia" w:eastAsia="仿宋_GB2312"/>
          <w:color w:val="000000"/>
          <w:kern w:val="0"/>
          <w:sz w:val="32"/>
          <w:szCs w:val="32"/>
        </w:rPr>
        <w:t>2. 该类产品在设计上主要包括两种形式，一种仅检测结核分枝杆菌复合群耐药基因突变（简称：单功能试剂），另一种同时检测结核分枝杆菌复合群核酸及耐药基因突变（简称：双功能试剂）。针对双功能试剂，核酸检测适用于《结核分枝杆菌复合群核酸检测试剂注册审查指导原则（2025年修订版）》，耐药基因突变检测部</w:t>
      </w:r>
      <w:r>
        <w:rPr>
          <w:rFonts w:hint="eastAsia" w:eastAsia="仿宋_GB2312"/>
          <w:color w:val="000000"/>
          <w:kern w:val="0"/>
          <w:sz w:val="32"/>
          <w:szCs w:val="32"/>
          <w:highlight w:val="none"/>
        </w:rPr>
        <w:t>分</w:t>
      </w:r>
      <w:r>
        <w:rPr>
          <w:rFonts w:hint="eastAsia" w:eastAsia="仿宋_GB2312"/>
          <w:color w:val="000000"/>
          <w:kern w:val="0"/>
          <w:sz w:val="32"/>
          <w:szCs w:val="32"/>
        </w:rPr>
        <w:t>适用于本指导原则。</w:t>
      </w:r>
    </w:p>
    <w:p w14:paraId="289C76B6">
      <w:pPr>
        <w:spacing w:line="580" w:lineRule="exact"/>
        <w:ind w:firstLine="640" w:firstLineChars="200"/>
        <w:rPr>
          <w:rFonts w:eastAsia="仿宋_GB2312"/>
          <w:color w:val="000000"/>
          <w:kern w:val="0"/>
          <w:sz w:val="32"/>
          <w:szCs w:val="32"/>
        </w:rPr>
      </w:pPr>
      <w:r>
        <w:rPr>
          <w:rFonts w:hint="eastAsia" w:eastAsia="仿宋_GB2312"/>
          <w:color w:val="000000"/>
          <w:kern w:val="0"/>
          <w:sz w:val="32"/>
          <w:szCs w:val="32"/>
        </w:rPr>
        <w:t>针对单功能试剂，</w:t>
      </w:r>
      <w:r>
        <w:rPr>
          <w:rFonts w:eastAsia="仿宋_GB2312"/>
          <w:color w:val="000000"/>
          <w:kern w:val="0"/>
          <w:sz w:val="32"/>
          <w:szCs w:val="32"/>
        </w:rPr>
        <w:t>预期用途可表述为以下三种类型：</w:t>
      </w:r>
      <w:r>
        <w:rPr>
          <w:rFonts w:hint="eastAsia" w:eastAsia="仿宋_GB2312"/>
          <w:color w:val="000000"/>
          <w:kern w:val="0"/>
          <w:sz w:val="32"/>
          <w:szCs w:val="32"/>
        </w:rPr>
        <w:t xml:space="preserve"> </w:t>
      </w:r>
    </w:p>
    <w:p w14:paraId="13CDBF3E">
      <w:pPr>
        <w:spacing w:line="580" w:lineRule="exact"/>
        <w:ind w:firstLine="640" w:firstLineChars="200"/>
        <w:rPr>
          <w:rFonts w:eastAsia="仿宋_GB2312"/>
          <w:color w:val="000000"/>
          <w:sz w:val="32"/>
          <w:szCs w:val="32"/>
        </w:rPr>
      </w:pPr>
      <w:r>
        <w:rPr>
          <w:rFonts w:eastAsia="仿宋_GB2312"/>
          <w:color w:val="000000"/>
          <w:sz w:val="32"/>
          <w:szCs w:val="32"/>
        </w:rPr>
        <w:t>1.申报产品</w:t>
      </w:r>
      <w:r>
        <w:rPr>
          <w:rFonts w:hint="eastAsia" w:eastAsia="仿宋_GB2312"/>
          <w:color w:val="000000"/>
          <w:sz w:val="32"/>
          <w:szCs w:val="32"/>
        </w:rPr>
        <w:t>的检验原理</w:t>
      </w:r>
      <w:r>
        <w:rPr>
          <w:rFonts w:eastAsia="仿宋_GB2312"/>
          <w:color w:val="000000"/>
          <w:sz w:val="32"/>
          <w:szCs w:val="32"/>
        </w:rPr>
        <w:t>可区分具体突变类型，结果报告具体突变类型（a类）。建议表述为：本产品用于体外定性检测结核病患者的结核分枝杆菌复合群阳性的xx样本中yy耐药基因突变，可检测的突变</w:t>
      </w:r>
      <w:r>
        <w:rPr>
          <w:rFonts w:hint="eastAsia" w:eastAsia="仿宋_GB2312"/>
          <w:color w:val="000000"/>
          <w:sz w:val="32"/>
          <w:szCs w:val="32"/>
        </w:rPr>
        <w:t>位点</w:t>
      </w:r>
      <w:r>
        <w:rPr>
          <w:rFonts w:eastAsia="仿宋_GB2312"/>
          <w:color w:val="000000"/>
          <w:sz w:val="32"/>
          <w:szCs w:val="32"/>
        </w:rPr>
        <w:t>包括zz，本产品可区分具体突变</w:t>
      </w:r>
      <w:r>
        <w:rPr>
          <w:rFonts w:hint="eastAsia" w:eastAsia="仿宋_GB2312"/>
          <w:color w:val="000000"/>
          <w:sz w:val="32"/>
          <w:szCs w:val="32"/>
        </w:rPr>
        <w:t>位点</w:t>
      </w:r>
      <w:r>
        <w:rPr>
          <w:rFonts w:eastAsia="仿宋_GB2312"/>
          <w:color w:val="000000"/>
          <w:sz w:val="32"/>
          <w:szCs w:val="32"/>
        </w:rPr>
        <w:t>。</w:t>
      </w:r>
      <w:r>
        <w:rPr>
          <w:rFonts w:hint="eastAsia" w:eastAsia="仿宋_GB2312"/>
          <w:color w:val="000000"/>
          <w:sz w:val="32"/>
          <w:szCs w:val="32"/>
        </w:rPr>
        <w:t>其中，m</w:t>
      </w:r>
      <w:r>
        <w:rPr>
          <w:rFonts w:eastAsia="仿宋_GB2312"/>
          <w:color w:val="000000"/>
          <w:sz w:val="32"/>
          <w:szCs w:val="32"/>
        </w:rPr>
        <w:t>m</w:t>
      </w:r>
      <w:r>
        <w:rPr>
          <w:rFonts w:hint="eastAsia" w:eastAsia="仿宋_GB2312"/>
          <w:color w:val="000000"/>
          <w:sz w:val="32"/>
          <w:szCs w:val="32"/>
        </w:rPr>
        <w:t>基因突变与</w:t>
      </w:r>
      <w:r>
        <w:rPr>
          <w:rFonts w:eastAsia="仿宋_GB2312"/>
          <w:color w:val="000000"/>
          <w:sz w:val="32"/>
          <w:szCs w:val="32"/>
        </w:rPr>
        <w:t>nn</w:t>
      </w:r>
      <w:r>
        <w:rPr>
          <w:rFonts w:hint="eastAsia" w:eastAsia="仿宋_GB2312"/>
          <w:color w:val="000000"/>
          <w:sz w:val="32"/>
          <w:szCs w:val="32"/>
        </w:rPr>
        <w:t>药物耐药相关。</w:t>
      </w:r>
    </w:p>
    <w:p w14:paraId="5600A060">
      <w:pPr>
        <w:spacing w:line="580" w:lineRule="exact"/>
        <w:ind w:firstLine="640" w:firstLineChars="200"/>
        <w:rPr>
          <w:rFonts w:eastAsia="仿宋_GB2312"/>
          <w:color w:val="000000"/>
          <w:sz w:val="32"/>
          <w:szCs w:val="32"/>
        </w:rPr>
      </w:pPr>
      <w:r>
        <w:rPr>
          <w:rFonts w:eastAsia="仿宋_GB2312"/>
          <w:color w:val="000000"/>
          <w:sz w:val="32"/>
          <w:szCs w:val="32"/>
        </w:rPr>
        <w:t>2.已知申报产品可检测的具体突变</w:t>
      </w:r>
      <w:r>
        <w:rPr>
          <w:rFonts w:hint="eastAsia" w:eastAsia="仿宋_GB2312"/>
          <w:color w:val="000000"/>
          <w:sz w:val="32"/>
          <w:szCs w:val="32"/>
        </w:rPr>
        <w:t>位点</w:t>
      </w:r>
      <w:r>
        <w:rPr>
          <w:rFonts w:eastAsia="仿宋_GB2312"/>
          <w:color w:val="000000"/>
          <w:sz w:val="32"/>
          <w:szCs w:val="32"/>
        </w:rPr>
        <w:t>（如：针对具体突变</w:t>
      </w:r>
      <w:r>
        <w:rPr>
          <w:rFonts w:hint="eastAsia" w:eastAsia="仿宋_GB2312"/>
          <w:color w:val="000000"/>
          <w:sz w:val="32"/>
          <w:szCs w:val="32"/>
        </w:rPr>
        <w:t>位点</w:t>
      </w:r>
      <w:r>
        <w:rPr>
          <w:rFonts w:eastAsia="仿宋_GB2312"/>
          <w:color w:val="000000"/>
          <w:sz w:val="32"/>
          <w:szCs w:val="32"/>
        </w:rPr>
        <w:t>设计特异突变探针，从检验原理上已知可检测哪些突变</w:t>
      </w:r>
      <w:r>
        <w:rPr>
          <w:rFonts w:hint="eastAsia" w:eastAsia="仿宋_GB2312"/>
          <w:color w:val="000000"/>
          <w:sz w:val="32"/>
          <w:szCs w:val="32"/>
        </w:rPr>
        <w:t>位点</w:t>
      </w:r>
      <w:r>
        <w:rPr>
          <w:rFonts w:eastAsia="仿宋_GB2312"/>
          <w:color w:val="000000"/>
          <w:sz w:val="32"/>
          <w:szCs w:val="32"/>
        </w:rPr>
        <w:t>），但结果不区分具体突变</w:t>
      </w:r>
      <w:r>
        <w:rPr>
          <w:rFonts w:hint="eastAsia" w:eastAsia="仿宋_GB2312"/>
          <w:color w:val="000000"/>
          <w:sz w:val="32"/>
          <w:szCs w:val="32"/>
        </w:rPr>
        <w:t>位点</w:t>
      </w:r>
      <w:r>
        <w:rPr>
          <w:rFonts w:eastAsia="仿宋_GB2312"/>
          <w:color w:val="000000"/>
          <w:sz w:val="32"/>
          <w:szCs w:val="32"/>
        </w:rPr>
        <w:t>，结果报告为耐药/敏感等（b类）。建议表述为：本产品用于体外定性检测结核病患者的结核分枝杆菌复合群阳性的xx样本中yy耐药基因突变，可检测的突变</w:t>
      </w:r>
      <w:r>
        <w:rPr>
          <w:rFonts w:hint="eastAsia" w:eastAsia="仿宋_GB2312"/>
          <w:color w:val="000000"/>
          <w:sz w:val="32"/>
          <w:szCs w:val="32"/>
        </w:rPr>
        <w:t>位点</w:t>
      </w:r>
      <w:r>
        <w:rPr>
          <w:rFonts w:eastAsia="仿宋_GB2312"/>
          <w:color w:val="000000"/>
          <w:sz w:val="32"/>
          <w:szCs w:val="32"/>
        </w:rPr>
        <w:t>包括zz，本产品不区分具体突变</w:t>
      </w:r>
      <w:r>
        <w:rPr>
          <w:rFonts w:hint="eastAsia" w:eastAsia="仿宋_GB2312"/>
          <w:color w:val="000000"/>
          <w:sz w:val="32"/>
          <w:szCs w:val="32"/>
        </w:rPr>
        <w:t>位点</w:t>
      </w:r>
      <w:r>
        <w:rPr>
          <w:rFonts w:eastAsia="仿宋_GB2312"/>
          <w:color w:val="000000"/>
          <w:sz w:val="32"/>
          <w:szCs w:val="32"/>
        </w:rPr>
        <w:t>。</w:t>
      </w:r>
      <w:r>
        <w:rPr>
          <w:rFonts w:hint="eastAsia" w:eastAsia="仿宋_GB2312"/>
          <w:color w:val="000000"/>
          <w:sz w:val="32"/>
          <w:szCs w:val="32"/>
        </w:rPr>
        <w:t>其中，m</w:t>
      </w:r>
      <w:r>
        <w:rPr>
          <w:rFonts w:eastAsia="仿宋_GB2312"/>
          <w:color w:val="000000"/>
          <w:sz w:val="32"/>
          <w:szCs w:val="32"/>
        </w:rPr>
        <w:t>m</w:t>
      </w:r>
      <w:r>
        <w:rPr>
          <w:rFonts w:hint="eastAsia" w:eastAsia="仿宋_GB2312"/>
          <w:color w:val="000000"/>
          <w:sz w:val="32"/>
          <w:szCs w:val="32"/>
        </w:rPr>
        <w:t>基因突变与</w:t>
      </w:r>
      <w:r>
        <w:rPr>
          <w:rFonts w:eastAsia="仿宋_GB2312"/>
          <w:color w:val="000000"/>
          <w:sz w:val="32"/>
          <w:szCs w:val="32"/>
        </w:rPr>
        <w:t>nn</w:t>
      </w:r>
      <w:r>
        <w:rPr>
          <w:rFonts w:hint="eastAsia" w:eastAsia="仿宋_GB2312"/>
          <w:color w:val="000000"/>
          <w:sz w:val="32"/>
          <w:szCs w:val="32"/>
        </w:rPr>
        <w:t>药物耐药相关。</w:t>
      </w:r>
    </w:p>
    <w:p w14:paraId="7514E39C">
      <w:pPr>
        <w:spacing w:line="580" w:lineRule="exact"/>
        <w:ind w:firstLine="640" w:firstLineChars="200"/>
        <w:rPr>
          <w:rFonts w:eastAsia="仿宋_GB2312"/>
          <w:color w:val="000000"/>
          <w:kern w:val="0"/>
          <w:sz w:val="32"/>
          <w:szCs w:val="32"/>
        </w:rPr>
      </w:pPr>
      <w:r>
        <w:rPr>
          <w:rFonts w:eastAsia="仿宋_GB2312"/>
          <w:color w:val="000000"/>
          <w:sz w:val="32"/>
          <w:szCs w:val="32"/>
        </w:rPr>
        <w:t>3.</w:t>
      </w:r>
      <w:r>
        <w:rPr>
          <w:rFonts w:hint="eastAsia"/>
        </w:rPr>
        <w:t xml:space="preserve"> </w:t>
      </w:r>
      <w:r>
        <w:rPr>
          <w:rFonts w:hint="eastAsia" w:eastAsia="仿宋_GB2312"/>
          <w:color w:val="000000"/>
          <w:sz w:val="32"/>
          <w:szCs w:val="32"/>
        </w:rPr>
        <w:t>某段核酸区域内任一位点的突变均可导致对某种药物耐药</w:t>
      </w:r>
      <w:r>
        <w:rPr>
          <w:rFonts w:eastAsia="仿宋_GB2312"/>
          <w:color w:val="000000"/>
          <w:sz w:val="32"/>
          <w:szCs w:val="32"/>
        </w:rPr>
        <w:t>，</w:t>
      </w:r>
      <w:r>
        <w:rPr>
          <w:rFonts w:hint="eastAsia" w:eastAsia="仿宋_GB2312"/>
          <w:color w:val="000000"/>
          <w:sz w:val="32"/>
          <w:szCs w:val="32"/>
        </w:rPr>
        <w:t>申报产品从检验原理上没有必要明确区分具体突变位点</w:t>
      </w:r>
      <w:r>
        <w:rPr>
          <w:rFonts w:eastAsia="仿宋_GB2312"/>
          <w:color w:val="000000"/>
          <w:sz w:val="32"/>
          <w:szCs w:val="32"/>
        </w:rPr>
        <w:t>，结果报告为耐药/敏感（c类）。建议表述为：本产品用于体外定性检测结核病患者的结核分枝杆菌复合群阳性的xx样本中yy耐药基因突变，本产品无法明确具体突变</w:t>
      </w:r>
      <w:r>
        <w:rPr>
          <w:rFonts w:hint="eastAsia" w:eastAsia="仿宋_GB2312"/>
          <w:color w:val="000000"/>
          <w:sz w:val="32"/>
          <w:szCs w:val="32"/>
        </w:rPr>
        <w:t>位点</w:t>
      </w:r>
      <w:r>
        <w:rPr>
          <w:rFonts w:eastAsia="仿宋_GB2312"/>
          <w:color w:val="000000"/>
          <w:sz w:val="32"/>
          <w:szCs w:val="32"/>
        </w:rPr>
        <w:t>。</w:t>
      </w:r>
      <w:r>
        <w:rPr>
          <w:rFonts w:hint="eastAsia" w:eastAsia="仿宋_GB2312"/>
          <w:color w:val="000000"/>
          <w:sz w:val="32"/>
          <w:szCs w:val="32"/>
        </w:rPr>
        <w:t>其</w:t>
      </w:r>
      <w:r>
        <w:rPr>
          <w:rFonts w:hint="eastAsia" w:eastAsia="仿宋_GB2312"/>
          <w:color w:val="000000"/>
          <w:kern w:val="0"/>
          <w:sz w:val="32"/>
          <w:szCs w:val="32"/>
        </w:rPr>
        <w:t>中，m</w:t>
      </w:r>
      <w:r>
        <w:rPr>
          <w:rFonts w:eastAsia="仿宋_GB2312"/>
          <w:color w:val="000000"/>
          <w:kern w:val="0"/>
          <w:sz w:val="32"/>
          <w:szCs w:val="32"/>
        </w:rPr>
        <w:t>m</w:t>
      </w:r>
      <w:r>
        <w:rPr>
          <w:rFonts w:hint="eastAsia" w:eastAsia="仿宋_GB2312"/>
          <w:color w:val="000000"/>
          <w:kern w:val="0"/>
          <w:sz w:val="32"/>
          <w:szCs w:val="32"/>
        </w:rPr>
        <w:t>基因突变与</w:t>
      </w:r>
      <w:r>
        <w:rPr>
          <w:rFonts w:eastAsia="仿宋_GB2312"/>
          <w:color w:val="000000"/>
          <w:kern w:val="0"/>
          <w:sz w:val="32"/>
          <w:szCs w:val="32"/>
        </w:rPr>
        <w:t>nn</w:t>
      </w:r>
      <w:r>
        <w:rPr>
          <w:rFonts w:hint="eastAsia" w:eastAsia="仿宋_GB2312"/>
          <w:color w:val="000000"/>
          <w:kern w:val="0"/>
          <w:sz w:val="32"/>
          <w:szCs w:val="32"/>
        </w:rPr>
        <w:t>药物耐药相关。</w:t>
      </w:r>
    </w:p>
    <w:p w14:paraId="69AFEECD">
      <w:pPr>
        <w:spacing w:line="580" w:lineRule="exact"/>
        <w:ind w:firstLine="640" w:firstLineChars="200"/>
        <w:rPr>
          <w:rFonts w:eastAsia="仿宋_GB2312"/>
          <w:color w:val="000000"/>
          <w:kern w:val="0"/>
          <w:sz w:val="32"/>
          <w:szCs w:val="32"/>
        </w:rPr>
      </w:pPr>
      <w:r>
        <w:rPr>
          <w:rFonts w:hint="eastAsia" w:eastAsia="仿宋_GB2312"/>
          <w:color w:val="000000"/>
          <w:kern w:val="0"/>
          <w:sz w:val="32"/>
          <w:szCs w:val="32"/>
        </w:rPr>
        <w:t>针对双功能试剂，</w:t>
      </w:r>
      <w:r>
        <w:rPr>
          <w:rFonts w:eastAsia="仿宋_GB2312"/>
          <w:color w:val="000000"/>
          <w:kern w:val="0"/>
          <w:sz w:val="32"/>
          <w:szCs w:val="32"/>
        </w:rPr>
        <w:t>预期用途可表述为：</w:t>
      </w:r>
    </w:p>
    <w:p w14:paraId="64ACC9BA">
      <w:pPr>
        <w:spacing w:line="580" w:lineRule="exact"/>
        <w:ind w:firstLine="640" w:firstLineChars="200"/>
        <w:rPr>
          <w:rFonts w:eastAsia="仿宋_GB2312"/>
          <w:color w:val="000000"/>
          <w:sz w:val="32"/>
          <w:szCs w:val="32"/>
        </w:rPr>
      </w:pPr>
      <w:r>
        <w:rPr>
          <w:rFonts w:hint="eastAsia" w:eastAsia="仿宋_GB2312"/>
          <w:color w:val="000000"/>
          <w:sz w:val="32"/>
          <w:szCs w:val="32"/>
        </w:rPr>
        <w:t>1.针对a类试剂：本产品用于体外定性检测x</w:t>
      </w:r>
      <w:r>
        <w:rPr>
          <w:rFonts w:eastAsia="仿宋_GB2312"/>
          <w:color w:val="000000"/>
          <w:sz w:val="32"/>
          <w:szCs w:val="32"/>
        </w:rPr>
        <w:t>x</w:t>
      </w:r>
      <w:r>
        <w:rPr>
          <w:rFonts w:hint="eastAsia" w:eastAsia="仿宋_GB2312"/>
          <w:color w:val="000000"/>
          <w:sz w:val="32"/>
          <w:szCs w:val="32"/>
        </w:rPr>
        <w:t>样本中的结核分枝杆菌复合群核酸及y</w:t>
      </w:r>
      <w:r>
        <w:rPr>
          <w:rFonts w:eastAsia="仿宋_GB2312"/>
          <w:color w:val="000000"/>
          <w:sz w:val="32"/>
          <w:szCs w:val="32"/>
        </w:rPr>
        <w:t>y</w:t>
      </w:r>
      <w:r>
        <w:rPr>
          <w:rFonts w:hint="eastAsia" w:eastAsia="仿宋_GB2312"/>
          <w:color w:val="000000"/>
          <w:sz w:val="32"/>
          <w:szCs w:val="32"/>
        </w:rPr>
        <w:t>耐药基因突变，</w:t>
      </w:r>
      <w:r>
        <w:rPr>
          <w:rFonts w:eastAsia="仿宋_GB2312"/>
          <w:color w:val="000000"/>
          <w:sz w:val="32"/>
          <w:szCs w:val="32"/>
        </w:rPr>
        <w:t>可检测的突变</w:t>
      </w:r>
      <w:r>
        <w:rPr>
          <w:rFonts w:hint="eastAsia" w:eastAsia="仿宋_GB2312"/>
          <w:color w:val="000000"/>
          <w:sz w:val="32"/>
          <w:szCs w:val="32"/>
        </w:rPr>
        <w:t>位点</w:t>
      </w:r>
      <w:r>
        <w:rPr>
          <w:rFonts w:eastAsia="仿宋_GB2312"/>
          <w:color w:val="000000"/>
          <w:sz w:val="32"/>
          <w:szCs w:val="32"/>
        </w:rPr>
        <w:t>包括zz，本产品可区分具体突变</w:t>
      </w:r>
      <w:r>
        <w:rPr>
          <w:rFonts w:hint="eastAsia" w:eastAsia="仿宋_GB2312"/>
          <w:color w:val="000000"/>
          <w:sz w:val="32"/>
          <w:szCs w:val="32"/>
        </w:rPr>
        <w:t>位点。</w:t>
      </w:r>
      <w:bookmarkStart w:id="3" w:name="OLE_LINK3"/>
      <w:bookmarkStart w:id="4" w:name="OLE_LINK4"/>
      <w:r>
        <w:rPr>
          <w:rFonts w:hint="eastAsia" w:eastAsia="仿宋_GB2312"/>
          <w:color w:val="000000"/>
          <w:sz w:val="32"/>
          <w:szCs w:val="32"/>
        </w:rPr>
        <w:t>其中，m</w:t>
      </w:r>
      <w:r>
        <w:rPr>
          <w:rFonts w:eastAsia="仿宋_GB2312"/>
          <w:color w:val="000000"/>
          <w:sz w:val="32"/>
          <w:szCs w:val="32"/>
        </w:rPr>
        <w:t>m</w:t>
      </w:r>
      <w:r>
        <w:rPr>
          <w:rFonts w:hint="eastAsia" w:eastAsia="仿宋_GB2312"/>
          <w:color w:val="000000"/>
          <w:sz w:val="32"/>
          <w:szCs w:val="32"/>
        </w:rPr>
        <w:t>基因突变与</w:t>
      </w:r>
      <w:r>
        <w:rPr>
          <w:rFonts w:eastAsia="仿宋_GB2312"/>
          <w:color w:val="000000"/>
          <w:sz w:val="32"/>
          <w:szCs w:val="32"/>
        </w:rPr>
        <w:t>nn</w:t>
      </w:r>
      <w:r>
        <w:rPr>
          <w:rFonts w:hint="eastAsia" w:eastAsia="仿宋_GB2312"/>
          <w:color w:val="000000"/>
          <w:sz w:val="32"/>
          <w:szCs w:val="32"/>
        </w:rPr>
        <w:t>药物耐药相关。</w:t>
      </w:r>
    </w:p>
    <w:bookmarkEnd w:id="3"/>
    <w:bookmarkEnd w:id="4"/>
    <w:p w14:paraId="4DC22A8B">
      <w:pPr>
        <w:spacing w:line="580" w:lineRule="exact"/>
        <w:ind w:firstLine="640" w:firstLineChars="200"/>
        <w:rPr>
          <w:rFonts w:eastAsia="仿宋_GB2312"/>
          <w:color w:val="000000"/>
          <w:sz w:val="32"/>
          <w:szCs w:val="32"/>
        </w:rPr>
      </w:pPr>
      <w:r>
        <w:rPr>
          <w:rFonts w:hint="eastAsia" w:eastAsia="仿宋_GB2312"/>
          <w:color w:val="000000"/>
          <w:sz w:val="32"/>
          <w:szCs w:val="32"/>
        </w:rPr>
        <w:t>2.针对b类试剂：本产品用于体外定性检测x</w:t>
      </w:r>
      <w:r>
        <w:rPr>
          <w:rFonts w:eastAsia="仿宋_GB2312"/>
          <w:color w:val="000000"/>
          <w:sz w:val="32"/>
          <w:szCs w:val="32"/>
        </w:rPr>
        <w:t>x</w:t>
      </w:r>
      <w:r>
        <w:rPr>
          <w:rFonts w:hint="eastAsia" w:eastAsia="仿宋_GB2312"/>
          <w:color w:val="000000"/>
          <w:sz w:val="32"/>
          <w:szCs w:val="32"/>
        </w:rPr>
        <w:t>样本中的结核分枝杆菌复合群核酸及y</w:t>
      </w:r>
      <w:r>
        <w:rPr>
          <w:rFonts w:eastAsia="仿宋_GB2312"/>
          <w:color w:val="000000"/>
          <w:sz w:val="32"/>
          <w:szCs w:val="32"/>
        </w:rPr>
        <w:t>y</w:t>
      </w:r>
      <w:r>
        <w:rPr>
          <w:rFonts w:hint="eastAsia" w:eastAsia="仿宋_GB2312"/>
          <w:color w:val="000000"/>
          <w:sz w:val="32"/>
          <w:szCs w:val="32"/>
        </w:rPr>
        <w:t>耐药基因突变，</w:t>
      </w:r>
      <w:r>
        <w:rPr>
          <w:rFonts w:eastAsia="仿宋_GB2312"/>
          <w:color w:val="000000"/>
          <w:sz w:val="32"/>
          <w:szCs w:val="32"/>
        </w:rPr>
        <w:t>可检测的突变</w:t>
      </w:r>
      <w:r>
        <w:rPr>
          <w:rFonts w:hint="eastAsia" w:eastAsia="仿宋_GB2312"/>
          <w:color w:val="000000"/>
          <w:sz w:val="32"/>
          <w:szCs w:val="32"/>
        </w:rPr>
        <w:t>位点</w:t>
      </w:r>
      <w:r>
        <w:rPr>
          <w:rFonts w:eastAsia="仿宋_GB2312"/>
          <w:color w:val="000000"/>
          <w:sz w:val="32"/>
          <w:szCs w:val="32"/>
        </w:rPr>
        <w:t>包括zz，本产品不区分具体突变</w:t>
      </w:r>
      <w:r>
        <w:rPr>
          <w:rFonts w:hint="eastAsia" w:eastAsia="仿宋_GB2312"/>
          <w:color w:val="000000"/>
          <w:sz w:val="32"/>
          <w:szCs w:val="32"/>
        </w:rPr>
        <w:t>位点。其中，m</w:t>
      </w:r>
      <w:r>
        <w:rPr>
          <w:rFonts w:eastAsia="仿宋_GB2312"/>
          <w:color w:val="000000"/>
          <w:sz w:val="32"/>
          <w:szCs w:val="32"/>
        </w:rPr>
        <w:t>m</w:t>
      </w:r>
      <w:r>
        <w:rPr>
          <w:rFonts w:hint="eastAsia" w:eastAsia="仿宋_GB2312"/>
          <w:color w:val="000000"/>
          <w:sz w:val="32"/>
          <w:szCs w:val="32"/>
        </w:rPr>
        <w:t>基因突变与</w:t>
      </w:r>
      <w:r>
        <w:rPr>
          <w:rFonts w:eastAsia="仿宋_GB2312"/>
          <w:color w:val="000000"/>
          <w:sz w:val="32"/>
          <w:szCs w:val="32"/>
        </w:rPr>
        <w:t>nn</w:t>
      </w:r>
      <w:r>
        <w:rPr>
          <w:rFonts w:hint="eastAsia" w:eastAsia="仿宋_GB2312"/>
          <w:color w:val="000000"/>
          <w:sz w:val="32"/>
          <w:szCs w:val="32"/>
        </w:rPr>
        <w:t>药物耐药相关。</w:t>
      </w:r>
    </w:p>
    <w:p w14:paraId="48B7F45B">
      <w:pPr>
        <w:spacing w:line="580" w:lineRule="exact"/>
        <w:ind w:firstLine="640" w:firstLineChars="200"/>
        <w:rPr>
          <w:rFonts w:eastAsia="仿宋_GB2312"/>
          <w:color w:val="000000"/>
          <w:sz w:val="32"/>
          <w:szCs w:val="32"/>
        </w:rPr>
      </w:pPr>
      <w:r>
        <w:rPr>
          <w:rFonts w:hint="eastAsia" w:eastAsia="仿宋_GB2312"/>
          <w:color w:val="000000"/>
          <w:sz w:val="32"/>
          <w:szCs w:val="32"/>
        </w:rPr>
        <w:t>3.针对</w:t>
      </w:r>
      <w:r>
        <w:rPr>
          <w:rFonts w:eastAsia="仿宋_GB2312"/>
          <w:color w:val="000000"/>
          <w:sz w:val="32"/>
          <w:szCs w:val="32"/>
        </w:rPr>
        <w:t>c</w:t>
      </w:r>
      <w:r>
        <w:rPr>
          <w:rFonts w:hint="eastAsia" w:eastAsia="仿宋_GB2312"/>
          <w:color w:val="000000"/>
          <w:sz w:val="32"/>
          <w:szCs w:val="32"/>
        </w:rPr>
        <w:t>类试剂：本产品用于体外定性检测x</w:t>
      </w:r>
      <w:r>
        <w:rPr>
          <w:rFonts w:eastAsia="仿宋_GB2312"/>
          <w:color w:val="000000"/>
          <w:sz w:val="32"/>
          <w:szCs w:val="32"/>
        </w:rPr>
        <w:t>x</w:t>
      </w:r>
      <w:r>
        <w:rPr>
          <w:rFonts w:hint="eastAsia" w:eastAsia="仿宋_GB2312"/>
          <w:color w:val="000000"/>
          <w:sz w:val="32"/>
          <w:szCs w:val="32"/>
        </w:rPr>
        <w:t>样本中的结核分枝杆菌复合群核酸及y</w:t>
      </w:r>
      <w:r>
        <w:rPr>
          <w:rFonts w:eastAsia="仿宋_GB2312"/>
          <w:color w:val="000000"/>
          <w:sz w:val="32"/>
          <w:szCs w:val="32"/>
        </w:rPr>
        <w:t>y</w:t>
      </w:r>
      <w:r>
        <w:rPr>
          <w:rFonts w:hint="eastAsia" w:eastAsia="仿宋_GB2312"/>
          <w:color w:val="000000"/>
          <w:sz w:val="32"/>
          <w:szCs w:val="32"/>
        </w:rPr>
        <w:t>耐药基因突变，</w:t>
      </w:r>
      <w:r>
        <w:rPr>
          <w:rFonts w:eastAsia="仿宋_GB2312"/>
          <w:color w:val="000000"/>
          <w:sz w:val="32"/>
          <w:szCs w:val="32"/>
        </w:rPr>
        <w:t>本产品无法明确具体突变</w:t>
      </w:r>
      <w:r>
        <w:rPr>
          <w:rFonts w:hint="eastAsia" w:eastAsia="仿宋_GB2312"/>
          <w:color w:val="000000"/>
          <w:sz w:val="32"/>
          <w:szCs w:val="32"/>
        </w:rPr>
        <w:t>位点</w:t>
      </w:r>
      <w:r>
        <w:rPr>
          <w:rFonts w:eastAsia="仿宋_GB2312"/>
          <w:color w:val="000000"/>
          <w:sz w:val="32"/>
          <w:szCs w:val="32"/>
        </w:rPr>
        <w:t>。</w:t>
      </w:r>
      <w:r>
        <w:rPr>
          <w:rFonts w:hint="eastAsia" w:eastAsia="仿宋_GB2312"/>
          <w:color w:val="000000"/>
          <w:sz w:val="32"/>
          <w:szCs w:val="32"/>
        </w:rPr>
        <w:t>其中，m</w:t>
      </w:r>
      <w:r>
        <w:rPr>
          <w:rFonts w:eastAsia="仿宋_GB2312"/>
          <w:color w:val="000000"/>
          <w:sz w:val="32"/>
          <w:szCs w:val="32"/>
        </w:rPr>
        <w:t>m</w:t>
      </w:r>
      <w:r>
        <w:rPr>
          <w:rFonts w:hint="eastAsia" w:eastAsia="仿宋_GB2312"/>
          <w:color w:val="000000"/>
          <w:sz w:val="32"/>
          <w:szCs w:val="32"/>
        </w:rPr>
        <w:t>基因突变与</w:t>
      </w:r>
      <w:r>
        <w:rPr>
          <w:rFonts w:eastAsia="仿宋_GB2312"/>
          <w:color w:val="000000"/>
          <w:sz w:val="32"/>
          <w:szCs w:val="32"/>
        </w:rPr>
        <w:t>nn</w:t>
      </w:r>
      <w:r>
        <w:rPr>
          <w:rFonts w:hint="eastAsia" w:eastAsia="仿宋_GB2312"/>
          <w:color w:val="000000"/>
          <w:sz w:val="32"/>
          <w:szCs w:val="32"/>
        </w:rPr>
        <w:t>药物耐药相关。</w:t>
      </w:r>
    </w:p>
    <w:p w14:paraId="515FA548">
      <w:pPr>
        <w:spacing w:line="580" w:lineRule="exact"/>
        <w:ind w:firstLine="640" w:firstLineChars="200"/>
        <w:rPr>
          <w:rFonts w:eastAsia="仿宋_GB2312"/>
          <w:color w:val="000000"/>
          <w:kern w:val="0"/>
          <w:sz w:val="32"/>
          <w:szCs w:val="32"/>
        </w:rPr>
      </w:pPr>
      <w:r>
        <w:rPr>
          <w:rFonts w:hint="eastAsia" w:eastAsia="仿宋_GB2312"/>
          <w:color w:val="000000"/>
          <w:sz w:val="32"/>
          <w:szCs w:val="32"/>
        </w:rPr>
        <w:t>本指导原则的技术要求是基于荧光探针PCR方法确立的，</w:t>
      </w:r>
      <w:r>
        <w:rPr>
          <w:rFonts w:hint="eastAsia" w:eastAsia="仿宋_GB2312"/>
          <w:color w:val="000000"/>
          <w:kern w:val="0"/>
          <w:sz w:val="32"/>
          <w:szCs w:val="32"/>
        </w:rPr>
        <w:t>对于线性杂交、基因芯片或测序等其他核酸检测技术</w:t>
      </w:r>
      <w:r>
        <w:rPr>
          <w:rFonts w:eastAsia="仿宋_GB2312"/>
          <w:color w:val="000000"/>
          <w:kern w:val="0"/>
          <w:sz w:val="32"/>
          <w:szCs w:val="32"/>
        </w:rPr>
        <w:t>，可能部分要求不完全适用或本指导原则所述技术指标不够全面，</w:t>
      </w:r>
      <w:r>
        <w:rPr>
          <w:rFonts w:hint="eastAsia" w:eastAsia="仿宋_GB2312"/>
          <w:color w:val="000000"/>
          <w:kern w:val="0"/>
          <w:sz w:val="32"/>
          <w:szCs w:val="32"/>
        </w:rPr>
        <w:t>注册</w:t>
      </w:r>
      <w:r>
        <w:rPr>
          <w:rFonts w:eastAsia="仿宋_GB2312"/>
          <w:color w:val="000000"/>
          <w:kern w:val="0"/>
          <w:sz w:val="32"/>
          <w:szCs w:val="32"/>
        </w:rPr>
        <w:t>申请人可根据产品特性选择合适的方法进行评价和验证</w:t>
      </w:r>
      <w:r>
        <w:rPr>
          <w:rFonts w:hint="eastAsia" w:eastAsia="仿宋_GB2312"/>
          <w:color w:val="000000"/>
          <w:kern w:val="0"/>
          <w:sz w:val="32"/>
          <w:szCs w:val="32"/>
          <w:lang w:eastAsia="zh-CN"/>
        </w:rPr>
        <w:t>，</w:t>
      </w:r>
      <w:r>
        <w:rPr>
          <w:rFonts w:eastAsia="仿宋_GB2312"/>
          <w:color w:val="000000"/>
          <w:kern w:val="0"/>
          <w:sz w:val="32"/>
          <w:szCs w:val="32"/>
        </w:rPr>
        <w:t>并验证其科学合理性，同时确认性能评价的充分性。本指导原则适用于进行</w:t>
      </w:r>
      <w:r>
        <w:rPr>
          <w:rFonts w:hint="eastAsia" w:eastAsia="仿宋_GB2312"/>
          <w:color w:val="000000"/>
          <w:kern w:val="0"/>
          <w:sz w:val="32"/>
          <w:szCs w:val="32"/>
        </w:rPr>
        <w:t>产品</w:t>
      </w:r>
      <w:r>
        <w:rPr>
          <w:rFonts w:eastAsia="仿宋_GB2312"/>
          <w:color w:val="000000"/>
          <w:kern w:val="0"/>
          <w:sz w:val="32"/>
          <w:szCs w:val="32"/>
        </w:rPr>
        <w:t>注册申报和变更</w:t>
      </w:r>
      <w:r>
        <w:rPr>
          <w:rFonts w:hint="eastAsia" w:eastAsia="仿宋_GB2312"/>
          <w:color w:val="000000"/>
          <w:kern w:val="0"/>
          <w:sz w:val="32"/>
          <w:szCs w:val="32"/>
        </w:rPr>
        <w:t>注册</w:t>
      </w:r>
      <w:r>
        <w:rPr>
          <w:rFonts w:eastAsia="仿宋_GB2312"/>
          <w:color w:val="000000"/>
          <w:kern w:val="0"/>
          <w:sz w:val="32"/>
          <w:szCs w:val="32"/>
        </w:rPr>
        <w:t>的</w:t>
      </w:r>
      <w:r>
        <w:rPr>
          <w:rFonts w:hint="eastAsia" w:eastAsia="仿宋_GB2312"/>
          <w:color w:val="000000"/>
          <w:kern w:val="0"/>
          <w:sz w:val="32"/>
          <w:szCs w:val="32"/>
        </w:rPr>
        <w:t>情形</w:t>
      </w:r>
      <w:r>
        <w:rPr>
          <w:rFonts w:eastAsia="仿宋_GB2312"/>
          <w:color w:val="000000"/>
          <w:kern w:val="0"/>
          <w:sz w:val="32"/>
          <w:szCs w:val="32"/>
        </w:rPr>
        <w:t>。</w:t>
      </w:r>
      <w:r>
        <w:rPr>
          <w:rFonts w:hint="eastAsia" w:eastAsia="仿宋_GB2312"/>
          <w:bCs/>
          <w:color w:val="000000"/>
          <w:sz w:val="32"/>
          <w:szCs w:val="32"/>
        </w:rPr>
        <w:t>本指导原则针对结核分枝杆菌复合群耐药基因突变检测试剂注册申报资料中的部分内容进行撰写，其他未尽事宜应当符合《关于公布体外诊断试剂注册申报资料要求和批准证明文件格式的公告》等相关法规要求。</w:t>
      </w:r>
    </w:p>
    <w:p w14:paraId="3C5B3CB8">
      <w:pPr>
        <w:spacing w:line="580" w:lineRule="exact"/>
        <w:ind w:firstLine="640" w:firstLineChars="200"/>
        <w:rPr>
          <w:rFonts w:eastAsia="黑体"/>
          <w:bCs/>
          <w:sz w:val="32"/>
          <w:szCs w:val="32"/>
        </w:rPr>
      </w:pPr>
      <w:r>
        <w:rPr>
          <w:rFonts w:eastAsia="黑体"/>
          <w:bCs/>
          <w:sz w:val="32"/>
          <w:szCs w:val="32"/>
        </w:rPr>
        <w:t>二、注册申报资料要求</w:t>
      </w:r>
      <w:bookmarkEnd w:id="2"/>
    </w:p>
    <w:p w14:paraId="67BA862F">
      <w:pPr>
        <w:spacing w:line="520" w:lineRule="exact"/>
        <w:ind w:firstLine="640" w:firstLineChars="200"/>
        <w:rPr>
          <w:rFonts w:eastAsia="楷体_GB2312"/>
          <w:sz w:val="32"/>
          <w:szCs w:val="32"/>
        </w:rPr>
      </w:pPr>
      <w:bookmarkStart w:id="5" w:name="_Toc375311131"/>
      <w:r>
        <w:rPr>
          <w:rFonts w:hint="eastAsia" w:ascii="楷体_GB2312" w:eastAsia="楷体_GB2312"/>
          <w:kern w:val="0"/>
          <w:sz w:val="32"/>
          <w:szCs w:val="32"/>
        </w:rPr>
        <w:t>（一）</w:t>
      </w:r>
      <w:r>
        <w:rPr>
          <w:rFonts w:hint="eastAsia" w:eastAsia="楷体_GB2312"/>
          <w:sz w:val="32"/>
          <w:szCs w:val="32"/>
        </w:rPr>
        <w:t>监管信息</w:t>
      </w:r>
    </w:p>
    <w:p w14:paraId="1BF444DB">
      <w:pPr>
        <w:spacing w:line="520" w:lineRule="exact"/>
        <w:ind w:firstLine="640" w:firstLineChars="200"/>
        <w:rPr>
          <w:rFonts w:eastAsia="仿宋_GB2312"/>
          <w:sz w:val="32"/>
          <w:szCs w:val="28"/>
        </w:rPr>
      </w:pPr>
      <w:r>
        <w:rPr>
          <w:rFonts w:eastAsia="仿宋_GB2312"/>
          <w:sz w:val="32"/>
          <w:szCs w:val="28"/>
        </w:rPr>
        <w:t>1.</w:t>
      </w:r>
      <w:r>
        <w:rPr>
          <w:rFonts w:hint="eastAsia" w:eastAsia="仿宋_GB2312"/>
          <w:sz w:val="32"/>
          <w:szCs w:val="28"/>
        </w:rPr>
        <w:t>产品名称及分类编码</w:t>
      </w:r>
    </w:p>
    <w:p w14:paraId="2058FD87">
      <w:pPr>
        <w:spacing w:line="520" w:lineRule="exact"/>
        <w:ind w:firstLine="640" w:firstLineChars="200"/>
        <w:rPr>
          <w:rFonts w:eastAsia="仿宋_GB2312"/>
          <w:sz w:val="32"/>
        </w:rPr>
      </w:pPr>
      <w:r>
        <w:rPr>
          <w:rFonts w:hint="eastAsia" w:eastAsia="仿宋_GB2312"/>
          <w:sz w:val="32"/>
        </w:rPr>
        <w:t>产品名称应符合《体外诊断试剂注册与备案管理办法》及相关法规的要求，如结核分枝杆菌利福平耐药基因检测试剂盒（荧光PCR法）根据《体外诊断试剂分类目录》，与致病性病原体抗原、抗体以及核酸等检测相关的试剂管理类别为Ⅲ类，分类编码为</w:t>
      </w:r>
      <w:r>
        <w:rPr>
          <w:rFonts w:eastAsia="仿宋_GB2312"/>
          <w:sz w:val="32"/>
        </w:rPr>
        <w:t>6840</w:t>
      </w:r>
      <w:r>
        <w:rPr>
          <w:rFonts w:hint="eastAsia" w:eastAsia="仿宋_GB2312"/>
          <w:sz w:val="32"/>
        </w:rPr>
        <w:t>。</w:t>
      </w:r>
    </w:p>
    <w:p w14:paraId="16F4247F">
      <w:pPr>
        <w:spacing w:line="520" w:lineRule="exact"/>
        <w:ind w:firstLine="640" w:firstLineChars="200"/>
        <w:rPr>
          <w:rFonts w:eastAsia="仿宋_GB2312"/>
          <w:sz w:val="32"/>
          <w:szCs w:val="28"/>
        </w:rPr>
      </w:pPr>
      <w:r>
        <w:rPr>
          <w:rFonts w:eastAsia="仿宋_GB2312"/>
          <w:sz w:val="32"/>
          <w:szCs w:val="28"/>
        </w:rPr>
        <w:t>2.</w:t>
      </w:r>
      <w:r>
        <w:rPr>
          <w:rFonts w:hint="eastAsia" w:eastAsia="仿宋_GB2312"/>
          <w:sz w:val="32"/>
          <w:szCs w:val="28"/>
        </w:rPr>
        <w:t>其他信息</w:t>
      </w:r>
    </w:p>
    <w:p w14:paraId="7E786143">
      <w:pPr>
        <w:widowControl/>
        <w:spacing w:line="600" w:lineRule="exact"/>
        <w:ind w:firstLine="640" w:firstLineChars="200"/>
        <w:rPr>
          <w:rFonts w:eastAsia="黑体"/>
          <w:sz w:val="32"/>
          <w:szCs w:val="32"/>
        </w:rPr>
      </w:pPr>
      <w:r>
        <w:rPr>
          <w:rFonts w:hint="eastAsia" w:eastAsia="仿宋_GB2312"/>
          <w:sz w:val="32"/>
        </w:rPr>
        <w:t>还包括产品列表、关联文件、申报前与监管机构的联系情况和沟通记录以及符合性声明等文件。</w:t>
      </w:r>
    </w:p>
    <w:p w14:paraId="27E109EA">
      <w:pPr>
        <w:spacing w:line="560" w:lineRule="exact"/>
        <w:ind w:firstLine="640" w:firstLineChars="200"/>
        <w:rPr>
          <w:rFonts w:ascii="楷体_GB2312" w:eastAsia="楷体_GB2312"/>
          <w:kern w:val="0"/>
          <w:sz w:val="32"/>
          <w:szCs w:val="32"/>
        </w:rPr>
      </w:pPr>
      <w:r>
        <w:rPr>
          <w:rFonts w:hint="eastAsia" w:ascii="楷体_GB2312" w:eastAsia="楷体_GB2312"/>
          <w:kern w:val="0"/>
          <w:sz w:val="32"/>
          <w:szCs w:val="32"/>
        </w:rPr>
        <w:t>（二）综述资料</w:t>
      </w:r>
      <w:bookmarkEnd w:id="5"/>
    </w:p>
    <w:p w14:paraId="1078855D">
      <w:pPr>
        <w:spacing w:line="560" w:lineRule="exact"/>
        <w:ind w:firstLine="640" w:firstLineChars="200"/>
        <w:rPr>
          <w:rFonts w:eastAsia="仿宋_GB2312"/>
          <w:color w:val="000000"/>
          <w:kern w:val="0"/>
          <w:sz w:val="32"/>
          <w:szCs w:val="32"/>
        </w:rPr>
      </w:pPr>
      <w:bookmarkStart w:id="6" w:name="_Toc375311135"/>
      <w:r>
        <w:rPr>
          <w:rFonts w:eastAsia="仿宋_GB2312"/>
          <w:color w:val="000000"/>
          <w:kern w:val="0"/>
          <w:sz w:val="32"/>
          <w:szCs w:val="32"/>
        </w:rPr>
        <w:t>综述资料主要包括</w:t>
      </w:r>
      <w:r>
        <w:rPr>
          <w:rFonts w:eastAsia="仿宋_GB2312"/>
          <w:color w:val="000000"/>
          <w:sz w:val="32"/>
          <w:szCs w:val="32"/>
        </w:rPr>
        <w:t>概述、产品描述、预期用途、申报产品上市历史及其他需说明的内容</w:t>
      </w:r>
      <w:r>
        <w:rPr>
          <w:rFonts w:hint="eastAsia" w:eastAsia="仿宋_GB2312"/>
          <w:color w:val="000000"/>
          <w:sz w:val="32"/>
          <w:szCs w:val="32"/>
        </w:rPr>
        <w:t>等</w:t>
      </w:r>
      <w:r>
        <w:rPr>
          <w:rFonts w:eastAsia="仿宋_GB2312"/>
          <w:color w:val="000000"/>
          <w:sz w:val="32"/>
          <w:szCs w:val="32"/>
        </w:rPr>
        <w:t>。</w:t>
      </w:r>
      <w:r>
        <w:rPr>
          <w:rFonts w:hint="eastAsia" w:eastAsia="仿宋_GB2312"/>
          <w:color w:val="000000"/>
          <w:kern w:val="0"/>
          <w:sz w:val="32"/>
          <w:szCs w:val="32"/>
        </w:rPr>
        <w:t>应详述申报产品采用的技术原理与检测流程，</w:t>
      </w:r>
      <w:r>
        <w:rPr>
          <w:rFonts w:eastAsia="仿宋_GB2312"/>
          <w:color w:val="000000"/>
          <w:kern w:val="0"/>
          <w:sz w:val="32"/>
          <w:szCs w:val="32"/>
        </w:rPr>
        <w:t>着重从</w:t>
      </w:r>
      <w:r>
        <w:rPr>
          <w:rFonts w:hint="eastAsia" w:eastAsia="仿宋_GB2312"/>
          <w:color w:val="000000"/>
          <w:kern w:val="0"/>
          <w:sz w:val="32"/>
          <w:szCs w:val="32"/>
        </w:rPr>
        <w:t>样本类型、</w:t>
      </w:r>
      <w:r>
        <w:rPr>
          <w:rFonts w:eastAsia="仿宋_GB2312"/>
          <w:color w:val="000000"/>
          <w:kern w:val="0"/>
          <w:sz w:val="32"/>
          <w:szCs w:val="32"/>
        </w:rPr>
        <w:t>检测</w:t>
      </w:r>
      <w:r>
        <w:rPr>
          <w:rFonts w:hint="eastAsia" w:eastAsia="仿宋_GB2312"/>
          <w:color w:val="000000"/>
          <w:kern w:val="0"/>
          <w:sz w:val="32"/>
          <w:szCs w:val="32"/>
        </w:rPr>
        <w:t>靶标及突变类型</w:t>
      </w:r>
      <w:r>
        <w:rPr>
          <w:rFonts w:eastAsia="仿宋_GB2312"/>
          <w:color w:val="000000"/>
          <w:kern w:val="0"/>
          <w:sz w:val="32"/>
          <w:szCs w:val="32"/>
        </w:rPr>
        <w:t>、</w:t>
      </w:r>
      <w:r>
        <w:rPr>
          <w:rFonts w:hint="eastAsia" w:eastAsia="仿宋_GB2312"/>
          <w:color w:val="000000"/>
          <w:kern w:val="0"/>
          <w:sz w:val="32"/>
          <w:szCs w:val="32"/>
        </w:rPr>
        <w:t>检测原理、</w:t>
      </w:r>
      <w:r>
        <w:rPr>
          <w:rFonts w:eastAsia="仿宋_GB2312"/>
          <w:color w:val="000000"/>
          <w:kern w:val="0"/>
          <w:sz w:val="32"/>
          <w:szCs w:val="32"/>
        </w:rPr>
        <w:t>方法学</w:t>
      </w:r>
      <w:r>
        <w:rPr>
          <w:rFonts w:hint="eastAsia" w:eastAsia="仿宋_GB2312"/>
          <w:color w:val="000000"/>
          <w:kern w:val="0"/>
          <w:sz w:val="32"/>
          <w:szCs w:val="32"/>
        </w:rPr>
        <w:t>、产品组成、判读规则、反应体系、分析性能及临床性能</w:t>
      </w:r>
      <w:r>
        <w:rPr>
          <w:rFonts w:eastAsia="仿宋_GB2312"/>
          <w:color w:val="000000"/>
          <w:kern w:val="0"/>
          <w:sz w:val="32"/>
          <w:szCs w:val="32"/>
        </w:rPr>
        <w:t>等方面</w:t>
      </w:r>
      <w:r>
        <w:rPr>
          <w:rFonts w:hint="eastAsia" w:eastAsia="仿宋_GB2312"/>
          <w:color w:val="000000"/>
          <w:kern w:val="0"/>
          <w:sz w:val="32"/>
          <w:szCs w:val="32"/>
        </w:rPr>
        <w:t>详述</w:t>
      </w:r>
      <w:r>
        <w:rPr>
          <w:rFonts w:eastAsia="仿宋_GB2312"/>
          <w:color w:val="000000"/>
          <w:kern w:val="0"/>
          <w:sz w:val="32"/>
          <w:szCs w:val="32"/>
        </w:rPr>
        <w:t>申报产品与已获批</w:t>
      </w:r>
      <w:r>
        <w:rPr>
          <w:rFonts w:hint="eastAsia" w:eastAsia="仿宋_GB2312"/>
          <w:color w:val="000000"/>
          <w:kern w:val="0"/>
          <w:sz w:val="32"/>
          <w:szCs w:val="32"/>
        </w:rPr>
        <w:t>上市</w:t>
      </w:r>
      <w:r>
        <w:rPr>
          <w:rFonts w:eastAsia="仿宋_GB2312"/>
          <w:color w:val="000000"/>
          <w:kern w:val="0"/>
          <w:sz w:val="32"/>
          <w:szCs w:val="32"/>
        </w:rPr>
        <w:t>的同类产品之间的</w:t>
      </w:r>
      <w:r>
        <w:rPr>
          <w:rFonts w:hint="eastAsia" w:eastAsia="仿宋_GB2312"/>
          <w:color w:val="000000"/>
          <w:kern w:val="0"/>
          <w:sz w:val="32"/>
          <w:szCs w:val="32"/>
        </w:rPr>
        <w:t>异同</w:t>
      </w:r>
      <w:r>
        <w:rPr>
          <w:rFonts w:eastAsia="仿宋_GB2312"/>
          <w:color w:val="000000"/>
          <w:kern w:val="0"/>
          <w:sz w:val="32"/>
          <w:szCs w:val="32"/>
        </w:rPr>
        <w:t>。提交</w:t>
      </w:r>
      <w:r>
        <w:rPr>
          <w:rFonts w:hint="eastAsia" w:eastAsia="仿宋_GB2312"/>
          <w:color w:val="000000"/>
          <w:kern w:val="0"/>
          <w:sz w:val="32"/>
          <w:szCs w:val="32"/>
        </w:rPr>
        <w:t>靶标及突变类型选择的</w:t>
      </w:r>
      <w:r>
        <w:rPr>
          <w:rFonts w:eastAsia="仿宋_GB2312"/>
          <w:color w:val="000000"/>
          <w:kern w:val="0"/>
          <w:sz w:val="32"/>
          <w:szCs w:val="32"/>
        </w:rPr>
        <w:t>详实充分的科学证据，包括：</w:t>
      </w:r>
      <w:r>
        <w:rPr>
          <w:rFonts w:hint="eastAsia" w:eastAsia="仿宋_GB2312"/>
          <w:color w:val="000000"/>
          <w:kern w:val="0"/>
          <w:sz w:val="32"/>
          <w:szCs w:val="32"/>
        </w:rPr>
        <w:t>基因位置、</w:t>
      </w:r>
      <w:r>
        <w:rPr>
          <w:rFonts w:eastAsia="仿宋_GB2312"/>
          <w:color w:val="000000"/>
          <w:kern w:val="0"/>
          <w:sz w:val="32"/>
          <w:szCs w:val="32"/>
        </w:rPr>
        <w:t>突变区域</w:t>
      </w:r>
      <w:r>
        <w:rPr>
          <w:rFonts w:hint="eastAsia" w:eastAsia="仿宋_GB2312"/>
          <w:color w:val="000000"/>
          <w:kern w:val="0"/>
          <w:sz w:val="32"/>
          <w:szCs w:val="32"/>
        </w:rPr>
        <w:t>的选择</w:t>
      </w:r>
      <w:r>
        <w:rPr>
          <w:rFonts w:eastAsia="仿宋_GB2312"/>
          <w:color w:val="000000"/>
          <w:kern w:val="0"/>
          <w:sz w:val="32"/>
          <w:szCs w:val="32"/>
        </w:rPr>
        <w:t>、突变类型与结核分枝杆菌复合群表型耐药的相关性以及突变检测的临床意义</w:t>
      </w:r>
      <w:r>
        <w:rPr>
          <w:rFonts w:hint="eastAsia" w:eastAsia="仿宋_GB2312"/>
          <w:color w:val="000000"/>
          <w:kern w:val="0"/>
          <w:sz w:val="32"/>
          <w:szCs w:val="32"/>
        </w:rPr>
        <w:t>等</w:t>
      </w:r>
      <w:r>
        <w:rPr>
          <w:rFonts w:eastAsia="仿宋_GB2312"/>
          <w:color w:val="000000"/>
          <w:kern w:val="0"/>
          <w:sz w:val="32"/>
          <w:szCs w:val="32"/>
        </w:rPr>
        <w:t>，证明申报产品的检测</w:t>
      </w:r>
      <w:r>
        <w:rPr>
          <w:rFonts w:hint="eastAsia" w:eastAsia="仿宋_GB2312"/>
          <w:color w:val="000000"/>
          <w:kern w:val="0"/>
          <w:sz w:val="32"/>
          <w:szCs w:val="32"/>
        </w:rPr>
        <w:t>靶标</w:t>
      </w:r>
      <w:r>
        <w:rPr>
          <w:rFonts w:eastAsia="仿宋_GB2312"/>
          <w:color w:val="000000"/>
          <w:kern w:val="0"/>
          <w:sz w:val="32"/>
          <w:szCs w:val="32"/>
        </w:rPr>
        <w:t>具有明确的临床意义。</w:t>
      </w:r>
    </w:p>
    <w:p w14:paraId="3BB7A232">
      <w:pPr>
        <w:spacing w:line="560" w:lineRule="exact"/>
        <w:ind w:firstLine="640" w:firstLineChars="200"/>
        <w:rPr>
          <w:rFonts w:ascii="楷体_GB2312" w:eastAsia="楷体_GB2312"/>
          <w:kern w:val="0"/>
          <w:sz w:val="32"/>
          <w:szCs w:val="32"/>
        </w:rPr>
      </w:pPr>
      <w:r>
        <w:rPr>
          <w:rFonts w:hint="eastAsia" w:ascii="楷体_GB2312" w:eastAsia="楷体_GB2312"/>
          <w:kern w:val="0"/>
          <w:sz w:val="32"/>
          <w:szCs w:val="32"/>
        </w:rPr>
        <w:t>（三）非临床资料</w:t>
      </w:r>
    </w:p>
    <w:p w14:paraId="220EB68F">
      <w:pPr>
        <w:spacing w:line="560" w:lineRule="exact"/>
        <w:ind w:firstLine="640" w:firstLineChars="200"/>
        <w:rPr>
          <w:rFonts w:ascii="仿宋_GB2312" w:eastAsia="仿宋_GB2312"/>
          <w:kern w:val="0"/>
          <w:sz w:val="32"/>
          <w:szCs w:val="32"/>
        </w:rPr>
      </w:pPr>
      <w:r>
        <w:rPr>
          <w:rFonts w:hint="eastAsia" w:ascii="仿宋_GB2312" w:eastAsia="仿宋_GB2312"/>
          <w:kern w:val="0"/>
          <w:sz w:val="32"/>
          <w:szCs w:val="32"/>
        </w:rPr>
        <w:t>1.产品技术要求及检验报告</w:t>
      </w:r>
    </w:p>
    <w:p w14:paraId="3A895E08">
      <w:pPr>
        <w:spacing w:line="560" w:lineRule="exact"/>
        <w:ind w:firstLine="640" w:firstLineChars="200"/>
        <w:rPr>
          <w:rFonts w:ascii="仿宋_GB2312" w:eastAsia="仿宋_GB2312"/>
          <w:kern w:val="0"/>
          <w:sz w:val="32"/>
          <w:szCs w:val="32"/>
        </w:rPr>
      </w:pPr>
      <w:r>
        <w:rPr>
          <w:rFonts w:hint="eastAsia" w:ascii="仿宋_GB2312" w:eastAsia="仿宋_GB2312"/>
          <w:kern w:val="0"/>
          <w:sz w:val="32"/>
          <w:szCs w:val="32"/>
        </w:rPr>
        <w:t>注册申请人应当在原材料质量和生产工艺稳定的前提下，根据产品研制、前期评价等结果，依据国家标准、行业标准及有关文献资料，结合产品特性按照《医疗器械产品技术要求编写指导原则》的要求编写。该类产品作为第三类体外诊断试剂，应当以附录形式明确主要原材料以及生产工艺要求。</w:t>
      </w:r>
    </w:p>
    <w:p w14:paraId="11049144">
      <w:pPr>
        <w:spacing w:line="560" w:lineRule="exact"/>
        <w:ind w:firstLine="640" w:firstLineChars="200"/>
        <w:rPr>
          <w:rFonts w:ascii="仿宋_GB2312" w:eastAsia="仿宋_GB2312"/>
          <w:kern w:val="0"/>
          <w:sz w:val="32"/>
          <w:szCs w:val="32"/>
        </w:rPr>
      </w:pPr>
      <w:r>
        <w:rPr>
          <w:rFonts w:hint="eastAsia" w:ascii="仿宋_GB2312" w:eastAsia="仿宋_GB2312"/>
          <w:kern w:val="0"/>
          <w:sz w:val="32"/>
          <w:szCs w:val="32"/>
        </w:rPr>
        <w:t>该类试剂的产品检验主要包括以下性能指标：物理性状、阴/阳性参考品符合率、精密度和最低检测限等。</w:t>
      </w:r>
    </w:p>
    <w:p w14:paraId="2551F7BF">
      <w:pPr>
        <w:spacing w:line="560" w:lineRule="exact"/>
        <w:ind w:firstLine="640" w:firstLineChars="200"/>
        <w:rPr>
          <w:rFonts w:ascii="仿宋_GB2312" w:eastAsia="仿宋_GB2312"/>
          <w:kern w:val="0"/>
          <w:sz w:val="32"/>
          <w:szCs w:val="32"/>
        </w:rPr>
      </w:pPr>
      <w:r>
        <w:rPr>
          <w:rFonts w:hint="eastAsia" w:ascii="仿宋_GB2312" w:eastAsia="仿宋_GB2312"/>
          <w:kern w:val="0"/>
          <w:sz w:val="32"/>
          <w:szCs w:val="32"/>
        </w:rPr>
        <w:t>如有适用的国家标准品，技术要求中应体现国家标准品的相关要求，并使用国家标准品对三批产品进行检验。目前，已公布结核分枝杆菌利福平耐药基因检测试剂用国家参考品、结核分枝杆菌异烟肼耐药基因检测试剂用国家参考品，如申报产品适用，应当使用国家参考品进行检验。如申报产品设计的基因突变位点部分未包含在相应的国家参考品中，用国家参考品检验的同时，还需采用企业参考品中包含该基因突变位点的样本进行检验。</w:t>
      </w:r>
    </w:p>
    <w:p w14:paraId="21D37F18">
      <w:pPr>
        <w:spacing w:line="560" w:lineRule="exact"/>
        <w:ind w:firstLine="640" w:firstLineChars="200"/>
        <w:rPr>
          <w:rFonts w:ascii="仿宋_GB2312" w:eastAsia="仿宋_GB2312"/>
          <w:kern w:val="0"/>
          <w:sz w:val="32"/>
          <w:szCs w:val="32"/>
        </w:rPr>
      </w:pPr>
      <w:r>
        <w:rPr>
          <w:rFonts w:hint="eastAsia" w:ascii="仿宋_GB2312" w:eastAsia="仿宋_GB2312"/>
          <w:kern w:val="0"/>
          <w:sz w:val="32"/>
          <w:szCs w:val="32"/>
        </w:rPr>
        <w:t>如后续有适用的国家标准、行业标准，产品技术要求的相关要求建议不低于相应的要求。</w:t>
      </w:r>
    </w:p>
    <w:p w14:paraId="546FE7E4">
      <w:pPr>
        <w:snapToGrid w:val="0"/>
        <w:spacing w:line="520" w:lineRule="exact"/>
        <w:ind w:firstLine="640" w:firstLineChars="200"/>
        <w:rPr>
          <w:rFonts w:eastAsia="仿宋_GB2312"/>
          <w:color w:val="000000"/>
          <w:sz w:val="32"/>
          <w:szCs w:val="32"/>
        </w:rPr>
      </w:pPr>
      <w:r>
        <w:rPr>
          <w:rFonts w:eastAsia="仿宋_GB2312"/>
          <w:color w:val="000000"/>
          <w:sz w:val="32"/>
          <w:szCs w:val="32"/>
        </w:rPr>
        <w:t>2. 分析性能研究</w:t>
      </w:r>
    </w:p>
    <w:p w14:paraId="2AD25539">
      <w:pPr>
        <w:snapToGrid w:val="0"/>
        <w:spacing w:line="520" w:lineRule="exact"/>
        <w:ind w:firstLine="640" w:firstLineChars="200"/>
        <w:rPr>
          <w:rFonts w:eastAsia="仿宋_GB2312"/>
          <w:sz w:val="32"/>
          <w:szCs w:val="32"/>
        </w:rPr>
      </w:pPr>
      <w:r>
        <w:rPr>
          <w:rFonts w:eastAsia="仿宋_GB2312"/>
          <w:sz w:val="32"/>
          <w:szCs w:val="32"/>
        </w:rPr>
        <w:t>注册申请人应采用在符合质量管理体系的环境下生产的试剂盒进行所有分析性能研究，提交具体研究方法、试验方案、试验数据、统计分析等详细资料。如申报产品适用不同的机型，需要提交采用不同机型进行性能评估的资料。如申报产品包含不同的包装规格，需要对各包装规格进行分析或验证。</w:t>
      </w:r>
    </w:p>
    <w:p w14:paraId="7E3C785F">
      <w:pPr>
        <w:spacing w:line="560" w:lineRule="exact"/>
        <w:ind w:firstLine="640" w:firstLineChars="200"/>
        <w:rPr>
          <w:rFonts w:eastAsia="仿宋_GB2312"/>
          <w:strike/>
          <w:color w:val="000000"/>
          <w:kern w:val="0"/>
          <w:sz w:val="32"/>
          <w:szCs w:val="32"/>
        </w:rPr>
      </w:pPr>
      <w:r>
        <w:rPr>
          <w:rFonts w:eastAsia="仿宋_GB2312"/>
          <w:sz w:val="32"/>
          <w:szCs w:val="32"/>
        </w:rPr>
        <w:t>分析性能评估所用样本的基本信息均需明确，如样本来源、样本类型、</w:t>
      </w:r>
      <w:r>
        <w:rPr>
          <w:rFonts w:hint="eastAsia" w:eastAsia="仿宋_GB2312"/>
          <w:sz w:val="32"/>
          <w:szCs w:val="32"/>
        </w:rPr>
        <w:t>耐药突变基因型、样本</w:t>
      </w:r>
      <w:r>
        <w:rPr>
          <w:rFonts w:eastAsia="仿宋_GB2312"/>
          <w:sz w:val="32"/>
          <w:szCs w:val="32"/>
        </w:rPr>
        <w:t>采集、处理方式、</w:t>
      </w:r>
      <w:r>
        <w:rPr>
          <w:rFonts w:hint="eastAsia" w:eastAsia="仿宋_GB2312"/>
          <w:sz w:val="32"/>
          <w:szCs w:val="32"/>
        </w:rPr>
        <w:t>制备方法、</w:t>
      </w:r>
      <w:r>
        <w:rPr>
          <w:rFonts w:eastAsia="仿宋_GB2312"/>
          <w:sz w:val="32"/>
          <w:szCs w:val="32"/>
        </w:rPr>
        <w:t>稀释方式、定值过程及数据等。</w:t>
      </w:r>
      <w:r>
        <w:rPr>
          <w:rFonts w:hint="eastAsia" w:eastAsia="仿宋_GB2312"/>
          <w:color w:val="000000"/>
          <w:sz w:val="32"/>
          <w:szCs w:val="32"/>
        </w:rPr>
        <w:t>应采用科学合理的方法确定研究用样本的耐药基因型和浓度水平</w:t>
      </w:r>
      <w:r>
        <w:rPr>
          <w:rFonts w:eastAsia="仿宋_GB2312"/>
          <w:color w:val="000000"/>
          <w:sz w:val="32"/>
          <w:szCs w:val="32"/>
        </w:rPr>
        <w:t>，</w:t>
      </w:r>
      <w:r>
        <w:rPr>
          <w:rFonts w:hint="eastAsia" w:eastAsia="仿宋_GB2312"/>
          <w:color w:val="000000"/>
          <w:sz w:val="32"/>
          <w:szCs w:val="32"/>
        </w:rPr>
        <w:t>并</w:t>
      </w:r>
      <w:r>
        <w:rPr>
          <w:rFonts w:eastAsia="仿宋_GB2312"/>
          <w:sz w:val="32"/>
          <w:szCs w:val="32"/>
        </w:rPr>
        <w:t>提交具体的试验资料。</w:t>
      </w:r>
    </w:p>
    <w:p w14:paraId="648F3801">
      <w:pPr>
        <w:spacing w:line="560" w:lineRule="exact"/>
        <w:ind w:firstLine="640" w:firstLineChars="200"/>
        <w:rPr>
          <w:rFonts w:eastAsia="仿宋_GB2312"/>
          <w:color w:val="000000"/>
          <w:kern w:val="0"/>
          <w:sz w:val="32"/>
          <w:szCs w:val="32"/>
        </w:rPr>
      </w:pPr>
      <w:r>
        <w:rPr>
          <w:rFonts w:eastAsia="仿宋_GB2312"/>
          <w:color w:val="000000"/>
          <w:kern w:val="0"/>
          <w:sz w:val="32"/>
          <w:szCs w:val="32"/>
        </w:rPr>
        <w:t>采用适宜方法进行菌株浓度的确认，</w:t>
      </w:r>
      <w:r>
        <w:rPr>
          <w:rFonts w:eastAsia="仿宋_GB2312"/>
          <w:bCs/>
          <w:color w:val="000000"/>
          <w:sz w:val="32"/>
          <w:szCs w:val="32"/>
        </w:rPr>
        <w:t>可采用铺板计数细菌集落形成单位（colony forming unit，CFU）的方法进行菌株浓度的确认，以CFU/mL作为菌株浓度的表示方式；</w:t>
      </w:r>
      <w:r>
        <w:rPr>
          <w:rFonts w:hint="eastAsia" w:eastAsia="仿宋_GB2312"/>
          <w:bCs/>
          <w:color w:val="000000"/>
          <w:sz w:val="32"/>
          <w:szCs w:val="32"/>
        </w:rPr>
        <w:t>如产品适用于国家参考品，</w:t>
      </w:r>
      <w:r>
        <w:rPr>
          <w:rFonts w:eastAsia="仿宋_GB2312"/>
          <w:bCs/>
          <w:color w:val="000000"/>
          <w:sz w:val="32"/>
          <w:szCs w:val="32"/>
        </w:rPr>
        <w:t>也可采用</w:t>
      </w:r>
      <w:r>
        <w:rPr>
          <w:rFonts w:hint="eastAsia" w:eastAsia="仿宋_GB2312"/>
          <w:bCs/>
          <w:color w:val="000000"/>
          <w:sz w:val="32"/>
          <w:szCs w:val="32"/>
        </w:rPr>
        <w:t>相应的</w:t>
      </w:r>
      <w:r>
        <w:rPr>
          <w:rFonts w:eastAsia="仿宋_GB2312"/>
          <w:bCs/>
          <w:color w:val="000000"/>
          <w:sz w:val="32"/>
          <w:szCs w:val="32"/>
        </w:rPr>
        <w:t>国家参考品对菌株浓度进行标定，以“个菌/mL”作为菌株浓度的表示方式。</w:t>
      </w:r>
    </w:p>
    <w:p w14:paraId="6003C23E">
      <w:pPr>
        <w:spacing w:line="600" w:lineRule="exact"/>
        <w:ind w:firstLine="640" w:firstLineChars="200"/>
        <w:rPr>
          <w:rFonts w:eastAsia="仿宋_GB2312"/>
          <w:sz w:val="32"/>
          <w:szCs w:val="32"/>
        </w:rPr>
      </w:pPr>
      <w:r>
        <w:rPr>
          <w:rFonts w:hint="eastAsia" w:eastAsia="仿宋_GB2312"/>
          <w:sz w:val="32"/>
          <w:szCs w:val="32"/>
        </w:rPr>
        <w:t>对于</w:t>
      </w:r>
      <w:r>
        <w:rPr>
          <w:rFonts w:eastAsia="仿宋_GB2312"/>
          <w:sz w:val="32"/>
          <w:szCs w:val="32"/>
        </w:rPr>
        <w:t>适用的不同样本类型应分别进行分析性能研究。</w:t>
      </w:r>
      <w:r>
        <w:rPr>
          <w:rFonts w:hint="eastAsia" w:eastAsia="仿宋_GB2312"/>
          <w:sz w:val="32"/>
          <w:szCs w:val="32"/>
        </w:rPr>
        <w:t>研究用样本一般应为临床样本或菌株。如采用菌株进行研究，需采用与适用样本类型一致的阴性基质。</w:t>
      </w:r>
    </w:p>
    <w:p w14:paraId="6C84A29F">
      <w:pPr>
        <w:spacing w:line="600" w:lineRule="exact"/>
        <w:ind w:firstLine="640" w:firstLineChars="200"/>
        <w:rPr>
          <w:rFonts w:eastAsia="仿宋_GB2312"/>
          <w:sz w:val="32"/>
          <w:szCs w:val="32"/>
        </w:rPr>
      </w:pPr>
      <w:r>
        <w:rPr>
          <w:rFonts w:hint="eastAsia" w:eastAsia="仿宋_GB2312"/>
          <w:sz w:val="32"/>
          <w:szCs w:val="32"/>
        </w:rPr>
        <w:t>2.</w:t>
      </w:r>
      <w:r>
        <w:rPr>
          <w:rFonts w:eastAsia="仿宋_GB2312"/>
          <w:sz w:val="32"/>
          <w:szCs w:val="32"/>
        </w:rPr>
        <w:t>1</w:t>
      </w:r>
      <w:r>
        <w:rPr>
          <w:rFonts w:hint="eastAsia" w:eastAsia="仿宋_GB2312"/>
          <w:sz w:val="32"/>
          <w:szCs w:val="32"/>
        </w:rPr>
        <w:t>.样本稳定性</w:t>
      </w:r>
    </w:p>
    <w:p w14:paraId="0F61F82A">
      <w:pPr>
        <w:spacing w:line="600" w:lineRule="exact"/>
        <w:ind w:firstLine="640" w:firstLineChars="200"/>
        <w:rPr>
          <w:rFonts w:eastAsia="仿宋_GB2312"/>
          <w:sz w:val="32"/>
          <w:szCs w:val="32"/>
        </w:rPr>
      </w:pPr>
      <w:r>
        <w:rPr>
          <w:rFonts w:hint="eastAsia" w:eastAsia="仿宋_GB2312"/>
          <w:sz w:val="32"/>
          <w:szCs w:val="32"/>
        </w:rPr>
        <w:t>对采集后各阶段的样本进行稳定性研究，包括采集后未经处理的样本、加入不同处理液的样本，研究内容包括常温保存时间、冷藏保存时间，冷冻保存时间，冻融次数等。</w:t>
      </w:r>
    </w:p>
    <w:p w14:paraId="3D0D95D4">
      <w:pPr>
        <w:spacing w:line="600" w:lineRule="exact"/>
        <w:ind w:firstLine="640" w:firstLineChars="200"/>
        <w:rPr>
          <w:rFonts w:eastAsia="仿宋_GB2312"/>
          <w:sz w:val="32"/>
          <w:szCs w:val="32"/>
        </w:rPr>
      </w:pPr>
      <w:r>
        <w:rPr>
          <w:rFonts w:hint="eastAsia" w:eastAsia="仿宋_GB2312"/>
          <w:sz w:val="32"/>
          <w:szCs w:val="32"/>
        </w:rPr>
        <w:t>如产品适用痰、支气管肺泡灌洗液等不同的样本类型，应对每种样本类型均进行稳定性研究。用于样本稳定性研究的样本应包括略高于检出限浓度的样本，覆盖检测范围内每种突变基因各至少1-</w:t>
      </w:r>
      <w:r>
        <w:rPr>
          <w:rFonts w:eastAsia="仿宋_GB2312"/>
          <w:sz w:val="32"/>
          <w:szCs w:val="32"/>
        </w:rPr>
        <w:t>2</w:t>
      </w:r>
      <w:r>
        <w:rPr>
          <w:rFonts w:hint="eastAsia" w:eastAsia="仿宋_GB2312"/>
          <w:sz w:val="32"/>
          <w:szCs w:val="32"/>
        </w:rPr>
        <w:t>种常见/代表性突变类型。</w:t>
      </w:r>
    </w:p>
    <w:p w14:paraId="3AFF74FE">
      <w:pPr>
        <w:spacing w:line="520" w:lineRule="exact"/>
        <w:ind w:firstLine="640" w:firstLineChars="200"/>
        <w:rPr>
          <w:rFonts w:eastAsia="仿宋_GB2312"/>
          <w:sz w:val="32"/>
          <w:szCs w:val="32"/>
        </w:rPr>
      </w:pPr>
      <w:r>
        <w:rPr>
          <w:rFonts w:hint="eastAsia" w:eastAsia="仿宋_GB2312"/>
          <w:sz w:val="32"/>
          <w:szCs w:val="32"/>
        </w:rPr>
        <w:t>如核酸提取液可不立即进行检测，还需对核酸提取液的保存条件和稳定性进行研究。</w:t>
      </w:r>
    </w:p>
    <w:p w14:paraId="60FA9628">
      <w:pPr>
        <w:spacing w:line="520" w:lineRule="exact"/>
        <w:ind w:firstLine="640" w:firstLineChars="200"/>
        <w:rPr>
          <w:rFonts w:eastAsia="仿宋_GB2312"/>
          <w:color w:val="000000"/>
          <w:sz w:val="32"/>
          <w:szCs w:val="32"/>
        </w:rPr>
      </w:pPr>
      <w:r>
        <w:rPr>
          <w:rFonts w:hint="eastAsia" w:eastAsia="仿宋_GB2312"/>
          <w:sz w:val="32"/>
          <w:szCs w:val="32"/>
        </w:rPr>
        <w:t>2</w:t>
      </w:r>
      <w:r>
        <w:rPr>
          <w:rFonts w:eastAsia="仿宋_GB2312"/>
          <w:sz w:val="32"/>
          <w:szCs w:val="32"/>
        </w:rPr>
        <w:t>.2</w:t>
      </w:r>
      <w:r>
        <w:rPr>
          <w:rFonts w:eastAsia="仿宋_GB2312"/>
          <w:color w:val="000000"/>
          <w:sz w:val="32"/>
          <w:szCs w:val="32"/>
        </w:rPr>
        <w:t>适用的样本类型</w:t>
      </w:r>
    </w:p>
    <w:p w14:paraId="63E9535E">
      <w:pPr>
        <w:spacing w:line="520" w:lineRule="exact"/>
        <w:ind w:firstLine="640" w:firstLineChars="200"/>
        <w:rPr>
          <w:rFonts w:eastAsia="仿宋_GB2312"/>
          <w:color w:val="000000"/>
          <w:sz w:val="32"/>
          <w:szCs w:val="32"/>
        </w:rPr>
      </w:pPr>
      <w:r>
        <w:rPr>
          <w:rFonts w:eastAsia="仿宋_GB2312"/>
          <w:color w:val="000000"/>
          <w:sz w:val="32"/>
          <w:szCs w:val="32"/>
        </w:rPr>
        <w:t>列明产品适用的样本类型。</w:t>
      </w:r>
    </w:p>
    <w:p w14:paraId="600F20FC">
      <w:pPr>
        <w:spacing w:line="600" w:lineRule="exact"/>
        <w:ind w:firstLine="640" w:firstLineChars="200"/>
        <w:rPr>
          <w:rFonts w:eastAsia="仿宋_GB2312"/>
          <w:sz w:val="32"/>
          <w:szCs w:val="32"/>
        </w:rPr>
      </w:pPr>
      <w:r>
        <w:rPr>
          <w:rFonts w:hint="eastAsia" w:eastAsia="仿宋_GB2312"/>
          <w:sz w:val="32"/>
          <w:szCs w:val="32"/>
        </w:rPr>
        <w:t>2.</w:t>
      </w:r>
      <w:r>
        <w:rPr>
          <w:rFonts w:eastAsia="仿宋_GB2312"/>
          <w:sz w:val="32"/>
          <w:szCs w:val="32"/>
        </w:rPr>
        <w:t>3</w:t>
      </w:r>
      <w:r>
        <w:rPr>
          <w:rFonts w:hint="eastAsia" w:eastAsia="仿宋_GB2312"/>
          <w:sz w:val="32"/>
          <w:szCs w:val="32"/>
        </w:rPr>
        <w:t>准确度</w:t>
      </w:r>
    </w:p>
    <w:p w14:paraId="15E84D67">
      <w:pPr>
        <w:spacing w:line="600" w:lineRule="exact"/>
        <w:ind w:firstLine="640" w:firstLineChars="200"/>
        <w:rPr>
          <w:rFonts w:eastAsia="仿宋_GB2312"/>
          <w:sz w:val="32"/>
          <w:szCs w:val="32"/>
        </w:rPr>
      </w:pPr>
      <w:r>
        <w:rPr>
          <w:rFonts w:hint="eastAsia" w:eastAsia="仿宋_GB2312"/>
          <w:sz w:val="32"/>
          <w:szCs w:val="32"/>
        </w:rPr>
        <w:t>采用申报试剂与临床诊断方法或已上市产品，同时检测临床样本/菌株，比较检测结果之间的一致性程度，进行申报试剂的准确度评价。</w:t>
      </w:r>
    </w:p>
    <w:p w14:paraId="73A4C284">
      <w:pPr>
        <w:snapToGrid w:val="0"/>
        <w:spacing w:line="520" w:lineRule="exact"/>
        <w:ind w:firstLine="640" w:firstLineChars="200"/>
        <w:rPr>
          <w:rFonts w:eastAsia="仿宋_GB2312"/>
          <w:bCs/>
          <w:color w:val="000000"/>
          <w:sz w:val="32"/>
          <w:szCs w:val="32"/>
        </w:rPr>
      </w:pPr>
      <w:r>
        <w:rPr>
          <w:rFonts w:hint="eastAsia" w:eastAsia="仿宋_GB2312"/>
          <w:bCs/>
          <w:color w:val="000000"/>
          <w:sz w:val="32"/>
          <w:szCs w:val="32"/>
        </w:rPr>
        <w:t>研究用</w:t>
      </w:r>
      <w:r>
        <w:rPr>
          <w:rFonts w:eastAsia="仿宋_GB2312"/>
          <w:bCs/>
          <w:color w:val="000000"/>
          <w:sz w:val="32"/>
          <w:szCs w:val="32"/>
        </w:rPr>
        <w:t>样</w:t>
      </w:r>
      <w:r>
        <w:rPr>
          <w:rFonts w:hint="eastAsia" w:eastAsia="仿宋_GB2312"/>
          <w:bCs/>
          <w:color w:val="000000"/>
          <w:sz w:val="32"/>
          <w:szCs w:val="32"/>
        </w:rPr>
        <w:t>本应均为结核分支杆菌复合群核酸阳性样本，耐药基因阳性和耐药基因阴性样本均包含一定数量，耐药基因阳性样本</w:t>
      </w:r>
      <w:r>
        <w:rPr>
          <w:rFonts w:hint="eastAsia" w:eastAsia="仿宋_GB2312"/>
          <w:sz w:val="32"/>
          <w:szCs w:val="32"/>
        </w:rPr>
        <w:t>涵盖所有可检测的突变类型，确定难以获得的突变类型在提供充足证据的情况下可采用核酸样本（基因组</w:t>
      </w:r>
      <w:r>
        <w:rPr>
          <w:rFonts w:eastAsia="仿宋_GB2312"/>
          <w:sz w:val="32"/>
          <w:szCs w:val="32"/>
        </w:rPr>
        <w:t>DNA</w:t>
      </w:r>
      <w:r>
        <w:rPr>
          <w:rFonts w:hint="eastAsia" w:eastAsia="仿宋_GB2312"/>
          <w:sz w:val="32"/>
          <w:szCs w:val="32"/>
        </w:rPr>
        <w:t>）。</w:t>
      </w:r>
      <w:r>
        <w:rPr>
          <w:rFonts w:hint="eastAsia" w:eastAsia="仿宋_GB2312"/>
          <w:bCs/>
          <w:color w:val="000000"/>
          <w:sz w:val="32"/>
          <w:szCs w:val="32"/>
        </w:rPr>
        <w:t>此外还应包含阳性判断值附近的样本和干扰样本。</w:t>
      </w:r>
    </w:p>
    <w:p w14:paraId="25D8F42B">
      <w:pPr>
        <w:spacing w:line="600" w:lineRule="exact"/>
        <w:ind w:firstLine="640" w:firstLineChars="200"/>
        <w:rPr>
          <w:rFonts w:eastAsia="仿宋_GB2312"/>
          <w:sz w:val="32"/>
          <w:szCs w:val="32"/>
        </w:rPr>
      </w:pPr>
      <w:r>
        <w:rPr>
          <w:rFonts w:eastAsia="仿宋_GB2312"/>
          <w:sz w:val="32"/>
          <w:szCs w:val="32"/>
        </w:rPr>
        <w:t>2.4</w:t>
      </w:r>
      <w:r>
        <w:rPr>
          <w:rFonts w:hint="eastAsia" w:eastAsia="仿宋_GB2312"/>
          <w:sz w:val="32"/>
          <w:szCs w:val="32"/>
        </w:rPr>
        <w:t>企业参考品验证</w:t>
      </w:r>
    </w:p>
    <w:p w14:paraId="548BCB0E">
      <w:pPr>
        <w:spacing w:line="600" w:lineRule="exact"/>
        <w:ind w:firstLine="640" w:firstLineChars="200"/>
        <w:rPr>
          <w:rFonts w:eastAsia="仿宋_GB2312"/>
          <w:sz w:val="32"/>
          <w:szCs w:val="32"/>
        </w:rPr>
      </w:pPr>
      <w:r>
        <w:rPr>
          <w:rFonts w:hint="eastAsia" w:eastAsia="仿宋_GB2312"/>
          <w:sz w:val="32"/>
          <w:szCs w:val="32"/>
        </w:rPr>
        <w:t>根据主要原材料研究资料中的企业参考品设置情况，采用三批产品对企业参考品进行检验并提供详细的试验数据。</w:t>
      </w:r>
    </w:p>
    <w:p w14:paraId="7FB24A64">
      <w:pPr>
        <w:spacing w:line="600" w:lineRule="exact"/>
        <w:ind w:firstLine="640" w:firstLineChars="200"/>
        <w:rPr>
          <w:rFonts w:eastAsia="仿宋_GB2312"/>
          <w:sz w:val="32"/>
          <w:szCs w:val="32"/>
        </w:rPr>
      </w:pPr>
      <w:r>
        <w:rPr>
          <w:rFonts w:eastAsia="仿宋_GB2312"/>
          <w:sz w:val="32"/>
          <w:szCs w:val="32"/>
        </w:rPr>
        <w:t>2.5</w:t>
      </w:r>
      <w:r>
        <w:rPr>
          <w:rFonts w:hint="eastAsia" w:eastAsia="仿宋_GB2312"/>
          <w:sz w:val="32"/>
          <w:szCs w:val="32"/>
        </w:rPr>
        <w:t>精密度</w:t>
      </w:r>
    </w:p>
    <w:p w14:paraId="0404AC7B">
      <w:pPr>
        <w:spacing w:line="600" w:lineRule="exact"/>
        <w:ind w:firstLine="640" w:firstLineChars="200"/>
        <w:rPr>
          <w:rFonts w:eastAsia="仿宋_GB2312"/>
          <w:sz w:val="32"/>
          <w:szCs w:val="32"/>
        </w:rPr>
      </w:pPr>
      <w:r>
        <w:rPr>
          <w:rFonts w:hint="eastAsia" w:eastAsia="仿宋_GB2312"/>
          <w:sz w:val="32"/>
          <w:szCs w:val="32"/>
        </w:rPr>
        <w:t>应对精密度指标，如标准差或变异系数等的评价标准做出合理要求。应考虑运行、时间、操作者、仪器、试剂批次和地点等影响精密度的条件，设计合理的精密度试验方案进行评价。精密度评价试验应包含核酸提取步骤。设定合理的精密度评价周期，例如为期至少2</w:t>
      </w:r>
      <w:r>
        <w:rPr>
          <w:rFonts w:eastAsia="仿宋_GB2312"/>
          <w:sz w:val="32"/>
          <w:szCs w:val="32"/>
        </w:rPr>
        <w:t>0</w:t>
      </w:r>
      <w:r>
        <w:rPr>
          <w:rFonts w:hint="eastAsia" w:eastAsia="仿宋_GB2312"/>
          <w:sz w:val="32"/>
          <w:szCs w:val="32"/>
        </w:rPr>
        <w:t>天的检测，具体方案可参考性能评价相关文件进行。</w:t>
      </w:r>
    </w:p>
    <w:p w14:paraId="504BAEE6">
      <w:pPr>
        <w:spacing w:line="600" w:lineRule="exact"/>
        <w:ind w:firstLine="640" w:firstLineChars="200"/>
        <w:rPr>
          <w:rFonts w:eastAsia="仿宋_GB2312"/>
          <w:sz w:val="32"/>
          <w:szCs w:val="32"/>
        </w:rPr>
      </w:pPr>
      <w:r>
        <w:rPr>
          <w:rFonts w:hint="eastAsia" w:eastAsia="仿宋_GB2312"/>
          <w:sz w:val="32"/>
          <w:szCs w:val="32"/>
        </w:rPr>
        <w:t>应覆盖检测范围内所有不同耐药突变基因的常见</w:t>
      </w:r>
      <w:r>
        <w:rPr>
          <w:rFonts w:eastAsia="仿宋_GB2312"/>
          <w:sz w:val="32"/>
          <w:szCs w:val="32"/>
        </w:rPr>
        <w:t>/</w:t>
      </w:r>
      <w:r>
        <w:rPr>
          <w:rFonts w:hint="eastAsia" w:eastAsia="仿宋_GB2312"/>
          <w:sz w:val="32"/>
          <w:szCs w:val="32"/>
        </w:rPr>
        <w:t>代表性突变类型。同时，如产品设计包括不同的反应管及检测通道，各反应管及检测通道均需有代表性样本。建议在以下</w:t>
      </w:r>
      <w:r>
        <w:rPr>
          <w:rFonts w:eastAsia="仿宋_GB2312"/>
          <w:sz w:val="32"/>
          <w:szCs w:val="32"/>
        </w:rPr>
        <w:t>3</w:t>
      </w:r>
      <w:r>
        <w:rPr>
          <w:rFonts w:hint="eastAsia" w:eastAsia="仿宋_GB2312"/>
          <w:sz w:val="32"/>
          <w:szCs w:val="32"/>
        </w:rPr>
        <w:t>个浓度进行验证：</w:t>
      </w:r>
    </w:p>
    <w:p w14:paraId="6E3277AF">
      <w:pPr>
        <w:spacing w:line="600" w:lineRule="exact"/>
        <w:ind w:firstLine="640" w:firstLineChars="200"/>
        <w:rPr>
          <w:rFonts w:eastAsia="仿宋_GB2312"/>
          <w:sz w:val="32"/>
          <w:szCs w:val="32"/>
        </w:rPr>
      </w:pPr>
      <w:r>
        <w:rPr>
          <w:rFonts w:hint="eastAsia" w:eastAsia="仿宋_GB2312"/>
          <w:sz w:val="32"/>
          <w:szCs w:val="32"/>
        </w:rPr>
        <w:t>阴性样本：靶序列未发生突变的结核分枝杆菌野生型菌株，阴性检出率应为100%（n≥20）。</w:t>
      </w:r>
    </w:p>
    <w:p w14:paraId="75AD5CA8">
      <w:pPr>
        <w:spacing w:line="600" w:lineRule="exact"/>
        <w:ind w:firstLine="640" w:firstLineChars="200"/>
        <w:rPr>
          <w:rFonts w:eastAsia="仿宋_GB2312"/>
          <w:strike/>
          <w:sz w:val="32"/>
          <w:szCs w:val="32"/>
        </w:rPr>
      </w:pPr>
      <w:r>
        <w:rPr>
          <w:rFonts w:hint="eastAsia" w:eastAsia="仿宋_GB2312"/>
          <w:sz w:val="32"/>
          <w:szCs w:val="32"/>
        </w:rPr>
        <w:t>弱阳性样本：耐药菌株浓度略高于申报产品的最低检测限，阳性检出率应高于95%（n≥20）。</w:t>
      </w:r>
    </w:p>
    <w:p w14:paraId="1CB5F374">
      <w:pPr>
        <w:spacing w:line="600" w:lineRule="exact"/>
        <w:ind w:firstLine="640" w:firstLineChars="200"/>
        <w:rPr>
          <w:rFonts w:eastAsia="仿宋_GB2312"/>
          <w:strike/>
          <w:sz w:val="32"/>
          <w:szCs w:val="32"/>
        </w:rPr>
      </w:pPr>
      <w:r>
        <w:rPr>
          <w:rFonts w:hint="eastAsia" w:eastAsia="仿宋_GB2312"/>
          <w:sz w:val="32"/>
          <w:szCs w:val="32"/>
        </w:rPr>
        <w:t>中等阳性样本：阳性检出率为100%且CV≤15%（n≥20）。</w:t>
      </w:r>
    </w:p>
    <w:p w14:paraId="3BBB2BC0">
      <w:pPr>
        <w:spacing w:line="600" w:lineRule="exact"/>
        <w:ind w:firstLine="640" w:firstLineChars="200"/>
        <w:rPr>
          <w:rFonts w:eastAsia="仿宋_GB2312"/>
          <w:strike/>
          <w:color w:val="000000"/>
          <w:kern w:val="0"/>
          <w:sz w:val="32"/>
          <w:szCs w:val="32"/>
        </w:rPr>
      </w:pPr>
      <w:r>
        <w:rPr>
          <w:rFonts w:hint="eastAsia" w:eastAsia="仿宋_GB2312"/>
          <w:sz w:val="32"/>
          <w:szCs w:val="32"/>
        </w:rPr>
        <w:t>2</w:t>
      </w:r>
      <w:r>
        <w:rPr>
          <w:rFonts w:eastAsia="仿宋_GB2312"/>
          <w:sz w:val="32"/>
          <w:szCs w:val="32"/>
        </w:rPr>
        <w:t>.6</w:t>
      </w:r>
      <w:r>
        <w:rPr>
          <w:rFonts w:hint="eastAsia" w:eastAsia="仿宋_GB2312"/>
          <w:sz w:val="32"/>
          <w:szCs w:val="32"/>
        </w:rPr>
        <w:t>最低检测限</w:t>
      </w:r>
    </w:p>
    <w:p w14:paraId="0875F6CD">
      <w:pPr>
        <w:spacing w:line="600" w:lineRule="exact"/>
        <w:ind w:firstLine="640" w:firstLineChars="200"/>
        <w:rPr>
          <w:rFonts w:eastAsia="仿宋_GB2312"/>
          <w:sz w:val="32"/>
          <w:szCs w:val="32"/>
        </w:rPr>
      </w:pPr>
      <w:r>
        <w:rPr>
          <w:rFonts w:eastAsia="仿宋_GB2312"/>
          <w:color w:val="000000"/>
          <w:kern w:val="0"/>
          <w:sz w:val="32"/>
          <w:szCs w:val="32"/>
        </w:rPr>
        <w:t>扩增反应终体系中的突变序列百分率和总核酸浓度两个因素对最低检测限的影响较大，终体系中突变序列的百分率越高、所含的DNA量越多，则越容易检出。而终体系中的这两个因素是由临床样本中的结核分枝杆菌耐药菌与野生菌的含量和相对比例决定的。因此，</w:t>
      </w:r>
      <w:r>
        <w:rPr>
          <w:rFonts w:hint="eastAsia" w:eastAsia="仿宋_GB2312"/>
          <w:color w:val="000000"/>
          <w:kern w:val="0"/>
          <w:sz w:val="32"/>
          <w:szCs w:val="32"/>
        </w:rPr>
        <w:t>最低检测限研究时</w:t>
      </w:r>
      <w:r>
        <w:rPr>
          <w:rFonts w:eastAsia="仿宋_GB2312"/>
          <w:color w:val="000000"/>
          <w:kern w:val="0"/>
          <w:sz w:val="32"/>
          <w:szCs w:val="32"/>
        </w:rPr>
        <w:t>需从以下两个方面</w:t>
      </w:r>
      <w:r>
        <w:rPr>
          <w:rFonts w:hint="eastAsia" w:eastAsia="仿宋_GB2312"/>
          <w:color w:val="000000"/>
          <w:kern w:val="0"/>
          <w:sz w:val="32"/>
          <w:szCs w:val="32"/>
        </w:rPr>
        <w:t>进行</w:t>
      </w:r>
      <w:r>
        <w:rPr>
          <w:rFonts w:eastAsia="仿宋_GB2312"/>
          <w:color w:val="000000"/>
          <w:kern w:val="0"/>
          <w:sz w:val="32"/>
          <w:szCs w:val="32"/>
        </w:rPr>
        <w:t>考察：</w:t>
      </w:r>
    </w:p>
    <w:p w14:paraId="6B5F665E">
      <w:pPr>
        <w:spacing w:line="560" w:lineRule="exact"/>
        <w:ind w:firstLine="640" w:firstLineChars="200"/>
        <w:rPr>
          <w:rFonts w:eastAsia="仿宋_GB2312"/>
          <w:color w:val="000000"/>
          <w:kern w:val="0"/>
          <w:sz w:val="32"/>
          <w:szCs w:val="32"/>
        </w:rPr>
      </w:pPr>
      <w:r>
        <w:rPr>
          <w:rFonts w:hint="eastAsia" w:eastAsia="仿宋_GB2312"/>
          <w:color w:val="000000"/>
          <w:kern w:val="0"/>
          <w:sz w:val="32"/>
          <w:szCs w:val="32"/>
        </w:rPr>
        <w:t>2</w:t>
      </w:r>
      <w:r>
        <w:rPr>
          <w:rFonts w:eastAsia="仿宋_GB2312"/>
          <w:color w:val="000000"/>
          <w:kern w:val="0"/>
          <w:sz w:val="32"/>
          <w:szCs w:val="32"/>
        </w:rPr>
        <w:t>.6.1 100%耐药比例下耐药菌株的最低检测浓度，</w:t>
      </w:r>
      <w:r>
        <w:rPr>
          <w:rFonts w:hint="eastAsia" w:eastAsia="仿宋_GB2312"/>
          <w:color w:val="000000"/>
          <w:kern w:val="0"/>
          <w:sz w:val="32"/>
          <w:szCs w:val="32"/>
        </w:rPr>
        <w:t>该部分研究包括最低检测限的建立与验证</w:t>
      </w:r>
      <w:r>
        <w:rPr>
          <w:rFonts w:eastAsia="仿宋_GB2312"/>
          <w:color w:val="000000"/>
          <w:kern w:val="0"/>
          <w:sz w:val="32"/>
          <w:szCs w:val="32"/>
        </w:rPr>
        <w:t>。</w:t>
      </w:r>
    </w:p>
    <w:p w14:paraId="6A260EF2">
      <w:pPr>
        <w:spacing w:line="560" w:lineRule="exact"/>
        <w:ind w:firstLine="640" w:firstLineChars="200"/>
        <w:rPr>
          <w:rFonts w:eastAsia="仿宋_GB2312"/>
          <w:color w:val="000000"/>
          <w:kern w:val="0"/>
          <w:sz w:val="32"/>
          <w:szCs w:val="32"/>
        </w:rPr>
      </w:pPr>
      <w:r>
        <w:rPr>
          <w:rFonts w:hint="eastAsia" w:eastAsia="仿宋_GB2312"/>
          <w:color w:val="000000"/>
          <w:kern w:val="0"/>
          <w:sz w:val="32"/>
          <w:szCs w:val="32"/>
        </w:rPr>
        <w:t>（1）最低检测限的建立</w:t>
      </w:r>
    </w:p>
    <w:p w14:paraId="06897831">
      <w:pPr>
        <w:spacing w:line="560" w:lineRule="exact"/>
        <w:ind w:firstLine="640" w:firstLineChars="200"/>
        <w:rPr>
          <w:rFonts w:eastAsia="仿宋_GB2312"/>
          <w:strike/>
          <w:color w:val="000000"/>
          <w:spacing w:val="2"/>
          <w:kern w:val="0"/>
          <w:sz w:val="32"/>
          <w:szCs w:val="32"/>
        </w:rPr>
      </w:pPr>
      <w:r>
        <w:rPr>
          <w:rFonts w:eastAsia="仿宋_GB2312"/>
          <w:color w:val="000000"/>
          <w:kern w:val="0"/>
          <w:sz w:val="32"/>
          <w:szCs w:val="32"/>
        </w:rPr>
        <w:t>将</w:t>
      </w:r>
      <w:r>
        <w:rPr>
          <w:rFonts w:eastAsia="仿宋_GB2312"/>
          <w:color w:val="000000"/>
          <w:spacing w:val="2"/>
          <w:kern w:val="0"/>
          <w:sz w:val="32"/>
          <w:szCs w:val="32"/>
        </w:rPr>
        <w:t>结核分枝杆菌耐药菌株</w:t>
      </w:r>
      <w:r>
        <w:rPr>
          <w:rFonts w:hint="eastAsia" w:eastAsia="仿宋_GB2312"/>
          <w:color w:val="000000"/>
          <w:spacing w:val="2"/>
          <w:kern w:val="0"/>
          <w:sz w:val="32"/>
          <w:szCs w:val="32"/>
        </w:rPr>
        <w:t>梯度稀释于与适用样本一致的阴性基质中，每个浓度梯度至少重复20次检测，通过直接检测或者Probit分析计算，将具有95%阳性检出率的耐药菌株最低浓度水平作为确定的检出限。</w:t>
      </w:r>
      <w:r>
        <w:rPr>
          <w:rFonts w:hint="eastAsia" w:eastAsia="仿宋_GB2312"/>
          <w:color w:val="000000"/>
          <w:kern w:val="0"/>
          <w:sz w:val="32"/>
          <w:szCs w:val="32"/>
        </w:rPr>
        <w:t>应</w:t>
      </w:r>
      <w:r>
        <w:rPr>
          <w:rFonts w:hint="eastAsia" w:eastAsia="仿宋_GB2312"/>
          <w:color w:val="000000"/>
          <w:spacing w:val="2"/>
          <w:kern w:val="0"/>
          <w:sz w:val="32"/>
          <w:szCs w:val="32"/>
        </w:rPr>
        <w:t>包括</w:t>
      </w:r>
      <w:r>
        <w:rPr>
          <w:rFonts w:hint="eastAsia" w:eastAsia="仿宋_GB2312"/>
          <w:color w:val="000000"/>
          <w:kern w:val="0"/>
          <w:sz w:val="32"/>
          <w:szCs w:val="32"/>
        </w:rPr>
        <w:t>产品设计检测范围内所有常见突变类型。</w:t>
      </w:r>
      <w:r>
        <w:rPr>
          <w:rFonts w:eastAsia="仿宋_GB2312"/>
          <w:bCs/>
          <w:color w:val="000000"/>
          <w:sz w:val="32"/>
          <w:szCs w:val="32"/>
        </w:rPr>
        <w:t>以CFU/mL</w:t>
      </w:r>
      <w:r>
        <w:rPr>
          <w:rFonts w:hint="eastAsia" w:eastAsia="仿宋_GB2312"/>
          <w:bCs/>
          <w:color w:val="000000"/>
          <w:sz w:val="32"/>
          <w:szCs w:val="32"/>
        </w:rPr>
        <w:t>或</w:t>
      </w:r>
      <w:r>
        <w:rPr>
          <w:rFonts w:eastAsia="仿宋_GB2312"/>
          <w:bCs/>
          <w:color w:val="000000"/>
          <w:sz w:val="32"/>
          <w:szCs w:val="32"/>
        </w:rPr>
        <w:t>“个菌/mL”作为菌株浓度的表示方式</w:t>
      </w:r>
      <w:r>
        <w:rPr>
          <w:rFonts w:hint="eastAsia" w:eastAsia="仿宋_GB2312"/>
          <w:bCs/>
          <w:color w:val="000000"/>
          <w:sz w:val="32"/>
          <w:szCs w:val="32"/>
        </w:rPr>
        <w:t>。此外，申请人还应采用数字P</w:t>
      </w:r>
      <w:r>
        <w:rPr>
          <w:rFonts w:eastAsia="仿宋_GB2312"/>
          <w:bCs/>
          <w:color w:val="000000"/>
          <w:sz w:val="32"/>
          <w:szCs w:val="32"/>
        </w:rPr>
        <w:t>CR</w:t>
      </w:r>
      <w:r>
        <w:rPr>
          <w:rFonts w:hint="eastAsia" w:eastAsia="仿宋_GB2312"/>
          <w:bCs/>
          <w:color w:val="000000"/>
          <w:sz w:val="32"/>
          <w:szCs w:val="32"/>
        </w:rPr>
        <w:t>等方法进行菌株核酸浓度的确认，以c</w:t>
      </w:r>
      <w:r>
        <w:rPr>
          <w:rFonts w:eastAsia="仿宋_GB2312"/>
          <w:bCs/>
          <w:color w:val="000000"/>
          <w:sz w:val="32"/>
          <w:szCs w:val="32"/>
        </w:rPr>
        <w:t>opies</w:t>
      </w:r>
      <w:r>
        <w:rPr>
          <w:rFonts w:hint="eastAsia" w:eastAsia="仿宋_GB2312"/>
          <w:bCs/>
          <w:color w:val="000000"/>
          <w:sz w:val="32"/>
          <w:szCs w:val="32"/>
        </w:rPr>
        <w:t>/</w:t>
      </w:r>
      <w:r>
        <w:rPr>
          <w:rFonts w:eastAsia="仿宋_GB2312"/>
          <w:bCs/>
          <w:color w:val="000000"/>
          <w:sz w:val="32"/>
          <w:szCs w:val="32"/>
        </w:rPr>
        <w:t>mL</w:t>
      </w:r>
      <w:r>
        <w:rPr>
          <w:rFonts w:hint="eastAsia" w:eastAsia="仿宋_GB2312"/>
          <w:bCs/>
          <w:color w:val="000000"/>
          <w:sz w:val="32"/>
          <w:szCs w:val="32"/>
        </w:rPr>
        <w:t>作为菌株浓度的表示方式。</w:t>
      </w:r>
    </w:p>
    <w:p w14:paraId="4E0E2923">
      <w:pPr>
        <w:spacing w:line="560" w:lineRule="exact"/>
        <w:ind w:firstLine="640" w:firstLineChars="200"/>
        <w:rPr>
          <w:rFonts w:eastAsia="仿宋_GB2312"/>
          <w:color w:val="000000"/>
          <w:kern w:val="0"/>
          <w:sz w:val="32"/>
          <w:szCs w:val="32"/>
        </w:rPr>
      </w:pPr>
      <w:r>
        <w:rPr>
          <w:rFonts w:hint="eastAsia" w:eastAsia="仿宋_GB2312"/>
          <w:color w:val="000000"/>
          <w:kern w:val="0"/>
          <w:sz w:val="32"/>
          <w:szCs w:val="32"/>
        </w:rPr>
        <w:t>（</w:t>
      </w:r>
      <w:r>
        <w:rPr>
          <w:rFonts w:eastAsia="仿宋_GB2312"/>
          <w:color w:val="000000"/>
          <w:kern w:val="0"/>
          <w:sz w:val="32"/>
          <w:szCs w:val="32"/>
        </w:rPr>
        <w:t>2</w:t>
      </w:r>
      <w:r>
        <w:rPr>
          <w:rFonts w:hint="eastAsia" w:eastAsia="仿宋_GB2312"/>
          <w:color w:val="000000"/>
          <w:kern w:val="0"/>
          <w:sz w:val="32"/>
          <w:szCs w:val="32"/>
        </w:rPr>
        <w:t>）最低检测限的验证</w:t>
      </w:r>
    </w:p>
    <w:p w14:paraId="740ACA6D">
      <w:pPr>
        <w:spacing w:line="600" w:lineRule="exact"/>
        <w:ind w:firstLine="640" w:firstLineChars="200"/>
        <w:rPr>
          <w:rFonts w:eastAsia="仿宋_GB2312"/>
          <w:color w:val="000000"/>
          <w:spacing w:val="2"/>
          <w:kern w:val="0"/>
          <w:sz w:val="32"/>
          <w:szCs w:val="32"/>
        </w:rPr>
      </w:pPr>
      <w:r>
        <w:rPr>
          <w:rFonts w:hint="eastAsia" w:eastAsia="仿宋_GB2312"/>
          <w:color w:val="000000"/>
          <w:kern w:val="0"/>
          <w:sz w:val="32"/>
          <w:szCs w:val="32"/>
        </w:rPr>
        <w:t>选择与最低检测限不同来源的</w:t>
      </w:r>
      <w:r>
        <w:rPr>
          <w:rFonts w:eastAsia="仿宋_GB2312"/>
          <w:color w:val="000000"/>
          <w:spacing w:val="2"/>
          <w:kern w:val="0"/>
          <w:sz w:val="32"/>
          <w:szCs w:val="32"/>
        </w:rPr>
        <w:t>结核分枝杆菌耐药菌株</w:t>
      </w:r>
      <w:r>
        <w:rPr>
          <w:rFonts w:hint="eastAsia" w:eastAsia="仿宋_GB2312"/>
          <w:color w:val="000000"/>
          <w:kern w:val="0"/>
          <w:sz w:val="32"/>
          <w:szCs w:val="32"/>
        </w:rPr>
        <w:t>在最低检测限浓度水平进行验证，应达到95%阳性检出率。应覆盖产品所有设计可检测的突变类型。对于确定难以获得的菌株，可在</w:t>
      </w:r>
      <w:r>
        <w:rPr>
          <w:rFonts w:hint="eastAsia" w:eastAsia="仿宋_GB2312"/>
          <w:color w:val="000000"/>
          <w:spacing w:val="2"/>
          <w:kern w:val="0"/>
          <w:sz w:val="32"/>
          <w:szCs w:val="32"/>
        </w:rPr>
        <w:t>提交相应的支持说明资料的前提下</w:t>
      </w:r>
      <w:r>
        <w:rPr>
          <w:rFonts w:hint="eastAsia" w:eastAsia="仿宋_GB2312"/>
          <w:color w:val="000000"/>
          <w:kern w:val="0"/>
          <w:sz w:val="32"/>
          <w:szCs w:val="32"/>
        </w:rPr>
        <w:t>使用</w:t>
      </w:r>
      <w:r>
        <w:rPr>
          <w:rFonts w:eastAsia="仿宋_GB2312"/>
          <w:color w:val="000000"/>
          <w:spacing w:val="2"/>
          <w:kern w:val="0"/>
          <w:sz w:val="32"/>
          <w:szCs w:val="32"/>
        </w:rPr>
        <w:t>含有相应突变的核酸样本</w:t>
      </w:r>
      <w:r>
        <w:rPr>
          <w:rFonts w:hint="eastAsia" w:eastAsia="仿宋_GB2312"/>
          <w:color w:val="000000"/>
          <w:spacing w:val="2"/>
          <w:kern w:val="0"/>
          <w:sz w:val="32"/>
          <w:szCs w:val="32"/>
        </w:rPr>
        <w:t>（基因组DNA）进行研究</w:t>
      </w:r>
      <w:r>
        <w:rPr>
          <w:rFonts w:eastAsia="仿宋_GB2312"/>
          <w:color w:val="000000"/>
          <w:spacing w:val="2"/>
          <w:kern w:val="0"/>
          <w:sz w:val="32"/>
          <w:szCs w:val="32"/>
        </w:rPr>
        <w:t>。</w:t>
      </w:r>
    </w:p>
    <w:bookmarkEnd w:id="6"/>
    <w:p w14:paraId="0DE84B3B">
      <w:pPr>
        <w:spacing w:line="560" w:lineRule="exact"/>
        <w:ind w:firstLine="640" w:firstLineChars="200"/>
        <w:rPr>
          <w:rFonts w:eastAsia="仿宋_GB2312"/>
          <w:color w:val="000000"/>
          <w:kern w:val="0"/>
          <w:sz w:val="32"/>
          <w:szCs w:val="32"/>
        </w:rPr>
      </w:pPr>
      <w:r>
        <w:rPr>
          <w:rFonts w:hint="eastAsia" w:eastAsia="仿宋_GB2312"/>
          <w:color w:val="000000"/>
          <w:kern w:val="0"/>
          <w:sz w:val="32"/>
          <w:szCs w:val="32"/>
        </w:rPr>
        <w:t>2</w:t>
      </w:r>
      <w:r>
        <w:rPr>
          <w:rFonts w:eastAsia="仿宋_GB2312"/>
          <w:color w:val="000000"/>
          <w:kern w:val="0"/>
          <w:sz w:val="32"/>
          <w:szCs w:val="32"/>
        </w:rPr>
        <w:t>.6.2不同耐药比例</w:t>
      </w:r>
      <w:r>
        <w:rPr>
          <w:rFonts w:hint="eastAsia" w:eastAsia="仿宋_GB2312"/>
          <w:color w:val="000000"/>
          <w:kern w:val="0"/>
          <w:sz w:val="32"/>
          <w:szCs w:val="32"/>
        </w:rPr>
        <w:t>下</w:t>
      </w:r>
      <w:r>
        <w:rPr>
          <w:rFonts w:eastAsia="仿宋_GB2312"/>
          <w:color w:val="000000"/>
          <w:kern w:val="0"/>
          <w:sz w:val="32"/>
          <w:szCs w:val="32"/>
        </w:rPr>
        <w:t>的最低检测限</w:t>
      </w:r>
      <w:r>
        <w:rPr>
          <w:rFonts w:hint="eastAsia" w:eastAsia="仿宋_GB2312"/>
          <w:color w:val="000000"/>
          <w:kern w:val="0"/>
          <w:sz w:val="32"/>
          <w:szCs w:val="32"/>
        </w:rPr>
        <w:t>验证，该部分研究仅进行最低检测限的验证</w:t>
      </w:r>
      <w:r>
        <w:rPr>
          <w:rFonts w:eastAsia="仿宋_GB2312"/>
          <w:color w:val="000000"/>
          <w:kern w:val="0"/>
          <w:sz w:val="32"/>
          <w:szCs w:val="32"/>
        </w:rPr>
        <w:t>。</w:t>
      </w:r>
    </w:p>
    <w:p w14:paraId="67A3DFB6">
      <w:pPr>
        <w:spacing w:line="560" w:lineRule="exact"/>
        <w:ind w:firstLine="640" w:firstLineChars="200"/>
        <w:rPr>
          <w:rFonts w:eastAsia="仿宋_GB2312"/>
          <w:color w:val="000000"/>
          <w:kern w:val="0"/>
          <w:sz w:val="32"/>
          <w:szCs w:val="32"/>
        </w:rPr>
      </w:pPr>
      <w:r>
        <w:rPr>
          <w:rFonts w:hint="eastAsia" w:eastAsia="仿宋_GB2312"/>
          <w:color w:val="000000"/>
          <w:kern w:val="0"/>
          <w:sz w:val="32"/>
          <w:szCs w:val="32"/>
        </w:rPr>
        <w:t>固定耐药菌株为最低检测限水平，</w:t>
      </w:r>
      <w:r>
        <w:rPr>
          <w:rFonts w:eastAsia="仿宋_GB2312"/>
          <w:color w:val="000000"/>
          <w:kern w:val="0"/>
          <w:sz w:val="32"/>
          <w:szCs w:val="32"/>
        </w:rPr>
        <w:t>将</w:t>
      </w:r>
      <w:r>
        <w:rPr>
          <w:rFonts w:hint="eastAsia" w:eastAsia="仿宋_GB2312"/>
          <w:color w:val="000000"/>
          <w:kern w:val="0"/>
          <w:sz w:val="32"/>
          <w:szCs w:val="32"/>
        </w:rPr>
        <w:t>野生菌株加入到耐药菌株中</w:t>
      </w:r>
      <w:r>
        <w:rPr>
          <w:rFonts w:eastAsia="仿宋_GB2312"/>
          <w:color w:val="000000"/>
          <w:kern w:val="0"/>
          <w:sz w:val="32"/>
          <w:szCs w:val="32"/>
        </w:rPr>
        <w:t>进行混合，</w:t>
      </w:r>
      <w:r>
        <w:rPr>
          <w:rFonts w:hint="eastAsia" w:eastAsia="仿宋_GB2312"/>
          <w:color w:val="000000"/>
          <w:kern w:val="0"/>
          <w:sz w:val="32"/>
          <w:szCs w:val="32"/>
        </w:rPr>
        <w:t>通过</w:t>
      </w:r>
      <w:r>
        <w:rPr>
          <w:rFonts w:eastAsia="仿宋_GB2312"/>
          <w:color w:val="000000"/>
          <w:kern w:val="0"/>
          <w:sz w:val="32"/>
          <w:szCs w:val="32"/>
        </w:rPr>
        <w:t>调整</w:t>
      </w:r>
      <w:r>
        <w:rPr>
          <w:rFonts w:hint="eastAsia" w:eastAsia="仿宋_GB2312"/>
          <w:color w:val="000000"/>
          <w:kern w:val="0"/>
          <w:sz w:val="32"/>
          <w:szCs w:val="32"/>
        </w:rPr>
        <w:t>加入的</w:t>
      </w:r>
      <w:r>
        <w:rPr>
          <w:rFonts w:eastAsia="仿宋_GB2312"/>
          <w:color w:val="000000"/>
          <w:kern w:val="0"/>
          <w:sz w:val="32"/>
          <w:szCs w:val="32"/>
        </w:rPr>
        <w:t>野生</w:t>
      </w:r>
      <w:r>
        <w:rPr>
          <w:rFonts w:hint="eastAsia" w:eastAsia="仿宋_GB2312"/>
          <w:color w:val="000000"/>
          <w:kern w:val="0"/>
          <w:sz w:val="32"/>
          <w:szCs w:val="32"/>
        </w:rPr>
        <w:t>菌</w:t>
      </w:r>
      <w:r>
        <w:rPr>
          <w:rFonts w:eastAsia="仿宋_GB2312"/>
          <w:color w:val="000000"/>
          <w:kern w:val="0"/>
          <w:sz w:val="32"/>
          <w:szCs w:val="32"/>
        </w:rPr>
        <w:t>株的</w:t>
      </w:r>
      <w:r>
        <w:rPr>
          <w:rFonts w:hint="eastAsia" w:eastAsia="仿宋_GB2312"/>
          <w:color w:val="000000"/>
          <w:kern w:val="0"/>
          <w:sz w:val="32"/>
          <w:szCs w:val="32"/>
        </w:rPr>
        <w:t>含量</w:t>
      </w:r>
      <w:r>
        <w:rPr>
          <w:rFonts w:eastAsia="仿宋_GB2312"/>
          <w:color w:val="000000"/>
          <w:kern w:val="0"/>
          <w:sz w:val="32"/>
          <w:szCs w:val="32"/>
        </w:rPr>
        <w:t>，</w:t>
      </w:r>
      <w:r>
        <w:rPr>
          <w:rFonts w:hint="eastAsia" w:eastAsia="仿宋_GB2312"/>
          <w:color w:val="000000"/>
          <w:kern w:val="0"/>
          <w:sz w:val="32"/>
          <w:szCs w:val="32"/>
        </w:rPr>
        <w:t>制备出</w:t>
      </w:r>
      <w:r>
        <w:rPr>
          <w:rFonts w:eastAsia="仿宋_GB2312"/>
          <w:color w:val="000000"/>
          <w:kern w:val="0"/>
          <w:sz w:val="32"/>
          <w:szCs w:val="32"/>
        </w:rPr>
        <w:t>含</w:t>
      </w:r>
      <w:r>
        <w:rPr>
          <w:rFonts w:hint="eastAsia" w:eastAsia="仿宋_GB2312"/>
          <w:color w:val="000000"/>
          <w:kern w:val="0"/>
          <w:sz w:val="32"/>
          <w:szCs w:val="32"/>
        </w:rPr>
        <w:t>不同</w:t>
      </w:r>
      <w:r>
        <w:rPr>
          <w:rFonts w:eastAsia="仿宋_GB2312"/>
          <w:color w:val="000000"/>
          <w:kern w:val="0"/>
          <w:sz w:val="32"/>
          <w:szCs w:val="32"/>
        </w:rPr>
        <w:t>耐药比例的菌株</w:t>
      </w:r>
      <w:r>
        <w:rPr>
          <w:rFonts w:hint="eastAsia" w:eastAsia="仿宋_GB2312"/>
          <w:color w:val="000000"/>
          <w:kern w:val="0"/>
          <w:sz w:val="32"/>
          <w:szCs w:val="32"/>
        </w:rPr>
        <w:t>混合样本，验证申报产品在2</w:t>
      </w:r>
      <w:r>
        <w:rPr>
          <w:rFonts w:eastAsia="仿宋_GB2312"/>
          <w:color w:val="000000"/>
          <w:kern w:val="0"/>
          <w:sz w:val="32"/>
          <w:szCs w:val="32"/>
        </w:rPr>
        <w:t>.6.1</w:t>
      </w:r>
      <w:r>
        <w:rPr>
          <w:rFonts w:hint="eastAsia" w:eastAsia="仿宋_GB2312"/>
          <w:color w:val="000000"/>
          <w:kern w:val="0"/>
          <w:sz w:val="32"/>
          <w:szCs w:val="32"/>
        </w:rPr>
        <w:t>部分确定的最低检测限在不同耐药比例下能否稳定检出</w:t>
      </w:r>
      <w:r>
        <w:rPr>
          <w:rFonts w:eastAsia="仿宋_GB2312"/>
          <w:color w:val="000000"/>
          <w:kern w:val="0"/>
          <w:sz w:val="32"/>
          <w:szCs w:val="32"/>
        </w:rPr>
        <w:t>。</w:t>
      </w:r>
      <w:r>
        <w:rPr>
          <w:rFonts w:hint="eastAsia" w:eastAsia="仿宋_GB2312"/>
          <w:color w:val="000000"/>
          <w:kern w:val="0"/>
          <w:sz w:val="32"/>
          <w:szCs w:val="32"/>
        </w:rPr>
        <w:t>应</w:t>
      </w:r>
      <w:r>
        <w:rPr>
          <w:rFonts w:hint="eastAsia" w:eastAsia="仿宋_GB2312"/>
          <w:color w:val="000000"/>
          <w:spacing w:val="2"/>
          <w:kern w:val="0"/>
          <w:sz w:val="32"/>
          <w:szCs w:val="32"/>
        </w:rPr>
        <w:t>包括</w:t>
      </w:r>
      <w:r>
        <w:rPr>
          <w:rFonts w:hint="eastAsia" w:eastAsia="仿宋_GB2312"/>
          <w:color w:val="000000"/>
          <w:kern w:val="0"/>
          <w:sz w:val="32"/>
          <w:szCs w:val="32"/>
        </w:rPr>
        <w:t>产品设计检测范围内的常见突变类型。</w:t>
      </w:r>
    </w:p>
    <w:p w14:paraId="29220C12">
      <w:pPr>
        <w:spacing w:line="560" w:lineRule="exact"/>
        <w:ind w:firstLine="640" w:firstLineChars="200"/>
        <w:rPr>
          <w:rFonts w:eastAsia="仿宋_GB2312"/>
          <w:color w:val="000000"/>
          <w:kern w:val="0"/>
          <w:sz w:val="32"/>
          <w:szCs w:val="32"/>
        </w:rPr>
      </w:pPr>
      <w:r>
        <w:rPr>
          <w:rFonts w:hint="eastAsia" w:eastAsia="仿宋_GB2312"/>
          <w:color w:val="000000"/>
          <w:kern w:val="0"/>
          <w:sz w:val="32"/>
          <w:szCs w:val="32"/>
        </w:rPr>
        <w:t>验证时耐药菌株比例建议包括90%、75%、50%、25%、20%、10%，可视情况调整验证的比例水平。建议按耐药比例降序依次进行验证，确定能稳定检出的耐药菌株比例下限</w:t>
      </w:r>
      <w:r>
        <w:rPr>
          <w:rFonts w:eastAsia="仿宋_GB2312"/>
          <w:color w:val="000000"/>
          <w:kern w:val="0"/>
          <w:sz w:val="32"/>
          <w:szCs w:val="32"/>
        </w:rPr>
        <w:t>。</w:t>
      </w:r>
      <w:r>
        <w:rPr>
          <w:rFonts w:hint="eastAsia" w:eastAsia="仿宋_GB2312"/>
          <w:color w:val="000000"/>
          <w:kern w:val="0"/>
          <w:sz w:val="32"/>
          <w:szCs w:val="32"/>
        </w:rPr>
        <w:t>验证方式及要求可参照前述内容。无论验证情况如何，申请人均应将不同耐药比例下最低检测限的验证情况体现在产品说明书中。</w:t>
      </w:r>
    </w:p>
    <w:p w14:paraId="3EB50304">
      <w:pPr>
        <w:spacing w:line="560" w:lineRule="exact"/>
        <w:ind w:firstLine="640" w:firstLineChars="200"/>
        <w:rPr>
          <w:rFonts w:eastAsia="仿宋_GB2312"/>
          <w:color w:val="000000"/>
          <w:kern w:val="0"/>
          <w:sz w:val="32"/>
          <w:szCs w:val="32"/>
        </w:rPr>
      </w:pPr>
      <w:r>
        <w:rPr>
          <w:rFonts w:eastAsia="仿宋_GB2312"/>
          <w:color w:val="000000"/>
          <w:kern w:val="0"/>
          <w:sz w:val="32"/>
          <w:szCs w:val="32"/>
        </w:rPr>
        <w:t>2.7分析特异性</w:t>
      </w:r>
    </w:p>
    <w:p w14:paraId="048917C8">
      <w:pPr>
        <w:spacing w:line="560" w:lineRule="exact"/>
        <w:ind w:firstLine="640" w:firstLineChars="200"/>
        <w:rPr>
          <w:rFonts w:eastAsia="仿宋_GB2312"/>
          <w:color w:val="000000"/>
          <w:kern w:val="0"/>
          <w:sz w:val="32"/>
          <w:szCs w:val="32"/>
        </w:rPr>
      </w:pPr>
      <w:r>
        <w:rPr>
          <w:rFonts w:eastAsia="仿宋_GB2312"/>
          <w:color w:val="000000"/>
          <w:kern w:val="0"/>
          <w:sz w:val="32"/>
          <w:szCs w:val="32"/>
        </w:rPr>
        <w:t>2.7.1</w:t>
      </w:r>
      <w:r>
        <w:rPr>
          <w:rFonts w:hint="eastAsia" w:eastAsia="仿宋_GB2312"/>
          <w:color w:val="000000"/>
          <w:kern w:val="0"/>
          <w:sz w:val="32"/>
          <w:szCs w:val="32"/>
        </w:rPr>
        <w:t>交叉反应</w:t>
      </w:r>
    </w:p>
    <w:p w14:paraId="3AB8868D">
      <w:pPr>
        <w:spacing w:line="560" w:lineRule="exact"/>
        <w:ind w:firstLine="640" w:firstLineChars="200"/>
        <w:rPr>
          <w:rFonts w:eastAsia="仿宋_GB2312"/>
          <w:color w:val="000000"/>
          <w:kern w:val="0"/>
          <w:sz w:val="32"/>
          <w:szCs w:val="32"/>
        </w:rPr>
      </w:pPr>
      <w:r>
        <w:rPr>
          <w:rFonts w:hint="eastAsia" w:eastAsia="仿宋_GB2312"/>
          <w:color w:val="000000"/>
          <w:kern w:val="0"/>
          <w:sz w:val="32"/>
          <w:szCs w:val="32"/>
        </w:rPr>
        <w:t>2</w:t>
      </w:r>
      <w:r>
        <w:rPr>
          <w:rFonts w:eastAsia="仿宋_GB2312"/>
          <w:color w:val="000000"/>
          <w:kern w:val="0"/>
          <w:sz w:val="32"/>
          <w:szCs w:val="32"/>
        </w:rPr>
        <w:t>.7.1.1野生型验证：采用</w:t>
      </w:r>
      <w:r>
        <w:rPr>
          <w:rFonts w:hint="eastAsia" w:eastAsia="仿宋_GB2312"/>
          <w:color w:val="000000"/>
          <w:kern w:val="0"/>
          <w:sz w:val="32"/>
          <w:szCs w:val="32"/>
        </w:rPr>
        <w:t>高浓度</w:t>
      </w:r>
      <w:r>
        <w:rPr>
          <w:rFonts w:eastAsia="仿宋_GB2312"/>
          <w:color w:val="000000"/>
          <w:kern w:val="0"/>
          <w:sz w:val="32"/>
          <w:szCs w:val="32"/>
        </w:rPr>
        <w:t>野生型结核分枝杆菌进行验证，结果应为敏感或阴性。</w:t>
      </w:r>
    </w:p>
    <w:p w14:paraId="619900A9">
      <w:pPr>
        <w:spacing w:line="560" w:lineRule="exact"/>
        <w:ind w:firstLine="640" w:firstLineChars="200"/>
        <w:rPr>
          <w:rFonts w:eastAsia="仿宋_GB2312"/>
          <w:color w:val="000000"/>
          <w:kern w:val="0"/>
          <w:sz w:val="32"/>
          <w:szCs w:val="32"/>
        </w:rPr>
      </w:pPr>
      <w:r>
        <w:rPr>
          <w:rFonts w:eastAsia="仿宋_GB2312"/>
          <w:color w:val="000000"/>
          <w:kern w:val="0"/>
          <w:sz w:val="32"/>
          <w:szCs w:val="32"/>
        </w:rPr>
        <w:t>2.7.1.2申报产品声称的全部突变类型间的交叉反应验证。</w:t>
      </w:r>
    </w:p>
    <w:p w14:paraId="125FD730">
      <w:pPr>
        <w:spacing w:line="560" w:lineRule="exact"/>
        <w:ind w:firstLine="640" w:firstLineChars="200"/>
        <w:rPr>
          <w:rFonts w:eastAsia="仿宋_GB2312"/>
          <w:color w:val="000000"/>
          <w:kern w:val="0"/>
          <w:sz w:val="32"/>
          <w:szCs w:val="32"/>
        </w:rPr>
      </w:pPr>
      <w:r>
        <w:rPr>
          <w:rFonts w:hint="eastAsia" w:eastAsia="仿宋_GB2312"/>
          <w:color w:val="000000"/>
          <w:kern w:val="0"/>
          <w:sz w:val="32"/>
          <w:szCs w:val="32"/>
        </w:rPr>
        <w:t>2</w:t>
      </w:r>
      <w:r>
        <w:rPr>
          <w:rFonts w:eastAsia="仿宋_GB2312"/>
          <w:color w:val="000000"/>
          <w:kern w:val="0"/>
          <w:sz w:val="32"/>
          <w:szCs w:val="32"/>
        </w:rPr>
        <w:t>.7.1.3</w:t>
      </w:r>
      <w:r>
        <w:rPr>
          <w:rFonts w:hint="eastAsia" w:eastAsia="仿宋_GB2312"/>
          <w:color w:val="000000"/>
          <w:kern w:val="0"/>
          <w:sz w:val="32"/>
          <w:szCs w:val="32"/>
        </w:rPr>
        <w:t>对</w:t>
      </w:r>
      <w:r>
        <w:rPr>
          <w:rFonts w:eastAsia="仿宋_GB2312"/>
          <w:color w:val="000000"/>
          <w:kern w:val="0"/>
          <w:sz w:val="32"/>
          <w:szCs w:val="32"/>
        </w:rPr>
        <w:t>申报产品</w:t>
      </w:r>
      <w:r>
        <w:rPr>
          <w:rFonts w:hint="eastAsia" w:eastAsia="仿宋_GB2312"/>
          <w:color w:val="000000"/>
          <w:kern w:val="0"/>
          <w:sz w:val="32"/>
          <w:szCs w:val="32"/>
        </w:rPr>
        <w:t>检测范围外的其他常见</w:t>
      </w:r>
      <w:r>
        <w:rPr>
          <w:rFonts w:eastAsia="仿宋_GB2312"/>
          <w:color w:val="000000"/>
          <w:kern w:val="0"/>
          <w:sz w:val="32"/>
          <w:szCs w:val="32"/>
        </w:rPr>
        <w:t>突变</w:t>
      </w:r>
      <w:r>
        <w:rPr>
          <w:rFonts w:hint="eastAsia" w:eastAsia="仿宋_GB2312"/>
          <w:color w:val="000000"/>
          <w:kern w:val="0"/>
          <w:sz w:val="32"/>
          <w:szCs w:val="32"/>
        </w:rPr>
        <w:t>类型适当进行</w:t>
      </w:r>
      <w:r>
        <w:rPr>
          <w:rFonts w:eastAsia="仿宋_GB2312"/>
          <w:color w:val="000000"/>
          <w:kern w:val="0"/>
          <w:sz w:val="32"/>
          <w:szCs w:val="32"/>
        </w:rPr>
        <w:t>交叉反应验证。</w:t>
      </w:r>
    </w:p>
    <w:p w14:paraId="1C179919">
      <w:pPr>
        <w:spacing w:line="560" w:lineRule="exact"/>
        <w:ind w:firstLine="640" w:firstLineChars="200"/>
        <w:rPr>
          <w:rFonts w:eastAsia="仿宋_GB2312"/>
          <w:color w:val="000000"/>
          <w:kern w:val="0"/>
          <w:sz w:val="32"/>
          <w:szCs w:val="32"/>
        </w:rPr>
      </w:pPr>
      <w:r>
        <w:rPr>
          <w:rFonts w:eastAsia="仿宋_GB2312"/>
          <w:color w:val="000000"/>
          <w:kern w:val="0"/>
          <w:sz w:val="32"/>
          <w:szCs w:val="32"/>
        </w:rPr>
        <w:t>2.7.1.4对于痰等临床样本类型，鉴于可检测样本中可能同时含有结核分枝杆菌复合群和非结核分枝杆菌复合群，为了验证非结核分枝杆菌复合群等其他病原体对申报产品的检测结果是否造成假阴性和假阳性结果，需对核酸序列具有同源性、易引起相同或相似的临床症状、采样部位正常寄生或易并发的其他病原体进行交叉反应的验证。</w:t>
      </w:r>
      <w:r>
        <w:rPr>
          <w:rFonts w:hint="eastAsia" w:eastAsia="仿宋_GB2312"/>
          <w:color w:val="000000"/>
          <w:kern w:val="0"/>
          <w:sz w:val="32"/>
          <w:szCs w:val="32"/>
        </w:rPr>
        <w:t>通常，进行交叉反应验证的分枝杆菌、细菌或真菌感染的浓度水平为10</w:t>
      </w:r>
      <w:r>
        <w:rPr>
          <w:rFonts w:eastAsia="仿宋_GB2312"/>
          <w:color w:val="000000"/>
          <w:kern w:val="0"/>
          <w:sz w:val="32"/>
          <w:szCs w:val="32"/>
          <w:vertAlign w:val="superscript"/>
        </w:rPr>
        <w:t>6</w:t>
      </w:r>
      <w:r>
        <w:rPr>
          <w:rFonts w:hint="eastAsia" w:eastAsia="仿宋_GB2312"/>
          <w:color w:val="000000"/>
          <w:kern w:val="0"/>
          <w:sz w:val="32"/>
          <w:szCs w:val="32"/>
        </w:rPr>
        <w:t>CFU/mL或更高，病毒为10</w:t>
      </w:r>
      <w:r>
        <w:rPr>
          <w:rFonts w:eastAsia="仿宋_GB2312"/>
          <w:color w:val="000000"/>
          <w:kern w:val="0"/>
          <w:sz w:val="32"/>
          <w:szCs w:val="32"/>
          <w:vertAlign w:val="superscript"/>
        </w:rPr>
        <w:t>5</w:t>
      </w:r>
      <w:r>
        <w:rPr>
          <w:rFonts w:hint="eastAsia" w:eastAsia="仿宋_GB2312"/>
          <w:color w:val="000000"/>
          <w:kern w:val="0"/>
          <w:sz w:val="32"/>
          <w:szCs w:val="32"/>
        </w:rPr>
        <w:t>PFU/mL或更高。</w:t>
      </w:r>
    </w:p>
    <w:p w14:paraId="591BDE36">
      <w:pPr>
        <w:spacing w:line="560" w:lineRule="exact"/>
        <w:ind w:firstLine="640" w:firstLineChars="200"/>
        <w:rPr>
          <w:rFonts w:eastAsia="仿宋_GB2312"/>
          <w:color w:val="000000"/>
          <w:kern w:val="0"/>
          <w:sz w:val="32"/>
          <w:szCs w:val="32"/>
        </w:rPr>
      </w:pPr>
      <w:r>
        <w:rPr>
          <w:rFonts w:eastAsia="仿宋_GB2312"/>
          <w:color w:val="000000"/>
          <w:kern w:val="0"/>
          <w:sz w:val="32"/>
          <w:szCs w:val="32"/>
        </w:rPr>
        <w:t>用于交叉反应研究的其他分枝杆菌</w:t>
      </w:r>
      <w:r>
        <w:rPr>
          <w:rFonts w:hint="eastAsia" w:eastAsia="仿宋_GB2312"/>
          <w:color w:val="000000"/>
          <w:kern w:val="0"/>
          <w:sz w:val="32"/>
          <w:szCs w:val="32"/>
        </w:rPr>
        <w:t>具体包括：</w:t>
      </w:r>
      <w:r>
        <w:rPr>
          <w:rFonts w:eastAsia="仿宋_GB2312"/>
          <w:color w:val="000000"/>
          <w:kern w:val="0"/>
          <w:sz w:val="32"/>
          <w:szCs w:val="32"/>
        </w:rPr>
        <w:t>堪萨斯分枝杆菌</w:t>
      </w:r>
      <w:r>
        <w:rPr>
          <w:rFonts w:hint="eastAsia" w:eastAsia="仿宋_GB2312"/>
          <w:color w:val="000000"/>
          <w:kern w:val="0"/>
          <w:sz w:val="32"/>
          <w:szCs w:val="32"/>
        </w:rPr>
        <w:t>、</w:t>
      </w:r>
      <w:r>
        <w:rPr>
          <w:rFonts w:eastAsia="仿宋_GB2312"/>
          <w:color w:val="000000"/>
          <w:kern w:val="0"/>
          <w:sz w:val="32"/>
          <w:szCs w:val="32"/>
        </w:rPr>
        <w:t>海分枝杆菌</w:t>
      </w:r>
      <w:r>
        <w:rPr>
          <w:rFonts w:hint="eastAsia" w:eastAsia="仿宋_GB2312"/>
          <w:color w:val="000000"/>
          <w:kern w:val="0"/>
          <w:sz w:val="32"/>
          <w:szCs w:val="32"/>
        </w:rPr>
        <w:t>、</w:t>
      </w:r>
      <w:r>
        <w:rPr>
          <w:rFonts w:eastAsia="仿宋_GB2312"/>
          <w:color w:val="000000"/>
          <w:kern w:val="0"/>
          <w:sz w:val="32"/>
          <w:szCs w:val="32"/>
        </w:rPr>
        <w:t>土地分枝杆菌</w:t>
      </w:r>
      <w:r>
        <w:rPr>
          <w:rFonts w:hint="eastAsia" w:eastAsia="仿宋_GB2312"/>
          <w:color w:val="000000"/>
          <w:kern w:val="0"/>
          <w:sz w:val="32"/>
          <w:szCs w:val="32"/>
        </w:rPr>
        <w:t>、</w:t>
      </w:r>
      <w:r>
        <w:rPr>
          <w:rFonts w:eastAsia="仿宋_GB2312"/>
          <w:color w:val="000000"/>
          <w:kern w:val="0"/>
          <w:sz w:val="32"/>
          <w:szCs w:val="32"/>
        </w:rPr>
        <w:t>次要分枝杆菌</w:t>
      </w:r>
      <w:r>
        <w:rPr>
          <w:rFonts w:hint="eastAsia" w:eastAsia="仿宋_GB2312"/>
          <w:color w:val="000000"/>
          <w:kern w:val="0"/>
          <w:sz w:val="32"/>
          <w:szCs w:val="32"/>
        </w:rPr>
        <w:t>、</w:t>
      </w:r>
      <w:r>
        <w:rPr>
          <w:rFonts w:eastAsia="仿宋_GB2312"/>
          <w:color w:val="000000"/>
          <w:kern w:val="0"/>
          <w:sz w:val="32"/>
          <w:szCs w:val="32"/>
        </w:rPr>
        <w:t>溃疡分枝杆菌</w:t>
      </w:r>
      <w:r>
        <w:rPr>
          <w:rFonts w:hint="eastAsia" w:eastAsia="仿宋_GB2312"/>
          <w:color w:val="000000"/>
          <w:kern w:val="0"/>
          <w:sz w:val="32"/>
          <w:szCs w:val="32"/>
        </w:rPr>
        <w:t>、</w:t>
      </w:r>
      <w:r>
        <w:rPr>
          <w:rFonts w:eastAsia="仿宋_GB2312"/>
          <w:color w:val="000000"/>
          <w:kern w:val="0"/>
          <w:sz w:val="32"/>
          <w:szCs w:val="32"/>
        </w:rPr>
        <w:t>戈登分枝杆菌</w:t>
      </w:r>
      <w:r>
        <w:rPr>
          <w:rFonts w:hint="eastAsia" w:eastAsia="仿宋_GB2312"/>
          <w:color w:val="000000"/>
          <w:kern w:val="0"/>
          <w:sz w:val="32"/>
          <w:szCs w:val="32"/>
        </w:rPr>
        <w:t>、</w:t>
      </w:r>
      <w:r>
        <w:rPr>
          <w:rFonts w:eastAsia="仿宋_GB2312"/>
          <w:color w:val="000000"/>
          <w:kern w:val="0"/>
          <w:sz w:val="32"/>
          <w:szCs w:val="32"/>
        </w:rPr>
        <w:t>蟾分枝杆菌</w:t>
      </w:r>
      <w:r>
        <w:rPr>
          <w:rFonts w:hint="eastAsia" w:eastAsia="仿宋_GB2312"/>
          <w:color w:val="000000"/>
          <w:kern w:val="0"/>
          <w:sz w:val="32"/>
          <w:szCs w:val="32"/>
        </w:rPr>
        <w:t>、</w:t>
      </w:r>
      <w:r>
        <w:rPr>
          <w:rFonts w:eastAsia="仿宋_GB2312"/>
          <w:color w:val="000000"/>
          <w:kern w:val="0"/>
          <w:sz w:val="32"/>
          <w:szCs w:val="32"/>
        </w:rPr>
        <w:t>鸟分枝杆菌</w:t>
      </w:r>
      <w:r>
        <w:rPr>
          <w:rFonts w:hint="eastAsia" w:eastAsia="仿宋_GB2312"/>
          <w:color w:val="000000"/>
          <w:kern w:val="0"/>
          <w:sz w:val="32"/>
          <w:szCs w:val="32"/>
        </w:rPr>
        <w:t>、</w:t>
      </w:r>
      <w:r>
        <w:rPr>
          <w:rFonts w:eastAsia="仿宋_GB2312"/>
          <w:color w:val="000000"/>
          <w:kern w:val="0"/>
          <w:sz w:val="32"/>
          <w:szCs w:val="32"/>
        </w:rPr>
        <w:t>瘰疬分枝杆菌</w:t>
      </w:r>
      <w:r>
        <w:rPr>
          <w:rFonts w:hint="eastAsia" w:eastAsia="仿宋_GB2312"/>
          <w:color w:val="000000"/>
          <w:kern w:val="0"/>
          <w:sz w:val="32"/>
          <w:szCs w:val="32"/>
        </w:rPr>
        <w:t>、</w:t>
      </w:r>
      <w:r>
        <w:rPr>
          <w:rFonts w:eastAsia="仿宋_GB2312"/>
          <w:color w:val="000000"/>
          <w:kern w:val="0"/>
          <w:sz w:val="32"/>
          <w:szCs w:val="32"/>
        </w:rPr>
        <w:t>苏加分枝杆菌</w:t>
      </w:r>
      <w:r>
        <w:rPr>
          <w:rFonts w:hint="eastAsia" w:eastAsia="仿宋_GB2312"/>
          <w:color w:val="000000"/>
          <w:kern w:val="0"/>
          <w:sz w:val="32"/>
          <w:szCs w:val="32"/>
        </w:rPr>
        <w:t>、</w:t>
      </w:r>
      <w:r>
        <w:rPr>
          <w:rFonts w:eastAsia="仿宋_GB2312"/>
          <w:color w:val="000000"/>
          <w:kern w:val="0"/>
          <w:sz w:val="32"/>
          <w:szCs w:val="32"/>
        </w:rPr>
        <w:t>龟分枝杆菌</w:t>
      </w:r>
      <w:r>
        <w:rPr>
          <w:rFonts w:hint="eastAsia" w:eastAsia="仿宋_GB2312"/>
          <w:color w:val="000000"/>
          <w:kern w:val="0"/>
          <w:sz w:val="32"/>
          <w:szCs w:val="32"/>
        </w:rPr>
        <w:t>、</w:t>
      </w:r>
      <w:r>
        <w:rPr>
          <w:rFonts w:eastAsia="仿宋_GB2312"/>
          <w:color w:val="000000"/>
          <w:kern w:val="0"/>
          <w:sz w:val="32"/>
          <w:szCs w:val="32"/>
        </w:rPr>
        <w:t>脓肿分枝杆菌</w:t>
      </w:r>
      <w:r>
        <w:rPr>
          <w:rFonts w:hint="eastAsia" w:eastAsia="仿宋_GB2312"/>
          <w:color w:val="000000"/>
          <w:kern w:val="0"/>
          <w:sz w:val="32"/>
          <w:szCs w:val="32"/>
        </w:rPr>
        <w:t>、</w:t>
      </w:r>
      <w:r>
        <w:rPr>
          <w:rFonts w:eastAsia="仿宋_GB2312"/>
          <w:color w:val="000000"/>
          <w:kern w:val="0"/>
          <w:sz w:val="32"/>
          <w:szCs w:val="32"/>
        </w:rPr>
        <w:t>耻垢分枝杆菌</w:t>
      </w:r>
      <w:r>
        <w:rPr>
          <w:rFonts w:hint="eastAsia" w:eastAsia="仿宋_GB2312"/>
          <w:color w:val="000000"/>
          <w:kern w:val="0"/>
          <w:sz w:val="32"/>
          <w:szCs w:val="32"/>
        </w:rPr>
        <w:t>、</w:t>
      </w:r>
      <w:r>
        <w:rPr>
          <w:rFonts w:eastAsia="仿宋_GB2312"/>
          <w:color w:val="000000"/>
          <w:kern w:val="0"/>
          <w:sz w:val="32"/>
          <w:szCs w:val="32"/>
        </w:rPr>
        <w:t>偶</w:t>
      </w:r>
      <w:r>
        <w:rPr>
          <w:rFonts w:hint="eastAsia" w:eastAsia="仿宋_GB2312"/>
          <w:color w:val="000000"/>
          <w:kern w:val="0"/>
          <w:sz w:val="32"/>
          <w:szCs w:val="32"/>
        </w:rPr>
        <w:t>发</w:t>
      </w:r>
      <w:r>
        <w:rPr>
          <w:rFonts w:eastAsia="仿宋_GB2312"/>
          <w:color w:val="000000"/>
          <w:kern w:val="0"/>
          <w:sz w:val="32"/>
          <w:szCs w:val="32"/>
        </w:rPr>
        <w:t>分枝杆菌</w:t>
      </w:r>
      <w:r>
        <w:rPr>
          <w:rFonts w:hint="eastAsia" w:eastAsia="仿宋_GB2312"/>
          <w:color w:val="000000"/>
          <w:kern w:val="0"/>
          <w:sz w:val="32"/>
          <w:szCs w:val="32"/>
        </w:rPr>
        <w:t>、胃分枝杆菌、</w:t>
      </w:r>
      <w:r>
        <w:rPr>
          <w:rFonts w:eastAsia="仿宋_GB2312"/>
          <w:color w:val="000000"/>
          <w:kern w:val="0"/>
          <w:sz w:val="32"/>
          <w:szCs w:val="32"/>
        </w:rPr>
        <w:t>胞内分枝杆菌</w:t>
      </w:r>
      <w:r>
        <w:rPr>
          <w:rFonts w:hint="eastAsia" w:eastAsia="仿宋_GB2312"/>
          <w:color w:val="000000"/>
          <w:kern w:val="0"/>
          <w:sz w:val="32"/>
          <w:szCs w:val="32"/>
        </w:rPr>
        <w:t>、</w:t>
      </w:r>
      <w:r>
        <w:rPr>
          <w:rFonts w:eastAsia="仿宋_GB2312"/>
          <w:color w:val="000000"/>
          <w:kern w:val="0"/>
          <w:sz w:val="32"/>
          <w:szCs w:val="32"/>
        </w:rPr>
        <w:t>草分枝杆菌</w:t>
      </w:r>
      <w:r>
        <w:rPr>
          <w:rFonts w:hint="eastAsia" w:eastAsia="仿宋_GB2312"/>
          <w:color w:val="000000"/>
          <w:kern w:val="0"/>
          <w:sz w:val="32"/>
          <w:szCs w:val="32"/>
        </w:rPr>
        <w:t>、亚洲分枝杆菌。上述细菌均应进行验证。</w:t>
      </w:r>
    </w:p>
    <w:p w14:paraId="11C9394D">
      <w:pPr>
        <w:spacing w:line="560" w:lineRule="exact"/>
        <w:ind w:firstLine="640" w:firstLineChars="200"/>
        <w:rPr>
          <w:rFonts w:eastAsia="仿宋_GB2312"/>
          <w:color w:val="000000"/>
          <w:kern w:val="0"/>
          <w:sz w:val="32"/>
          <w:szCs w:val="32"/>
        </w:rPr>
      </w:pPr>
      <w:r>
        <w:rPr>
          <w:rFonts w:eastAsia="仿宋_GB2312"/>
          <w:color w:val="000000"/>
          <w:kern w:val="0"/>
          <w:sz w:val="32"/>
          <w:szCs w:val="32"/>
        </w:rPr>
        <w:t>用于交叉反应研究的其他病原体</w:t>
      </w:r>
      <w:r>
        <w:rPr>
          <w:rFonts w:hint="eastAsia" w:eastAsia="仿宋_GB2312"/>
          <w:color w:val="000000"/>
          <w:kern w:val="0"/>
          <w:sz w:val="32"/>
          <w:szCs w:val="32"/>
        </w:rPr>
        <w:t>具体包括：</w:t>
      </w:r>
      <w:r>
        <w:rPr>
          <w:rFonts w:eastAsia="仿宋_GB2312"/>
          <w:color w:val="000000"/>
          <w:kern w:val="0"/>
          <w:sz w:val="32"/>
          <w:szCs w:val="32"/>
        </w:rPr>
        <w:t>肺炎链球菌</w:t>
      </w:r>
      <w:r>
        <w:rPr>
          <w:rFonts w:hint="eastAsia" w:eastAsia="仿宋_GB2312"/>
          <w:color w:val="000000"/>
          <w:kern w:val="0"/>
          <w:sz w:val="32"/>
          <w:szCs w:val="32"/>
        </w:rPr>
        <w:t>、</w:t>
      </w:r>
      <w:r>
        <w:rPr>
          <w:rFonts w:eastAsia="仿宋_GB2312"/>
          <w:color w:val="000000"/>
          <w:kern w:val="0"/>
          <w:sz w:val="32"/>
          <w:szCs w:val="32"/>
        </w:rPr>
        <w:t>流感嗜血杆菌</w:t>
      </w:r>
      <w:r>
        <w:rPr>
          <w:rFonts w:hint="eastAsia" w:eastAsia="仿宋_GB2312"/>
          <w:color w:val="000000"/>
          <w:kern w:val="0"/>
          <w:sz w:val="32"/>
          <w:szCs w:val="32"/>
        </w:rPr>
        <w:t>、</w:t>
      </w:r>
      <w:r>
        <w:rPr>
          <w:rFonts w:eastAsia="仿宋_GB2312"/>
          <w:color w:val="000000"/>
          <w:kern w:val="0"/>
          <w:sz w:val="32"/>
          <w:szCs w:val="32"/>
        </w:rPr>
        <w:t>大肠杆菌</w:t>
      </w:r>
      <w:r>
        <w:rPr>
          <w:rFonts w:hint="eastAsia" w:eastAsia="仿宋_GB2312"/>
          <w:color w:val="000000"/>
          <w:kern w:val="0"/>
          <w:sz w:val="32"/>
          <w:szCs w:val="32"/>
        </w:rPr>
        <w:t>、</w:t>
      </w:r>
      <w:r>
        <w:rPr>
          <w:rFonts w:eastAsia="仿宋_GB2312"/>
          <w:color w:val="000000"/>
          <w:kern w:val="0"/>
          <w:sz w:val="32"/>
          <w:szCs w:val="32"/>
        </w:rPr>
        <w:t>表皮葡萄球菌</w:t>
      </w:r>
      <w:r>
        <w:rPr>
          <w:rFonts w:hint="eastAsia" w:eastAsia="仿宋_GB2312"/>
          <w:color w:val="000000"/>
          <w:kern w:val="0"/>
          <w:sz w:val="32"/>
          <w:szCs w:val="32"/>
        </w:rPr>
        <w:t>、</w:t>
      </w:r>
      <w:r>
        <w:rPr>
          <w:rFonts w:eastAsia="仿宋_GB2312"/>
          <w:color w:val="000000"/>
          <w:kern w:val="0"/>
          <w:sz w:val="32"/>
          <w:szCs w:val="32"/>
        </w:rPr>
        <w:t>隐球菌</w:t>
      </w:r>
      <w:r>
        <w:rPr>
          <w:rFonts w:hint="eastAsia" w:eastAsia="仿宋_GB2312"/>
          <w:color w:val="000000"/>
          <w:kern w:val="0"/>
          <w:sz w:val="32"/>
          <w:szCs w:val="32"/>
        </w:rPr>
        <w:t>、</w:t>
      </w:r>
      <w:r>
        <w:rPr>
          <w:rFonts w:eastAsia="仿宋_GB2312"/>
          <w:color w:val="000000"/>
          <w:kern w:val="0"/>
          <w:sz w:val="32"/>
          <w:szCs w:val="32"/>
        </w:rPr>
        <w:t>金黄色葡萄球菌</w:t>
      </w:r>
      <w:r>
        <w:rPr>
          <w:rFonts w:hint="eastAsia" w:eastAsia="仿宋_GB2312"/>
          <w:color w:val="000000"/>
          <w:kern w:val="0"/>
          <w:sz w:val="32"/>
          <w:szCs w:val="32"/>
        </w:rPr>
        <w:t>、</w:t>
      </w:r>
      <w:r>
        <w:rPr>
          <w:rFonts w:eastAsia="仿宋_GB2312"/>
          <w:color w:val="000000"/>
          <w:kern w:val="0"/>
          <w:sz w:val="32"/>
          <w:szCs w:val="32"/>
        </w:rPr>
        <w:t>诺卡氏菌</w:t>
      </w:r>
      <w:r>
        <w:rPr>
          <w:rFonts w:hint="eastAsia" w:eastAsia="仿宋_GB2312"/>
          <w:color w:val="000000"/>
          <w:kern w:val="0"/>
          <w:sz w:val="32"/>
          <w:szCs w:val="32"/>
        </w:rPr>
        <w:t>、</w:t>
      </w:r>
      <w:r>
        <w:rPr>
          <w:rFonts w:eastAsia="仿宋_GB2312"/>
          <w:color w:val="000000"/>
          <w:kern w:val="0"/>
          <w:sz w:val="32"/>
          <w:szCs w:val="32"/>
        </w:rPr>
        <w:t>绿脓杆菌</w:t>
      </w:r>
      <w:r>
        <w:rPr>
          <w:rFonts w:hint="eastAsia" w:eastAsia="仿宋_GB2312"/>
          <w:color w:val="000000"/>
          <w:kern w:val="0"/>
          <w:sz w:val="32"/>
          <w:szCs w:val="32"/>
        </w:rPr>
        <w:t>、</w:t>
      </w:r>
      <w:r>
        <w:rPr>
          <w:rFonts w:eastAsia="仿宋_GB2312"/>
          <w:color w:val="000000"/>
          <w:kern w:val="0"/>
          <w:sz w:val="32"/>
          <w:szCs w:val="32"/>
        </w:rPr>
        <w:t>白色念珠菌</w:t>
      </w:r>
      <w:r>
        <w:rPr>
          <w:rFonts w:hint="eastAsia" w:eastAsia="仿宋_GB2312"/>
          <w:color w:val="000000"/>
          <w:kern w:val="0"/>
          <w:sz w:val="32"/>
          <w:szCs w:val="32"/>
        </w:rPr>
        <w:t>、人流感病毒（A型和B型）、人类副流感病毒（1、2和3型）。上述</w:t>
      </w:r>
      <w:r>
        <w:rPr>
          <w:rFonts w:eastAsia="仿宋_GB2312"/>
          <w:color w:val="000000"/>
          <w:kern w:val="0"/>
          <w:sz w:val="32"/>
          <w:szCs w:val="32"/>
        </w:rPr>
        <w:t>病原体</w:t>
      </w:r>
      <w:r>
        <w:rPr>
          <w:rFonts w:hint="eastAsia" w:eastAsia="仿宋_GB2312"/>
          <w:color w:val="000000"/>
          <w:kern w:val="0"/>
          <w:sz w:val="32"/>
          <w:szCs w:val="32"/>
        </w:rPr>
        <w:t>均应进行验证。</w:t>
      </w:r>
    </w:p>
    <w:p w14:paraId="01CF7FBB">
      <w:pPr>
        <w:spacing w:line="560" w:lineRule="exact"/>
        <w:ind w:firstLine="640" w:firstLineChars="200"/>
        <w:rPr>
          <w:rFonts w:eastAsia="仿宋_GB2312"/>
          <w:color w:val="000000"/>
          <w:kern w:val="0"/>
          <w:sz w:val="32"/>
          <w:szCs w:val="32"/>
        </w:rPr>
      </w:pPr>
      <w:r>
        <w:rPr>
          <w:rFonts w:eastAsia="仿宋_GB2312"/>
          <w:color w:val="000000"/>
          <w:kern w:val="0"/>
          <w:sz w:val="32"/>
          <w:szCs w:val="32"/>
        </w:rPr>
        <w:t>2.7.2干扰</w:t>
      </w:r>
      <w:r>
        <w:rPr>
          <w:rFonts w:hint="eastAsia" w:eastAsia="仿宋_GB2312"/>
          <w:color w:val="000000"/>
          <w:kern w:val="0"/>
          <w:sz w:val="32"/>
          <w:szCs w:val="32"/>
        </w:rPr>
        <w:t>研究</w:t>
      </w:r>
    </w:p>
    <w:p w14:paraId="6B9569C9">
      <w:pPr>
        <w:spacing w:line="560" w:lineRule="exact"/>
        <w:ind w:firstLine="640" w:firstLineChars="200"/>
        <w:rPr>
          <w:rFonts w:eastAsia="仿宋_GB2312"/>
          <w:color w:val="000000"/>
          <w:kern w:val="0"/>
          <w:sz w:val="32"/>
          <w:szCs w:val="32"/>
        </w:rPr>
      </w:pPr>
      <w:r>
        <w:rPr>
          <w:rFonts w:eastAsia="仿宋_GB2312"/>
          <w:color w:val="000000"/>
          <w:kern w:val="0"/>
          <w:sz w:val="32"/>
          <w:szCs w:val="32"/>
        </w:rPr>
        <w:t>2.7.2.1</w:t>
      </w:r>
      <w:r>
        <w:rPr>
          <w:rFonts w:hint="eastAsia" w:eastAsia="仿宋_GB2312"/>
          <w:color w:val="000000"/>
          <w:kern w:val="0"/>
          <w:sz w:val="32"/>
          <w:szCs w:val="32"/>
        </w:rPr>
        <w:t>内源/外源物质干扰</w:t>
      </w:r>
    </w:p>
    <w:p w14:paraId="05D22DA4">
      <w:pPr>
        <w:spacing w:line="560" w:lineRule="exact"/>
        <w:ind w:firstLine="632" w:firstLineChars="200"/>
        <w:rPr>
          <w:rFonts w:eastAsia="仿宋_GB2312"/>
          <w:color w:val="000000"/>
          <w:spacing w:val="-2"/>
          <w:kern w:val="0"/>
          <w:sz w:val="32"/>
          <w:szCs w:val="32"/>
        </w:rPr>
      </w:pPr>
      <w:r>
        <w:rPr>
          <w:rFonts w:eastAsia="仿宋_GB2312"/>
          <w:color w:val="000000"/>
          <w:spacing w:val="-2"/>
          <w:kern w:val="0"/>
          <w:sz w:val="32"/>
          <w:szCs w:val="32"/>
        </w:rPr>
        <w:t>潜在干扰物质主要包括：内源性物质（不含待检野生/突变靶标的相应临床样本、</w:t>
      </w:r>
      <w:r>
        <w:rPr>
          <w:rFonts w:hint="eastAsia" w:eastAsia="仿宋_GB2312"/>
          <w:color w:val="000000"/>
          <w:spacing w:val="-2"/>
          <w:kern w:val="0"/>
          <w:sz w:val="32"/>
          <w:szCs w:val="32"/>
        </w:rPr>
        <w:t>血红蛋白、黏液蛋白等</w:t>
      </w:r>
      <w:r>
        <w:rPr>
          <w:rFonts w:eastAsia="仿宋_GB2312"/>
          <w:color w:val="000000"/>
          <w:spacing w:val="-2"/>
          <w:kern w:val="0"/>
          <w:sz w:val="32"/>
          <w:szCs w:val="32"/>
        </w:rPr>
        <w:t>）和外源性</w:t>
      </w:r>
      <w:r>
        <w:rPr>
          <w:rFonts w:hint="eastAsia" w:eastAsia="仿宋_GB2312"/>
          <w:color w:val="000000"/>
          <w:spacing w:val="-2"/>
          <w:kern w:val="0"/>
          <w:sz w:val="32"/>
          <w:szCs w:val="32"/>
        </w:rPr>
        <w:t>干扰物质（如常见治疗药物等）</w:t>
      </w:r>
      <w:r>
        <w:rPr>
          <w:rFonts w:eastAsia="仿宋_GB2312"/>
          <w:color w:val="000000"/>
          <w:spacing w:val="-2"/>
          <w:kern w:val="0"/>
          <w:sz w:val="32"/>
          <w:szCs w:val="32"/>
        </w:rPr>
        <w:t>。建议申请人在每种干扰物质的潜在最大浓度（最差条件）条件下进行评价。对于常见药物干扰试验，建议参照相应药物药代动力学研究确定的治疗药物浓度添加相应药物进行干扰验证。</w:t>
      </w:r>
    </w:p>
    <w:p w14:paraId="7C6A4497">
      <w:pPr>
        <w:spacing w:line="560" w:lineRule="exact"/>
        <w:ind w:firstLine="640" w:firstLineChars="200"/>
        <w:rPr>
          <w:rFonts w:eastAsia="仿宋_GB2312"/>
          <w:color w:val="000000"/>
          <w:kern w:val="0"/>
          <w:sz w:val="32"/>
          <w:szCs w:val="32"/>
        </w:rPr>
      </w:pPr>
      <w:r>
        <w:rPr>
          <w:rFonts w:eastAsia="仿宋_GB2312"/>
          <w:color w:val="000000"/>
          <w:kern w:val="0"/>
          <w:sz w:val="32"/>
          <w:szCs w:val="32"/>
        </w:rPr>
        <w:t>用于干扰研究的外源性药物</w:t>
      </w:r>
      <w:r>
        <w:rPr>
          <w:rFonts w:hint="eastAsia" w:eastAsia="仿宋_GB2312"/>
          <w:color w:val="000000"/>
          <w:kern w:val="0"/>
          <w:sz w:val="32"/>
          <w:szCs w:val="32"/>
        </w:rPr>
        <w:t>具体包括：抗结核药物（</w:t>
      </w:r>
      <w:r>
        <w:rPr>
          <w:rFonts w:eastAsia="仿宋_GB2312"/>
          <w:color w:val="000000"/>
          <w:kern w:val="0"/>
          <w:sz w:val="32"/>
          <w:szCs w:val="32"/>
        </w:rPr>
        <w:t>异烟肼</w:t>
      </w:r>
      <w:r>
        <w:rPr>
          <w:rFonts w:hint="eastAsia" w:eastAsia="仿宋_GB2312"/>
          <w:color w:val="000000"/>
          <w:kern w:val="0"/>
          <w:sz w:val="32"/>
          <w:szCs w:val="32"/>
        </w:rPr>
        <w:t>、</w:t>
      </w:r>
      <w:r>
        <w:rPr>
          <w:rFonts w:eastAsia="仿宋_GB2312"/>
          <w:color w:val="000000"/>
          <w:kern w:val="0"/>
          <w:sz w:val="32"/>
          <w:szCs w:val="32"/>
        </w:rPr>
        <w:t>利福平</w:t>
      </w:r>
      <w:r>
        <w:rPr>
          <w:rFonts w:hint="eastAsia" w:eastAsia="仿宋_GB2312"/>
          <w:color w:val="000000"/>
          <w:kern w:val="0"/>
          <w:sz w:val="32"/>
          <w:szCs w:val="32"/>
        </w:rPr>
        <w:t>、乙胺丁醇、吡嗪酰胺、贝达喹啉、利奈唑胺、普托马尼、莫西沙星等</w:t>
      </w:r>
      <w:r>
        <w:rPr>
          <w:rFonts w:eastAsia="仿宋_GB2312"/>
          <w:color w:val="000000"/>
          <w:kern w:val="0"/>
          <w:sz w:val="32"/>
          <w:szCs w:val="32"/>
        </w:rPr>
        <w:t>）抗生素（如：阿莫西林、左氧氟沙星）</w:t>
      </w:r>
      <w:r>
        <w:rPr>
          <w:rFonts w:hint="eastAsia" w:eastAsia="仿宋_GB2312"/>
          <w:color w:val="000000"/>
          <w:kern w:val="0"/>
          <w:sz w:val="32"/>
          <w:szCs w:val="32"/>
        </w:rPr>
        <w:t>、</w:t>
      </w:r>
      <w:r>
        <w:rPr>
          <w:rFonts w:eastAsia="仿宋_GB2312"/>
          <w:color w:val="000000"/>
          <w:kern w:val="0"/>
          <w:sz w:val="32"/>
          <w:szCs w:val="32"/>
        </w:rPr>
        <w:t>鼻腔喷雾剂或滴鼻剂（如：肾上腺素、羟甲唑啉、含防腐剂的氯化钠溶液）</w:t>
      </w:r>
      <w:r>
        <w:rPr>
          <w:rFonts w:hint="eastAsia" w:eastAsia="仿宋_GB2312"/>
          <w:color w:val="000000"/>
          <w:kern w:val="0"/>
          <w:sz w:val="32"/>
          <w:szCs w:val="32"/>
        </w:rPr>
        <w:t>、</w:t>
      </w:r>
      <w:r>
        <w:rPr>
          <w:rFonts w:eastAsia="仿宋_GB2312"/>
          <w:color w:val="000000"/>
          <w:kern w:val="0"/>
          <w:sz w:val="32"/>
          <w:szCs w:val="32"/>
        </w:rPr>
        <w:t>鼻用软膏类（如：莫匹罗星）</w:t>
      </w:r>
      <w:r>
        <w:rPr>
          <w:rFonts w:hint="eastAsia" w:eastAsia="仿宋_GB2312"/>
          <w:color w:val="000000"/>
          <w:kern w:val="0"/>
          <w:sz w:val="32"/>
          <w:szCs w:val="32"/>
        </w:rPr>
        <w:t>、</w:t>
      </w:r>
      <w:r>
        <w:rPr>
          <w:rFonts w:eastAsia="仿宋_GB2312"/>
          <w:color w:val="000000"/>
          <w:kern w:val="0"/>
          <w:sz w:val="32"/>
          <w:szCs w:val="32"/>
        </w:rPr>
        <w:t>抗病毒药（如：扎那米韦）</w:t>
      </w:r>
      <w:r>
        <w:rPr>
          <w:rFonts w:hint="eastAsia" w:eastAsia="仿宋_GB2312"/>
          <w:color w:val="000000"/>
          <w:kern w:val="0"/>
          <w:sz w:val="32"/>
          <w:szCs w:val="32"/>
        </w:rPr>
        <w:t>、</w:t>
      </w:r>
      <w:r>
        <w:rPr>
          <w:rFonts w:eastAsia="仿宋_GB2312"/>
          <w:color w:val="000000"/>
          <w:kern w:val="0"/>
          <w:sz w:val="32"/>
          <w:szCs w:val="32"/>
        </w:rPr>
        <w:t>鼻腔糖皮质激素（如：倍氯米松、地塞米松、氟尼缩松、曲安西龙、布地奈德、莫美他松、氟替卡松）</w:t>
      </w:r>
      <w:r>
        <w:rPr>
          <w:rFonts w:hint="eastAsia" w:eastAsia="仿宋_GB2312"/>
          <w:color w:val="000000"/>
          <w:kern w:val="0"/>
          <w:sz w:val="32"/>
          <w:szCs w:val="32"/>
        </w:rPr>
        <w:t>。上述</w:t>
      </w:r>
      <w:r>
        <w:rPr>
          <w:rFonts w:eastAsia="仿宋_GB2312"/>
          <w:color w:val="000000"/>
          <w:kern w:val="0"/>
          <w:sz w:val="32"/>
          <w:szCs w:val="32"/>
        </w:rPr>
        <w:t>外源性药物均应进行验证，括号内至少选做一种。</w:t>
      </w:r>
    </w:p>
    <w:p w14:paraId="7466E9C9">
      <w:pPr>
        <w:spacing w:line="560" w:lineRule="exact"/>
        <w:ind w:firstLine="640" w:firstLineChars="200"/>
        <w:rPr>
          <w:rFonts w:eastAsia="仿宋_GB2312"/>
          <w:color w:val="000000"/>
          <w:kern w:val="0"/>
          <w:sz w:val="32"/>
          <w:szCs w:val="32"/>
        </w:rPr>
      </w:pPr>
      <w:r>
        <w:rPr>
          <w:rFonts w:eastAsia="仿宋_GB2312"/>
          <w:color w:val="000000"/>
          <w:kern w:val="0"/>
          <w:sz w:val="32"/>
          <w:szCs w:val="32"/>
        </w:rPr>
        <w:t>对于培养物样本，干扰物质主要为适用培养基和相关药物（</w:t>
      </w:r>
      <w:r>
        <w:rPr>
          <w:rFonts w:hint="eastAsia" w:eastAsia="仿宋_GB2312"/>
          <w:color w:val="000000"/>
          <w:kern w:val="0"/>
          <w:sz w:val="32"/>
          <w:szCs w:val="32"/>
        </w:rPr>
        <w:t>如孔雀石绿、两性霉素B、多黏菌素B、万古霉素等</w:t>
      </w:r>
      <w:r>
        <w:rPr>
          <w:rFonts w:eastAsia="仿宋_GB2312"/>
          <w:color w:val="000000"/>
          <w:kern w:val="0"/>
          <w:sz w:val="32"/>
          <w:szCs w:val="32"/>
        </w:rPr>
        <w:t>）的干扰，应在最低检测限浓度</w:t>
      </w:r>
      <w:r>
        <w:rPr>
          <w:rFonts w:hint="eastAsia" w:eastAsia="仿宋_GB2312"/>
          <w:color w:val="000000"/>
          <w:kern w:val="0"/>
          <w:sz w:val="32"/>
          <w:szCs w:val="32"/>
        </w:rPr>
        <w:t>及</w:t>
      </w:r>
      <w:r>
        <w:rPr>
          <w:rFonts w:eastAsia="仿宋_GB2312"/>
          <w:color w:val="000000"/>
          <w:kern w:val="0"/>
          <w:sz w:val="32"/>
          <w:szCs w:val="32"/>
        </w:rPr>
        <w:t>阴性条件下验证相关药物和培养基对检测结果的影响，明确不产生干扰的最大培养基</w:t>
      </w:r>
      <w:bookmarkStart w:id="23" w:name="_GoBack"/>
      <w:bookmarkEnd w:id="23"/>
      <w:r>
        <w:rPr>
          <w:rFonts w:eastAsia="仿宋_GB2312"/>
          <w:color w:val="000000"/>
          <w:kern w:val="0"/>
          <w:sz w:val="32"/>
          <w:szCs w:val="32"/>
        </w:rPr>
        <w:t>药物浓度。</w:t>
      </w:r>
    </w:p>
    <w:p w14:paraId="3F68F1E7">
      <w:pPr>
        <w:spacing w:line="560" w:lineRule="exact"/>
        <w:ind w:firstLine="640" w:firstLineChars="200"/>
        <w:rPr>
          <w:rFonts w:eastAsia="仿宋_GB2312"/>
          <w:color w:val="000000"/>
          <w:kern w:val="0"/>
          <w:sz w:val="32"/>
          <w:szCs w:val="32"/>
        </w:rPr>
      </w:pPr>
      <w:r>
        <w:rPr>
          <w:rFonts w:eastAsia="仿宋_GB2312"/>
          <w:color w:val="000000"/>
          <w:kern w:val="0"/>
          <w:sz w:val="32"/>
          <w:szCs w:val="32"/>
        </w:rPr>
        <w:t>2.7.2.2</w:t>
      </w:r>
      <w:r>
        <w:rPr>
          <w:rFonts w:hint="eastAsia" w:eastAsia="仿宋_GB2312"/>
          <w:color w:val="000000"/>
          <w:kern w:val="0"/>
          <w:sz w:val="32"/>
          <w:szCs w:val="32"/>
        </w:rPr>
        <w:t>竞争性干扰</w:t>
      </w:r>
    </w:p>
    <w:p w14:paraId="5400A2A7">
      <w:pPr>
        <w:spacing w:line="560" w:lineRule="exact"/>
        <w:ind w:firstLine="640" w:firstLineChars="200"/>
        <w:rPr>
          <w:rFonts w:eastAsia="仿宋_GB2312"/>
          <w:color w:val="000000"/>
          <w:kern w:val="0"/>
          <w:sz w:val="32"/>
          <w:szCs w:val="32"/>
        </w:rPr>
      </w:pPr>
      <w:r>
        <w:rPr>
          <w:rFonts w:hint="eastAsia" w:eastAsia="仿宋_GB2312"/>
          <w:color w:val="000000"/>
          <w:kern w:val="0"/>
          <w:sz w:val="32"/>
          <w:szCs w:val="32"/>
        </w:rPr>
        <w:t>临床上存在多种耐药基因突变的情况，应考虑评价高浓度分析物对低浓度分析物检测的影响。竞争性干扰建议考虑常见不同耐药突变类型混合存在的情形，考察高浓度/高突变比例类型对低浓度/低突变类型检测的影响。</w:t>
      </w:r>
    </w:p>
    <w:p w14:paraId="1EF03A00">
      <w:pPr>
        <w:spacing w:line="560" w:lineRule="exact"/>
        <w:ind w:firstLine="640" w:firstLineChars="200"/>
        <w:rPr>
          <w:rFonts w:eastAsia="仿宋_GB2312"/>
          <w:color w:val="000000"/>
          <w:kern w:val="0"/>
          <w:sz w:val="32"/>
          <w:szCs w:val="32"/>
        </w:rPr>
      </w:pPr>
      <w:r>
        <w:rPr>
          <w:rFonts w:eastAsia="仿宋_GB2312"/>
          <w:color w:val="000000"/>
          <w:kern w:val="0"/>
          <w:sz w:val="32"/>
          <w:szCs w:val="32"/>
        </w:rPr>
        <w:t>2.8不同样本前处理方法和核酸提取纯化方法的分析性能资料要求</w:t>
      </w:r>
    </w:p>
    <w:p w14:paraId="5E347B0E">
      <w:pPr>
        <w:spacing w:line="560" w:lineRule="exact"/>
        <w:ind w:firstLine="640" w:firstLineChars="200"/>
        <w:rPr>
          <w:rFonts w:eastAsia="仿宋_GB2312"/>
          <w:color w:val="000000"/>
          <w:spacing w:val="2"/>
          <w:kern w:val="0"/>
          <w:sz w:val="32"/>
          <w:szCs w:val="32"/>
        </w:rPr>
      </w:pPr>
      <w:r>
        <w:rPr>
          <w:rFonts w:eastAsia="仿宋_GB2312"/>
          <w:color w:val="000000"/>
          <w:kern w:val="0"/>
          <w:sz w:val="32"/>
          <w:szCs w:val="32"/>
        </w:rPr>
        <w:t>如</w:t>
      </w:r>
      <w:r>
        <w:rPr>
          <w:rFonts w:eastAsia="仿宋_GB2312"/>
          <w:color w:val="000000"/>
          <w:spacing w:val="2"/>
          <w:kern w:val="0"/>
          <w:sz w:val="32"/>
          <w:szCs w:val="32"/>
        </w:rPr>
        <w:t>果某种样本类型可采用几种方法进行样本前处理，申请人应提交适用的样本前处理方法（进行全项目分析性能评估的样本前处理方法除外）与后续试验配合进行的性能试验（至少包括最低检测限</w:t>
      </w:r>
      <w:r>
        <w:rPr>
          <w:rFonts w:hint="eastAsia" w:eastAsia="仿宋_GB2312"/>
          <w:color w:val="000000"/>
          <w:spacing w:val="2"/>
          <w:kern w:val="0"/>
          <w:sz w:val="32"/>
          <w:szCs w:val="32"/>
        </w:rPr>
        <w:t>和精密度</w:t>
      </w:r>
      <w:r>
        <w:rPr>
          <w:rFonts w:eastAsia="仿宋_GB2312"/>
          <w:color w:val="000000"/>
          <w:spacing w:val="2"/>
          <w:kern w:val="0"/>
          <w:sz w:val="32"/>
          <w:szCs w:val="32"/>
        </w:rPr>
        <w:t>项目），以证明不同的样本前处理方法不影响检测结果。</w:t>
      </w:r>
    </w:p>
    <w:p w14:paraId="757A221E">
      <w:pPr>
        <w:spacing w:line="560" w:lineRule="exact"/>
        <w:ind w:firstLine="640" w:firstLineChars="200"/>
        <w:rPr>
          <w:rFonts w:eastAsia="仿宋_GB2312"/>
          <w:color w:val="000000"/>
          <w:kern w:val="0"/>
          <w:sz w:val="32"/>
          <w:szCs w:val="32"/>
        </w:rPr>
      </w:pPr>
      <w:r>
        <w:rPr>
          <w:rFonts w:eastAsia="仿宋_GB2312"/>
          <w:color w:val="000000"/>
          <w:kern w:val="0"/>
          <w:sz w:val="32"/>
          <w:szCs w:val="32"/>
        </w:rPr>
        <w:t>如果某种样本类型可采用几种方法进行核酸提取纯化，</w:t>
      </w:r>
      <w:r>
        <w:rPr>
          <w:rFonts w:hint="eastAsia" w:eastAsia="仿宋_GB2312"/>
          <w:color w:val="000000"/>
          <w:kern w:val="0"/>
          <w:sz w:val="32"/>
          <w:szCs w:val="32"/>
        </w:rPr>
        <w:t>应对配合使用的所有核酸提取试剂进行核酸提取纯度、浓度、提取效率的研究，与公认的性能较好的核酸提取试剂进行比对。</w:t>
      </w:r>
      <w:r>
        <w:rPr>
          <w:rFonts w:eastAsia="仿宋_GB2312"/>
          <w:color w:val="000000"/>
          <w:kern w:val="0"/>
          <w:sz w:val="32"/>
          <w:szCs w:val="32"/>
        </w:rPr>
        <w:t>申请人应提供适用的核酸提取纯化方法（进行全项目分析性能评估的核酸提取纯化方法除外）与后续试验配合进行的性能试验（至少包括最低检测限和精密度项目），以证明不同的核酸提取纯化方法不影响检测结果。</w:t>
      </w:r>
    </w:p>
    <w:p w14:paraId="10DC6D9D">
      <w:pPr>
        <w:spacing w:line="560" w:lineRule="exact"/>
        <w:ind w:firstLine="640" w:firstLineChars="200"/>
        <w:rPr>
          <w:rFonts w:eastAsia="仿宋_GB2312"/>
          <w:color w:val="000000"/>
          <w:kern w:val="0"/>
          <w:sz w:val="32"/>
          <w:szCs w:val="32"/>
        </w:rPr>
      </w:pPr>
      <w:r>
        <w:rPr>
          <w:rFonts w:eastAsia="仿宋_GB2312"/>
          <w:color w:val="000000"/>
          <w:kern w:val="0"/>
          <w:sz w:val="32"/>
          <w:szCs w:val="32"/>
        </w:rPr>
        <w:t>2.9</w:t>
      </w:r>
      <w:r>
        <w:rPr>
          <w:rFonts w:hint="eastAsia" w:eastAsia="仿宋_GB2312"/>
          <w:color w:val="000000"/>
          <w:kern w:val="0"/>
          <w:sz w:val="32"/>
          <w:szCs w:val="32"/>
        </w:rPr>
        <w:t>反应体系</w:t>
      </w:r>
    </w:p>
    <w:p w14:paraId="5E8421BB">
      <w:pPr>
        <w:spacing w:line="560" w:lineRule="exact"/>
        <w:ind w:firstLine="640" w:firstLineChars="200"/>
        <w:rPr>
          <w:rFonts w:eastAsia="仿宋_GB2312"/>
          <w:color w:val="000000"/>
          <w:kern w:val="0"/>
          <w:sz w:val="32"/>
          <w:szCs w:val="32"/>
        </w:rPr>
      </w:pPr>
      <w:r>
        <w:rPr>
          <w:rFonts w:hint="eastAsia" w:eastAsia="仿宋_GB2312"/>
          <w:color w:val="000000"/>
          <w:kern w:val="0"/>
          <w:sz w:val="32"/>
          <w:szCs w:val="32"/>
        </w:rPr>
        <w:t>2.</w:t>
      </w:r>
      <w:r>
        <w:rPr>
          <w:rFonts w:eastAsia="仿宋_GB2312"/>
          <w:color w:val="000000"/>
          <w:kern w:val="0"/>
          <w:sz w:val="32"/>
          <w:szCs w:val="32"/>
        </w:rPr>
        <w:t>9</w:t>
      </w:r>
      <w:r>
        <w:rPr>
          <w:rFonts w:hint="eastAsia" w:eastAsia="仿宋_GB2312"/>
          <w:color w:val="000000"/>
          <w:kern w:val="0"/>
          <w:sz w:val="32"/>
          <w:szCs w:val="32"/>
        </w:rPr>
        <w:t>.1样本采集和处理</w:t>
      </w:r>
    </w:p>
    <w:p w14:paraId="20722A16">
      <w:pPr>
        <w:spacing w:line="560" w:lineRule="exact"/>
        <w:ind w:firstLine="640" w:firstLineChars="200"/>
        <w:rPr>
          <w:rFonts w:eastAsia="仿宋_GB2312"/>
          <w:color w:val="000000"/>
          <w:kern w:val="0"/>
          <w:sz w:val="32"/>
          <w:szCs w:val="32"/>
        </w:rPr>
      </w:pPr>
      <w:r>
        <w:rPr>
          <w:rFonts w:hint="eastAsia" w:eastAsia="仿宋_GB2312"/>
          <w:color w:val="000000"/>
          <w:kern w:val="0"/>
          <w:sz w:val="32"/>
          <w:szCs w:val="32"/>
        </w:rPr>
        <w:t>应进行样本采集方式的研究。明确样本采集时间点的选择及是否受病程、临床症状、用药情况等因素的影响。</w:t>
      </w:r>
    </w:p>
    <w:p w14:paraId="13D33D9E">
      <w:pPr>
        <w:spacing w:line="560" w:lineRule="exact"/>
        <w:ind w:firstLine="640" w:firstLineChars="200"/>
        <w:rPr>
          <w:rFonts w:eastAsia="仿宋_GB2312"/>
          <w:color w:val="000000"/>
          <w:kern w:val="0"/>
          <w:sz w:val="32"/>
          <w:szCs w:val="32"/>
        </w:rPr>
      </w:pPr>
      <w:r>
        <w:rPr>
          <w:rFonts w:hint="eastAsia" w:eastAsia="仿宋_GB2312"/>
          <w:color w:val="000000"/>
          <w:kern w:val="0"/>
          <w:sz w:val="32"/>
          <w:szCs w:val="32"/>
        </w:rPr>
        <w:t>样本处理方式的选择：应对样本前处理方式进行研究。如痰样本应对痰消化方式及消化液成分、使用量进行研究。如产品适用两种或以上消化液，则每一种消化液均需配合提取试剂及检测试剂进行精密度和检出限的验证。</w:t>
      </w:r>
    </w:p>
    <w:p w14:paraId="20E4989B">
      <w:pPr>
        <w:spacing w:line="560" w:lineRule="exact"/>
        <w:ind w:firstLine="640" w:firstLineChars="200"/>
        <w:rPr>
          <w:rFonts w:eastAsia="仿宋_GB2312"/>
          <w:color w:val="000000"/>
          <w:kern w:val="0"/>
          <w:sz w:val="32"/>
          <w:szCs w:val="32"/>
        </w:rPr>
      </w:pPr>
      <w:r>
        <w:rPr>
          <w:rFonts w:hint="eastAsia" w:eastAsia="仿宋_GB2312"/>
          <w:color w:val="000000"/>
          <w:kern w:val="0"/>
          <w:sz w:val="32"/>
          <w:szCs w:val="32"/>
        </w:rPr>
        <w:t>2.</w:t>
      </w:r>
      <w:r>
        <w:rPr>
          <w:rFonts w:eastAsia="仿宋_GB2312"/>
          <w:color w:val="000000"/>
          <w:kern w:val="0"/>
          <w:sz w:val="32"/>
          <w:szCs w:val="32"/>
        </w:rPr>
        <w:t>9.</w:t>
      </w:r>
      <w:r>
        <w:rPr>
          <w:rFonts w:hint="eastAsia" w:eastAsia="仿宋_GB2312"/>
          <w:color w:val="000000"/>
          <w:kern w:val="0"/>
          <w:sz w:val="32"/>
          <w:szCs w:val="32"/>
        </w:rPr>
        <w:t>2核酸提取和反应体系</w:t>
      </w:r>
    </w:p>
    <w:p w14:paraId="5F40441A">
      <w:pPr>
        <w:spacing w:line="560" w:lineRule="exact"/>
        <w:ind w:firstLine="640" w:firstLineChars="200"/>
        <w:rPr>
          <w:rFonts w:eastAsia="仿宋_GB2312"/>
          <w:color w:val="000000"/>
          <w:kern w:val="0"/>
          <w:sz w:val="32"/>
          <w:szCs w:val="32"/>
        </w:rPr>
      </w:pPr>
      <w:r>
        <w:rPr>
          <w:rFonts w:hint="eastAsia" w:eastAsia="仿宋_GB2312"/>
          <w:color w:val="000000"/>
          <w:kern w:val="0"/>
          <w:sz w:val="32"/>
          <w:szCs w:val="32"/>
        </w:rPr>
        <w:t>研究确定最佳核酸提取和反应体系，包括核酸提取用的样本体积、洗脱体积和PCR加样体积、各种酶浓度、引物/探针浓度、dNTP浓度、阳离子浓度及反应各阶段温度、时间、循环数等。建议在保证核酸提取质量的情况下尽量扩大总反应体系和加样量，以提高检测灵敏度。</w:t>
      </w:r>
    </w:p>
    <w:p w14:paraId="79153ABB">
      <w:pPr>
        <w:spacing w:line="560" w:lineRule="exact"/>
        <w:ind w:firstLine="640" w:firstLineChars="200"/>
        <w:rPr>
          <w:rFonts w:hint="eastAsia" w:eastAsia="仿宋_GB2312"/>
          <w:color w:val="000000"/>
          <w:kern w:val="0"/>
          <w:sz w:val="32"/>
          <w:szCs w:val="32"/>
        </w:rPr>
      </w:pPr>
      <w:r>
        <w:rPr>
          <w:rFonts w:hint="eastAsia" w:eastAsia="仿宋_GB2312"/>
          <w:color w:val="000000"/>
          <w:kern w:val="0"/>
          <w:sz w:val="32"/>
          <w:szCs w:val="32"/>
        </w:rPr>
        <w:t>不同适用机型的反应条件如果有差异应分别详述，并提交验证资料。</w:t>
      </w:r>
    </w:p>
    <w:p w14:paraId="01CC2E93">
      <w:pPr>
        <w:spacing w:line="560" w:lineRule="exact"/>
        <w:ind w:firstLine="640" w:firstLineChars="200"/>
        <w:rPr>
          <w:rFonts w:eastAsia="仿宋_GB2312"/>
          <w:kern w:val="0"/>
          <w:sz w:val="32"/>
          <w:szCs w:val="32"/>
        </w:rPr>
      </w:pPr>
      <w:bookmarkStart w:id="7" w:name="_Toc375311139"/>
      <w:r>
        <w:rPr>
          <w:rFonts w:eastAsia="仿宋_GB2312"/>
          <w:kern w:val="0"/>
          <w:sz w:val="32"/>
          <w:szCs w:val="32"/>
        </w:rPr>
        <w:t>3.稳定性研究资料</w:t>
      </w:r>
      <w:bookmarkEnd w:id="7"/>
    </w:p>
    <w:p w14:paraId="502FD45C">
      <w:pPr>
        <w:spacing w:line="560" w:lineRule="exact"/>
        <w:ind w:firstLine="640" w:firstLineChars="200"/>
        <w:rPr>
          <w:rFonts w:eastAsia="仿宋_GB2312"/>
          <w:color w:val="000000"/>
          <w:kern w:val="0"/>
          <w:sz w:val="32"/>
          <w:szCs w:val="32"/>
        </w:rPr>
      </w:pPr>
      <w:r>
        <w:rPr>
          <w:rFonts w:eastAsia="仿宋_GB2312"/>
          <w:color w:val="000000"/>
          <w:kern w:val="0"/>
          <w:sz w:val="32"/>
          <w:szCs w:val="32"/>
        </w:rPr>
        <w:t>稳定性研究资料主要包括实时稳定性（有效期）、</w:t>
      </w:r>
      <w:r>
        <w:rPr>
          <w:rFonts w:hint="eastAsia" w:eastAsia="仿宋_GB2312"/>
          <w:color w:val="000000"/>
          <w:kern w:val="0"/>
          <w:sz w:val="32"/>
          <w:szCs w:val="32"/>
        </w:rPr>
        <w:t>使用稳定性（如</w:t>
      </w:r>
      <w:r>
        <w:rPr>
          <w:rFonts w:eastAsia="仿宋_GB2312"/>
          <w:color w:val="000000"/>
          <w:kern w:val="0"/>
          <w:sz w:val="32"/>
          <w:szCs w:val="32"/>
        </w:rPr>
        <w:t>开瓶稳定性、复溶稳定性、冻融</w:t>
      </w:r>
      <w:r>
        <w:rPr>
          <w:rFonts w:hint="eastAsia" w:eastAsia="仿宋_GB2312"/>
          <w:color w:val="000000"/>
          <w:kern w:val="0"/>
          <w:sz w:val="32"/>
          <w:szCs w:val="32"/>
        </w:rPr>
        <w:t>稳定性）</w:t>
      </w:r>
      <w:r>
        <w:rPr>
          <w:rFonts w:eastAsia="仿宋_GB2312"/>
          <w:color w:val="000000"/>
          <w:kern w:val="0"/>
          <w:sz w:val="32"/>
          <w:szCs w:val="32"/>
        </w:rPr>
        <w:t>等研究，申请人可根据实际需要选择合理的稳定性研究方案。稳定性研究资料应包括研究方法的确定依据、具体的实施方案、详细的研究数据以及结论。对于实时稳定性，应提供至少三批样品在实际储存条件下保存至成品有效期后的研究资料。</w:t>
      </w:r>
      <w:r>
        <w:rPr>
          <w:rFonts w:hint="eastAsia" w:eastAsia="仿宋_GB2312"/>
          <w:color w:val="000000"/>
          <w:kern w:val="0"/>
          <w:sz w:val="32"/>
          <w:szCs w:val="32"/>
        </w:rPr>
        <w:t>稳定性研究具体可参照《体外诊断试剂稳定性研究注册审查指导原则》。</w:t>
      </w:r>
    </w:p>
    <w:p w14:paraId="35F1AE37">
      <w:pPr>
        <w:spacing w:line="560" w:lineRule="exact"/>
        <w:ind w:firstLine="640" w:firstLineChars="200"/>
        <w:rPr>
          <w:rFonts w:eastAsia="仿宋_GB2312"/>
          <w:kern w:val="0"/>
          <w:sz w:val="32"/>
          <w:szCs w:val="32"/>
        </w:rPr>
      </w:pPr>
      <w:r>
        <w:rPr>
          <w:rFonts w:eastAsia="仿宋_GB2312"/>
          <w:kern w:val="0"/>
          <w:sz w:val="32"/>
          <w:szCs w:val="32"/>
        </w:rPr>
        <w:t>4.阳性判断值确定资料</w:t>
      </w:r>
    </w:p>
    <w:p w14:paraId="392F01E6">
      <w:pPr>
        <w:spacing w:line="560" w:lineRule="exact"/>
        <w:ind w:firstLine="640" w:firstLineChars="200"/>
        <w:rPr>
          <w:rFonts w:eastAsia="仿宋_GB2312"/>
          <w:color w:val="000000"/>
          <w:kern w:val="0"/>
          <w:sz w:val="32"/>
          <w:szCs w:val="32"/>
        </w:rPr>
      </w:pPr>
      <w:r>
        <w:rPr>
          <w:rFonts w:eastAsia="仿宋_GB2312"/>
          <w:color w:val="000000"/>
          <w:kern w:val="0"/>
          <w:sz w:val="32"/>
          <w:szCs w:val="32"/>
        </w:rPr>
        <w:t>对于此类试剂，阳性判断值确定资料主要是指</w:t>
      </w:r>
      <w:r>
        <w:rPr>
          <w:rFonts w:hint="eastAsia" w:eastAsia="仿宋_GB2312"/>
          <w:color w:val="000000"/>
          <w:kern w:val="0"/>
          <w:sz w:val="32"/>
          <w:szCs w:val="32"/>
        </w:rPr>
        <w:t>申报产品检测结核分支杆菌复合群耐药基因突变阳性的</w:t>
      </w:r>
      <w:r>
        <w:rPr>
          <w:rFonts w:eastAsia="仿宋_GB2312"/>
          <w:color w:val="000000"/>
          <w:kern w:val="0"/>
          <w:sz w:val="32"/>
          <w:szCs w:val="32"/>
        </w:rPr>
        <w:t>Ct值/Ct值的差值/荧光信号差值</w:t>
      </w:r>
      <w:r>
        <w:rPr>
          <w:rFonts w:hint="eastAsia" w:eastAsia="仿宋_GB2312"/>
          <w:color w:val="000000"/>
          <w:kern w:val="0"/>
          <w:sz w:val="32"/>
          <w:szCs w:val="32"/>
        </w:rPr>
        <w:t>/</w:t>
      </w:r>
      <w:r>
        <w:rPr>
          <w:rFonts w:eastAsia="仿宋_GB2312"/>
          <w:color w:val="000000"/>
          <w:kern w:val="0"/>
          <w:sz w:val="32"/>
          <w:szCs w:val="32"/>
        </w:rPr>
        <w:t>T</w:t>
      </w:r>
      <w:r>
        <w:rPr>
          <w:rFonts w:hint="eastAsia" w:eastAsia="仿宋_GB2312"/>
          <w:color w:val="000000"/>
          <w:kern w:val="0"/>
          <w:sz w:val="32"/>
          <w:szCs w:val="32"/>
        </w:rPr>
        <w:t>m值/</w:t>
      </w:r>
      <w:r>
        <w:rPr>
          <w:rFonts w:eastAsia="仿宋_GB2312"/>
          <w:color w:val="000000"/>
          <w:kern w:val="0"/>
          <w:sz w:val="32"/>
          <w:szCs w:val="32"/>
        </w:rPr>
        <w:t xml:space="preserve"> T</w:t>
      </w:r>
      <w:r>
        <w:rPr>
          <w:rFonts w:hint="eastAsia" w:eastAsia="仿宋_GB2312"/>
          <w:color w:val="000000"/>
          <w:kern w:val="0"/>
          <w:sz w:val="32"/>
          <w:szCs w:val="32"/>
        </w:rPr>
        <w:t>m值差值</w:t>
      </w:r>
      <w:r>
        <w:rPr>
          <w:rFonts w:eastAsia="仿宋_GB2312"/>
          <w:color w:val="000000"/>
          <w:kern w:val="0"/>
          <w:sz w:val="32"/>
          <w:szCs w:val="32"/>
        </w:rPr>
        <w:t>等。</w:t>
      </w:r>
      <w:r>
        <w:rPr>
          <w:rFonts w:hint="eastAsia" w:eastAsia="仿宋_GB2312"/>
          <w:color w:val="000000"/>
          <w:kern w:val="0"/>
          <w:sz w:val="32"/>
          <w:szCs w:val="32"/>
        </w:rPr>
        <w:t>阳性判断值研究用样本来源应具有多样性和代表性，考虑不同地区、不同的感染阶段和生理状态等因素，纳入多例弱阳性样本。样本应覆盖申报产品可检测的所有突变类型（确定难以获取的可采用基因组D</w:t>
      </w:r>
      <w:r>
        <w:rPr>
          <w:rFonts w:eastAsia="仿宋_GB2312"/>
          <w:color w:val="000000"/>
          <w:kern w:val="0"/>
          <w:sz w:val="32"/>
          <w:szCs w:val="32"/>
        </w:rPr>
        <w:t>NA</w:t>
      </w:r>
      <w:r>
        <w:rPr>
          <w:rFonts w:hint="eastAsia" w:eastAsia="仿宋_GB2312"/>
          <w:color w:val="000000"/>
          <w:kern w:val="0"/>
          <w:sz w:val="32"/>
          <w:szCs w:val="32"/>
        </w:rPr>
        <w:t>样本）。</w:t>
      </w:r>
      <w:r>
        <w:rPr>
          <w:rFonts w:eastAsia="仿宋_GB2312"/>
          <w:color w:val="000000"/>
          <w:kern w:val="0"/>
          <w:sz w:val="32"/>
          <w:szCs w:val="32"/>
        </w:rPr>
        <w:t>建议采用受试者工作特征（ROC）曲线的方式</w:t>
      </w:r>
      <w:r>
        <w:rPr>
          <w:rFonts w:hint="eastAsia" w:eastAsia="仿宋_GB2312"/>
          <w:color w:val="000000"/>
          <w:kern w:val="0"/>
          <w:sz w:val="32"/>
          <w:szCs w:val="32"/>
        </w:rPr>
        <w:t>建立阳性判断值</w:t>
      </w:r>
      <w:r>
        <w:rPr>
          <w:rFonts w:eastAsia="仿宋_GB2312"/>
          <w:color w:val="000000"/>
          <w:kern w:val="0"/>
          <w:sz w:val="32"/>
          <w:szCs w:val="32"/>
        </w:rPr>
        <w:t>。</w:t>
      </w:r>
      <w:r>
        <w:rPr>
          <w:rFonts w:hint="eastAsia" w:eastAsia="仿宋_GB2312"/>
          <w:color w:val="000000"/>
          <w:kern w:val="0"/>
          <w:sz w:val="32"/>
          <w:szCs w:val="32"/>
        </w:rPr>
        <w:t>如采用其他方式，应说明合理性。</w:t>
      </w:r>
      <w:r>
        <w:rPr>
          <w:rFonts w:eastAsia="仿宋_GB2312"/>
          <w:color w:val="000000"/>
          <w:kern w:val="0"/>
          <w:sz w:val="32"/>
          <w:szCs w:val="32"/>
        </w:rPr>
        <w:t>如存在灰区，应提交灰区上下限确定的</w:t>
      </w:r>
      <w:r>
        <w:rPr>
          <w:rFonts w:hint="eastAsia" w:eastAsia="仿宋_GB2312"/>
          <w:color w:val="000000"/>
          <w:kern w:val="0"/>
          <w:sz w:val="32"/>
          <w:szCs w:val="32"/>
        </w:rPr>
        <w:t>依据及</w:t>
      </w:r>
      <w:r>
        <w:rPr>
          <w:rFonts w:eastAsia="仿宋_GB2312"/>
          <w:color w:val="000000"/>
          <w:kern w:val="0"/>
          <w:sz w:val="32"/>
          <w:szCs w:val="32"/>
        </w:rPr>
        <w:t>详细研究资料。</w:t>
      </w:r>
    </w:p>
    <w:p w14:paraId="0C75CB3D">
      <w:pPr>
        <w:spacing w:line="560" w:lineRule="exact"/>
        <w:ind w:firstLine="640" w:firstLineChars="200"/>
        <w:rPr>
          <w:rFonts w:eastAsia="仿宋_GB2312"/>
          <w:color w:val="000000"/>
          <w:kern w:val="0"/>
          <w:sz w:val="32"/>
          <w:szCs w:val="32"/>
        </w:rPr>
      </w:pPr>
      <w:r>
        <w:rPr>
          <w:rFonts w:hint="eastAsia" w:eastAsia="仿宋_GB2312"/>
          <w:color w:val="000000"/>
          <w:kern w:val="0"/>
          <w:sz w:val="32"/>
          <w:szCs w:val="32"/>
        </w:rPr>
        <w:t>如果产品适用不同样本类型，不同的样本类型应分别进行阳性判断值的研究。</w:t>
      </w:r>
    </w:p>
    <w:p w14:paraId="02541773">
      <w:pPr>
        <w:spacing w:line="520" w:lineRule="exact"/>
        <w:ind w:firstLine="640" w:firstLineChars="200"/>
        <w:rPr>
          <w:rFonts w:eastAsia="仿宋_GB2312"/>
          <w:bCs/>
          <w:color w:val="000000"/>
          <w:sz w:val="32"/>
          <w:szCs w:val="32"/>
        </w:rPr>
      </w:pPr>
      <w:r>
        <w:rPr>
          <w:rFonts w:hint="eastAsia" w:eastAsia="仿宋_GB2312"/>
          <w:bCs/>
          <w:color w:val="000000"/>
          <w:sz w:val="32"/>
          <w:szCs w:val="32"/>
        </w:rPr>
        <w:t>提交阳性判断值研究所用样本的背景信息列表，至少包括性别、年龄、临床诊断信息、样本来源机构、检测结果等信息。</w:t>
      </w:r>
    </w:p>
    <w:p w14:paraId="037CCBF0">
      <w:pPr>
        <w:spacing w:line="520" w:lineRule="exact"/>
        <w:ind w:firstLine="640" w:firstLineChars="200"/>
        <w:rPr>
          <w:rFonts w:eastAsia="仿宋_GB2312"/>
          <w:bCs/>
          <w:color w:val="000000"/>
          <w:sz w:val="32"/>
          <w:szCs w:val="32"/>
        </w:rPr>
      </w:pPr>
      <w:r>
        <w:rPr>
          <w:rFonts w:hint="eastAsia" w:eastAsia="仿宋_GB2312"/>
          <w:bCs/>
          <w:color w:val="000000"/>
          <w:sz w:val="32"/>
          <w:szCs w:val="32"/>
        </w:rPr>
        <w:t>提供内标检测结果范围的确定方法和研究资料。</w:t>
      </w:r>
    </w:p>
    <w:p w14:paraId="7C2C3212">
      <w:pPr>
        <w:spacing w:line="560" w:lineRule="exact"/>
        <w:ind w:firstLine="640" w:firstLineChars="200"/>
        <w:rPr>
          <w:rFonts w:eastAsia="仿宋_GB2312"/>
          <w:color w:val="000000"/>
          <w:kern w:val="0"/>
          <w:sz w:val="32"/>
          <w:szCs w:val="32"/>
        </w:rPr>
      </w:pPr>
      <w:r>
        <w:rPr>
          <w:rFonts w:hint="eastAsia" w:eastAsia="仿宋_GB2312"/>
          <w:color w:val="000000"/>
          <w:kern w:val="0"/>
          <w:sz w:val="32"/>
          <w:szCs w:val="32"/>
        </w:rPr>
        <w:t>5.其他资料</w:t>
      </w:r>
    </w:p>
    <w:p w14:paraId="6A326F29">
      <w:pPr>
        <w:spacing w:line="560" w:lineRule="exact"/>
        <w:ind w:firstLine="640" w:firstLineChars="200"/>
        <w:rPr>
          <w:rFonts w:eastAsia="仿宋_GB2312"/>
          <w:color w:val="000000"/>
          <w:kern w:val="0"/>
          <w:sz w:val="32"/>
          <w:szCs w:val="32"/>
        </w:rPr>
      </w:pPr>
      <w:r>
        <w:rPr>
          <w:rFonts w:hint="eastAsia" w:eastAsia="仿宋_GB2312"/>
          <w:color w:val="000000"/>
          <w:kern w:val="0"/>
          <w:sz w:val="32"/>
          <w:szCs w:val="32"/>
        </w:rPr>
        <w:t>5</w:t>
      </w:r>
      <w:r>
        <w:rPr>
          <w:rFonts w:eastAsia="仿宋_GB2312"/>
          <w:color w:val="000000"/>
          <w:kern w:val="0"/>
          <w:sz w:val="32"/>
          <w:szCs w:val="32"/>
        </w:rPr>
        <w:t>.1</w:t>
      </w:r>
      <w:r>
        <w:rPr>
          <w:rFonts w:hint="eastAsia" w:eastAsia="仿宋_GB2312"/>
          <w:color w:val="000000"/>
          <w:kern w:val="0"/>
          <w:sz w:val="32"/>
          <w:szCs w:val="32"/>
        </w:rPr>
        <w:t>主要原材料研究资料</w:t>
      </w:r>
    </w:p>
    <w:p w14:paraId="202EF245">
      <w:pPr>
        <w:spacing w:line="560" w:lineRule="exact"/>
        <w:ind w:firstLine="640" w:firstLineChars="200"/>
        <w:rPr>
          <w:rFonts w:eastAsia="仿宋_GB2312"/>
          <w:color w:val="000000"/>
          <w:kern w:val="0"/>
          <w:sz w:val="32"/>
          <w:szCs w:val="32"/>
        </w:rPr>
      </w:pPr>
      <w:r>
        <w:rPr>
          <w:rFonts w:hint="eastAsia" w:eastAsia="仿宋_GB2312"/>
          <w:color w:val="000000"/>
          <w:kern w:val="0"/>
          <w:sz w:val="32"/>
          <w:szCs w:val="32"/>
        </w:rPr>
        <w:t>该类产品的主要原材料包括引物、探针、酶、dNTP、核酸分离/纯化组分（如有）、对照品（质控品）、企业参考品等。应提供主要原材料的选择与来源、制备过程、质量分析和质控标准等相关研究资料。若主要原材料为企业自制，其生产工艺须稳定，并提交详细的制备过程研究资料/主要原材料的生产工艺验证报告；如主要原材料源于外购，应提交选择该原材料的依据及对比筛选试验资料、生产商提供的质量标准、出厂检验报告，以及该原材料到货后的质量检验资料。生产商应固定，不得随意更换。</w:t>
      </w:r>
    </w:p>
    <w:p w14:paraId="1F835ACA">
      <w:pPr>
        <w:spacing w:line="560" w:lineRule="exact"/>
        <w:ind w:firstLine="640" w:firstLineChars="200"/>
        <w:rPr>
          <w:rFonts w:eastAsia="仿宋_GB2312"/>
          <w:color w:val="000000"/>
          <w:kern w:val="0"/>
          <w:sz w:val="32"/>
          <w:szCs w:val="32"/>
        </w:rPr>
      </w:pPr>
      <w:r>
        <w:rPr>
          <w:rFonts w:hint="eastAsia" w:eastAsia="仿宋_GB2312"/>
          <w:color w:val="000000"/>
          <w:kern w:val="0"/>
          <w:sz w:val="32"/>
          <w:szCs w:val="32"/>
        </w:rPr>
        <w:t>5</w:t>
      </w:r>
      <w:r>
        <w:rPr>
          <w:rFonts w:eastAsia="仿宋_GB2312"/>
          <w:color w:val="000000"/>
          <w:kern w:val="0"/>
          <w:sz w:val="32"/>
          <w:szCs w:val="32"/>
        </w:rPr>
        <w:t>.1.1</w:t>
      </w:r>
      <w:r>
        <w:rPr>
          <w:rFonts w:hint="eastAsia" w:eastAsia="仿宋_GB2312"/>
          <w:color w:val="000000"/>
          <w:kern w:val="0"/>
          <w:sz w:val="32"/>
          <w:szCs w:val="32"/>
        </w:rPr>
        <w:t>引物和探针</w:t>
      </w:r>
      <w:r>
        <w:rPr>
          <w:rFonts w:eastAsia="仿宋_GB2312"/>
          <w:color w:val="000000"/>
          <w:kern w:val="0"/>
          <w:sz w:val="32"/>
          <w:szCs w:val="32"/>
        </w:rPr>
        <w:t>：</w:t>
      </w:r>
      <w:r>
        <w:rPr>
          <w:rFonts w:hint="eastAsia" w:eastAsia="仿宋_GB2312"/>
          <w:color w:val="000000"/>
          <w:kern w:val="0"/>
          <w:sz w:val="32"/>
          <w:szCs w:val="32"/>
        </w:rPr>
        <w:t>应详述引物和探针的设计原则及依据，提供引物、探针核酸序列、靶序列的选择依据及对应情况。建议每种检测靶标设计两套或多套引物、探针以供筛选。通过筛选确定最佳的引物和探针组合，并提交详细的筛选研究数据。同时应针对引物、探针核酸序列及检测靶序列进行包容性与特异性评价，如有同源序列应着重评价是否会有交叉反应。引物、探针的质量标准应至少包括序列准确性、分子量、纯度、浓度及功能性试验等。</w:t>
      </w:r>
    </w:p>
    <w:p w14:paraId="127CD02E">
      <w:pPr>
        <w:spacing w:line="560" w:lineRule="exact"/>
        <w:ind w:firstLine="640" w:firstLineChars="200"/>
        <w:rPr>
          <w:rFonts w:eastAsia="仿宋_GB2312"/>
          <w:color w:val="000000"/>
          <w:kern w:val="0"/>
          <w:sz w:val="32"/>
          <w:szCs w:val="32"/>
        </w:rPr>
      </w:pPr>
      <w:r>
        <w:rPr>
          <w:rFonts w:hint="eastAsia" w:eastAsia="仿宋_GB2312"/>
          <w:color w:val="000000"/>
          <w:kern w:val="0"/>
          <w:sz w:val="32"/>
          <w:szCs w:val="32"/>
        </w:rPr>
        <w:t>5</w:t>
      </w:r>
      <w:r>
        <w:rPr>
          <w:rFonts w:eastAsia="仿宋_GB2312"/>
          <w:color w:val="000000"/>
          <w:kern w:val="0"/>
          <w:sz w:val="32"/>
          <w:szCs w:val="32"/>
        </w:rPr>
        <w:t>.1.2</w:t>
      </w:r>
      <w:r>
        <w:rPr>
          <w:rFonts w:hint="eastAsia" w:eastAsia="仿宋_GB2312"/>
          <w:color w:val="000000"/>
          <w:kern w:val="0"/>
          <w:sz w:val="32"/>
          <w:szCs w:val="32"/>
        </w:rPr>
        <w:t>脱氧三磷酸核苷（dNTP）</w:t>
      </w:r>
      <w:r>
        <w:rPr>
          <w:rFonts w:eastAsia="仿宋_GB2312"/>
          <w:color w:val="000000"/>
          <w:kern w:val="0"/>
          <w:sz w:val="32"/>
          <w:szCs w:val="32"/>
        </w:rPr>
        <w:t>：</w:t>
      </w:r>
      <w:r>
        <w:rPr>
          <w:rFonts w:hint="eastAsia" w:eastAsia="仿宋_GB2312"/>
          <w:color w:val="000000"/>
          <w:kern w:val="0"/>
          <w:sz w:val="32"/>
          <w:szCs w:val="32"/>
        </w:rPr>
        <w:t>包括：dATP、dUTP、dGTP、dCTP和dTTP；应提交对纯度、浓度以及功能性等的验证资料。</w:t>
      </w:r>
    </w:p>
    <w:p w14:paraId="0A50935C">
      <w:pPr>
        <w:spacing w:line="560" w:lineRule="exact"/>
        <w:ind w:firstLine="640" w:firstLineChars="200"/>
        <w:rPr>
          <w:rFonts w:eastAsia="仿宋_GB2312"/>
          <w:color w:val="000000"/>
          <w:kern w:val="0"/>
          <w:sz w:val="32"/>
          <w:szCs w:val="32"/>
        </w:rPr>
      </w:pPr>
      <w:r>
        <w:rPr>
          <w:rFonts w:eastAsia="仿宋_GB2312"/>
          <w:color w:val="000000"/>
          <w:kern w:val="0"/>
          <w:sz w:val="32"/>
          <w:szCs w:val="32"/>
        </w:rPr>
        <w:t>5.1.3</w:t>
      </w:r>
      <w:r>
        <w:rPr>
          <w:rFonts w:hint="eastAsia" w:eastAsia="仿宋_GB2312"/>
          <w:color w:val="000000"/>
          <w:kern w:val="0"/>
          <w:sz w:val="32"/>
          <w:szCs w:val="32"/>
        </w:rPr>
        <w:t>酶</w:t>
      </w:r>
    </w:p>
    <w:p w14:paraId="600C92F1">
      <w:pPr>
        <w:spacing w:line="560" w:lineRule="exact"/>
        <w:ind w:firstLine="640" w:firstLineChars="200"/>
        <w:rPr>
          <w:rFonts w:eastAsia="仿宋_GB2312"/>
          <w:color w:val="000000"/>
          <w:kern w:val="0"/>
          <w:sz w:val="32"/>
          <w:szCs w:val="32"/>
        </w:rPr>
      </w:pPr>
      <w:r>
        <w:rPr>
          <w:rFonts w:hint="eastAsia" w:eastAsia="仿宋_GB2312"/>
          <w:color w:val="000000"/>
          <w:kern w:val="0"/>
          <w:sz w:val="32"/>
          <w:szCs w:val="32"/>
        </w:rPr>
        <w:t>DNA聚合酶应具有DNA聚合酶活性，无核酸内切酶活性，具热稳定性，如：94℃保温1小时后仍保持50%活性；尿嘧啶DNA糖基化酶（UDG/UNG）应具有水解尿嘧啶糖苷键的活性，无核酸外切酶及核酸内切酶活性。</w:t>
      </w:r>
    </w:p>
    <w:p w14:paraId="39E47DF6">
      <w:pPr>
        <w:spacing w:line="560" w:lineRule="exact"/>
        <w:ind w:firstLine="640" w:firstLineChars="200"/>
        <w:rPr>
          <w:rFonts w:eastAsia="仿宋_GB2312"/>
          <w:color w:val="000000"/>
          <w:kern w:val="0"/>
          <w:sz w:val="32"/>
          <w:szCs w:val="32"/>
        </w:rPr>
      </w:pPr>
      <w:r>
        <w:rPr>
          <w:rFonts w:hint="eastAsia" w:eastAsia="仿宋_GB2312"/>
          <w:color w:val="000000"/>
          <w:kern w:val="0"/>
          <w:sz w:val="32"/>
          <w:szCs w:val="32"/>
        </w:rPr>
        <w:t>应对酶活性、热稳定性、功能性等进行合理验证。</w:t>
      </w:r>
    </w:p>
    <w:p w14:paraId="4ECA7549">
      <w:pPr>
        <w:spacing w:line="560" w:lineRule="exact"/>
        <w:ind w:firstLine="640" w:firstLineChars="200"/>
        <w:rPr>
          <w:rFonts w:eastAsia="仿宋_GB2312"/>
          <w:color w:val="000000"/>
          <w:kern w:val="0"/>
          <w:sz w:val="32"/>
          <w:szCs w:val="32"/>
        </w:rPr>
      </w:pPr>
      <w:r>
        <w:rPr>
          <w:rFonts w:hint="eastAsia" w:eastAsia="仿宋_GB2312"/>
          <w:color w:val="000000"/>
          <w:kern w:val="0"/>
          <w:sz w:val="32"/>
          <w:szCs w:val="32"/>
        </w:rPr>
        <w:t>5</w:t>
      </w:r>
      <w:r>
        <w:rPr>
          <w:rFonts w:eastAsia="仿宋_GB2312"/>
          <w:color w:val="000000"/>
          <w:kern w:val="0"/>
          <w:sz w:val="32"/>
          <w:szCs w:val="32"/>
        </w:rPr>
        <w:t>.1.4</w:t>
      </w:r>
      <w:r>
        <w:rPr>
          <w:rFonts w:hint="eastAsia" w:eastAsia="仿宋_GB2312"/>
          <w:color w:val="000000"/>
          <w:kern w:val="0"/>
          <w:sz w:val="32"/>
          <w:szCs w:val="32"/>
        </w:rPr>
        <w:t>核酸分离纯化组分（如有）：提交主要组成、原理介绍及相关的验证资料。</w:t>
      </w:r>
    </w:p>
    <w:p w14:paraId="5DEF4876">
      <w:pPr>
        <w:spacing w:line="560" w:lineRule="exact"/>
        <w:ind w:firstLine="640" w:firstLineChars="200"/>
        <w:rPr>
          <w:rFonts w:eastAsia="仿宋_GB2312"/>
          <w:color w:val="000000"/>
          <w:kern w:val="0"/>
          <w:sz w:val="32"/>
          <w:szCs w:val="32"/>
        </w:rPr>
      </w:pPr>
      <w:r>
        <w:rPr>
          <w:rFonts w:hint="eastAsia" w:eastAsia="仿宋_GB2312"/>
          <w:color w:val="000000"/>
          <w:kern w:val="0"/>
          <w:sz w:val="32"/>
          <w:szCs w:val="32"/>
        </w:rPr>
        <w:t>核酸类检测试剂的包装材料和耗材应无脱氧核糖核酸酶（DNase）污染。</w:t>
      </w:r>
    </w:p>
    <w:p w14:paraId="7FAAF28E">
      <w:pPr>
        <w:spacing w:line="560" w:lineRule="exact"/>
        <w:ind w:firstLine="640" w:firstLineChars="200"/>
        <w:rPr>
          <w:rFonts w:eastAsia="仿宋_GB2312"/>
          <w:color w:val="000000"/>
          <w:kern w:val="0"/>
          <w:sz w:val="32"/>
          <w:szCs w:val="32"/>
        </w:rPr>
      </w:pPr>
      <w:r>
        <w:rPr>
          <w:rFonts w:hint="eastAsia" w:eastAsia="仿宋_GB2312"/>
          <w:color w:val="000000"/>
          <w:kern w:val="0"/>
          <w:sz w:val="32"/>
          <w:szCs w:val="32"/>
        </w:rPr>
        <w:t>5</w:t>
      </w:r>
      <w:r>
        <w:rPr>
          <w:rFonts w:eastAsia="仿宋_GB2312"/>
          <w:color w:val="000000"/>
          <w:kern w:val="0"/>
          <w:sz w:val="32"/>
          <w:szCs w:val="32"/>
        </w:rPr>
        <w:t>.1.5</w:t>
      </w:r>
      <w:r>
        <w:rPr>
          <w:rFonts w:hint="eastAsia" w:eastAsia="仿宋_GB2312"/>
          <w:color w:val="000000"/>
          <w:kern w:val="0"/>
          <w:sz w:val="32"/>
          <w:szCs w:val="32"/>
        </w:rPr>
        <w:t>对照品（质控品）</w:t>
      </w:r>
    </w:p>
    <w:p w14:paraId="7DE77B4B">
      <w:pPr>
        <w:spacing w:line="560" w:lineRule="exact"/>
        <w:ind w:firstLine="640" w:firstLineChars="200"/>
        <w:rPr>
          <w:rFonts w:eastAsia="仿宋_GB2312"/>
          <w:color w:val="000000"/>
          <w:kern w:val="0"/>
          <w:sz w:val="32"/>
          <w:szCs w:val="32"/>
        </w:rPr>
      </w:pPr>
      <w:r>
        <w:rPr>
          <w:rFonts w:hint="eastAsia" w:eastAsia="仿宋_GB2312"/>
          <w:color w:val="000000"/>
          <w:kern w:val="0"/>
          <w:sz w:val="32"/>
          <w:szCs w:val="32"/>
        </w:rPr>
        <w:t>申报产品的质控体系通过设置各种对照来实现，以对样本核酸分离纯化、配液及加样、试剂及仪器性能、扩增反应抑制物（管内抑制）、交叉污染和靶核酸降解等因素可能造成的假阴性或假阳性结果进行合理质控。申报资料应详细说明各种对照的原料选择、制备和定值过程等。</w:t>
      </w:r>
    </w:p>
    <w:p w14:paraId="597869AC">
      <w:pPr>
        <w:spacing w:line="560" w:lineRule="exact"/>
        <w:ind w:firstLine="640" w:firstLineChars="200"/>
        <w:rPr>
          <w:rFonts w:eastAsia="仿宋_GB2312"/>
          <w:color w:val="000000"/>
          <w:kern w:val="0"/>
          <w:sz w:val="32"/>
          <w:szCs w:val="32"/>
        </w:rPr>
      </w:pPr>
      <w:r>
        <w:rPr>
          <w:rFonts w:hint="eastAsia" w:eastAsia="仿宋_GB2312"/>
          <w:color w:val="000000"/>
          <w:kern w:val="0"/>
          <w:sz w:val="32"/>
          <w:szCs w:val="32"/>
        </w:rPr>
        <w:t>本指导原则的技术要求是基于荧光探针PCR方法建立的，对于采用该方法学的结核分枝杆菌复合群耐药基因突变检测试剂，建议至少设置阳性对照、内对照（内标）和阴性对照。</w:t>
      </w:r>
    </w:p>
    <w:p w14:paraId="5A4B87F8">
      <w:pPr>
        <w:spacing w:line="560" w:lineRule="exact"/>
        <w:ind w:firstLine="640" w:firstLineChars="200"/>
        <w:rPr>
          <w:rFonts w:eastAsia="仿宋_GB2312"/>
          <w:color w:val="000000"/>
          <w:kern w:val="0"/>
          <w:sz w:val="32"/>
          <w:szCs w:val="32"/>
        </w:rPr>
      </w:pPr>
      <w:r>
        <w:rPr>
          <w:rFonts w:eastAsia="仿宋_GB2312"/>
          <w:color w:val="000000"/>
          <w:kern w:val="0"/>
          <w:sz w:val="32"/>
          <w:szCs w:val="32"/>
        </w:rPr>
        <w:t>5.1.</w:t>
      </w:r>
      <w:r>
        <w:rPr>
          <w:rFonts w:hint="eastAsia" w:eastAsia="仿宋_GB2312"/>
          <w:color w:val="000000"/>
          <w:kern w:val="0"/>
          <w:sz w:val="32"/>
          <w:szCs w:val="32"/>
        </w:rPr>
        <w:t>5.1阳性对照</w:t>
      </w:r>
    </w:p>
    <w:p w14:paraId="00EAC8DF">
      <w:pPr>
        <w:spacing w:line="560" w:lineRule="exact"/>
        <w:ind w:firstLine="640" w:firstLineChars="200"/>
        <w:rPr>
          <w:rFonts w:eastAsia="仿宋_GB2312"/>
          <w:color w:val="000000"/>
          <w:kern w:val="0"/>
          <w:sz w:val="32"/>
          <w:szCs w:val="32"/>
        </w:rPr>
      </w:pPr>
      <w:r>
        <w:rPr>
          <w:rFonts w:hint="eastAsia" w:eastAsia="仿宋_GB2312"/>
          <w:color w:val="000000"/>
          <w:kern w:val="0"/>
          <w:sz w:val="32"/>
          <w:szCs w:val="32"/>
        </w:rPr>
        <w:t>阳性对照可对实验过程进行质控。阳性对照可采用菌株、质粒或基因组提取物等，应包含试剂盒检测的靶序列。企业应对阳性对照相应判断数值做出明确要求。</w:t>
      </w:r>
    </w:p>
    <w:p w14:paraId="3F8F1EC4">
      <w:pPr>
        <w:spacing w:line="560" w:lineRule="exact"/>
        <w:ind w:firstLine="640" w:firstLineChars="200"/>
        <w:rPr>
          <w:rFonts w:eastAsia="仿宋_GB2312"/>
          <w:color w:val="000000"/>
          <w:kern w:val="0"/>
          <w:sz w:val="32"/>
          <w:szCs w:val="32"/>
        </w:rPr>
      </w:pPr>
      <w:r>
        <w:rPr>
          <w:rFonts w:eastAsia="仿宋_GB2312"/>
          <w:color w:val="000000"/>
          <w:kern w:val="0"/>
          <w:sz w:val="32"/>
          <w:szCs w:val="32"/>
        </w:rPr>
        <w:t>5.1.</w:t>
      </w:r>
      <w:r>
        <w:rPr>
          <w:rFonts w:hint="eastAsia" w:eastAsia="仿宋_GB2312"/>
          <w:color w:val="000000"/>
          <w:kern w:val="0"/>
          <w:sz w:val="32"/>
          <w:szCs w:val="32"/>
        </w:rPr>
        <w:t>5.2内对照（内标）</w:t>
      </w:r>
    </w:p>
    <w:p w14:paraId="0B2D6FDB">
      <w:pPr>
        <w:spacing w:line="560" w:lineRule="exact"/>
        <w:ind w:firstLine="640" w:firstLineChars="200"/>
        <w:rPr>
          <w:rFonts w:eastAsia="仿宋_GB2312"/>
          <w:color w:val="000000"/>
          <w:kern w:val="0"/>
          <w:sz w:val="32"/>
          <w:szCs w:val="32"/>
        </w:rPr>
      </w:pPr>
      <w:r>
        <w:rPr>
          <w:rFonts w:hint="eastAsia" w:eastAsia="仿宋_GB2312"/>
          <w:color w:val="000000"/>
          <w:kern w:val="0"/>
          <w:sz w:val="32"/>
          <w:szCs w:val="32"/>
        </w:rPr>
        <w:t>内对照可对实验过程的假阴性结果进行质量控制</w:t>
      </w:r>
      <w:r>
        <w:rPr>
          <w:rFonts w:eastAsia="仿宋_GB2312"/>
          <w:color w:val="000000"/>
          <w:kern w:val="0"/>
          <w:sz w:val="32"/>
          <w:szCs w:val="32"/>
        </w:rPr>
        <w:t>，</w:t>
      </w:r>
      <w:r>
        <w:rPr>
          <w:rFonts w:hint="eastAsia" w:eastAsia="仿宋_GB2312"/>
          <w:color w:val="000000"/>
          <w:kern w:val="0"/>
          <w:sz w:val="32"/>
          <w:szCs w:val="32"/>
        </w:rPr>
        <w:t>应与靶核酸一同提取及扩增。申请人应对内对照的引物、探针的设计和相关反应体系的浓度进行研究，既要保证内标荧光通道呈明显的阳性又要尽量降低对靶核酸序列检测造成的抑制而导致假阴性。企业应对内对照或相应判断数值做出明确要求。建议科学设置内对照（内标），对待测样本的取样质量、试剂的反应体系进行监控。</w:t>
      </w:r>
    </w:p>
    <w:p w14:paraId="6ACD662D">
      <w:pPr>
        <w:spacing w:line="560" w:lineRule="exact"/>
        <w:ind w:firstLine="640" w:firstLineChars="200"/>
        <w:rPr>
          <w:rFonts w:eastAsia="仿宋_GB2312"/>
          <w:color w:val="000000"/>
          <w:kern w:val="0"/>
          <w:sz w:val="32"/>
          <w:szCs w:val="32"/>
        </w:rPr>
      </w:pPr>
      <w:r>
        <w:rPr>
          <w:rFonts w:eastAsia="仿宋_GB2312"/>
          <w:color w:val="000000"/>
          <w:kern w:val="0"/>
          <w:sz w:val="32"/>
          <w:szCs w:val="32"/>
        </w:rPr>
        <w:t>5.1.</w:t>
      </w:r>
      <w:r>
        <w:rPr>
          <w:rFonts w:hint="eastAsia" w:eastAsia="仿宋_GB2312"/>
          <w:color w:val="000000"/>
          <w:kern w:val="0"/>
          <w:sz w:val="32"/>
          <w:szCs w:val="32"/>
        </w:rPr>
        <w:t>5.3阴性对照</w:t>
      </w:r>
    </w:p>
    <w:p w14:paraId="6D63B715">
      <w:pPr>
        <w:spacing w:line="560" w:lineRule="exact"/>
        <w:ind w:firstLine="640" w:firstLineChars="200"/>
        <w:rPr>
          <w:rFonts w:eastAsia="仿宋_GB2312"/>
          <w:color w:val="000000"/>
          <w:kern w:val="0"/>
          <w:sz w:val="32"/>
          <w:szCs w:val="32"/>
        </w:rPr>
      </w:pPr>
      <w:r>
        <w:rPr>
          <w:rFonts w:hint="eastAsia" w:eastAsia="仿宋_GB2312"/>
          <w:color w:val="000000"/>
          <w:kern w:val="0"/>
          <w:sz w:val="32"/>
          <w:szCs w:val="32"/>
        </w:rPr>
        <w:t>阴性对照可采用含有野生型靶序列的核酸或空白对照，以对交叉污染造成的假阳性结果进行质控。阴性对照需参与样本核酸的平行提取纯化。</w:t>
      </w:r>
    </w:p>
    <w:p w14:paraId="10D03FDC">
      <w:pPr>
        <w:spacing w:line="560" w:lineRule="exact"/>
        <w:ind w:firstLine="640" w:firstLineChars="200"/>
        <w:rPr>
          <w:rFonts w:eastAsia="仿宋_GB2312"/>
          <w:color w:val="000000"/>
          <w:kern w:val="0"/>
          <w:sz w:val="32"/>
          <w:szCs w:val="32"/>
        </w:rPr>
      </w:pPr>
      <w:r>
        <w:rPr>
          <w:rFonts w:hint="eastAsia" w:eastAsia="仿宋_GB2312"/>
          <w:color w:val="000000"/>
          <w:kern w:val="0"/>
          <w:sz w:val="32"/>
          <w:szCs w:val="32"/>
        </w:rPr>
        <w:t>由于申报产品所适用的临床样本比较复杂，其中可能含有各种影响PCR反应的抑制物，造成假阴性。因此，申报产品应充分考虑对样本核酸提取纯化环节的质量控制，通过设置各种对照进行质控。比如，采用克隆菌株作为内对照或阳性对照并参与样本核酸的平行提取纯化，或者设置专门的核酸提取纯化对照（如菌株）等，以对样本核酸提取纯化的质量及效率进行评估。</w:t>
      </w:r>
    </w:p>
    <w:p w14:paraId="31119419">
      <w:pPr>
        <w:spacing w:line="560" w:lineRule="exact"/>
        <w:ind w:firstLine="640" w:firstLineChars="200"/>
        <w:rPr>
          <w:rFonts w:eastAsia="仿宋_GB2312"/>
          <w:color w:val="000000"/>
          <w:kern w:val="0"/>
          <w:sz w:val="32"/>
          <w:szCs w:val="32"/>
        </w:rPr>
      </w:pPr>
      <w:r>
        <w:rPr>
          <w:rFonts w:eastAsia="仿宋_GB2312"/>
          <w:color w:val="000000"/>
          <w:kern w:val="0"/>
          <w:sz w:val="32"/>
          <w:szCs w:val="32"/>
        </w:rPr>
        <w:t>5.1.6</w:t>
      </w:r>
      <w:r>
        <w:rPr>
          <w:rFonts w:hint="eastAsia" w:eastAsia="仿宋_GB2312"/>
          <w:color w:val="000000"/>
          <w:kern w:val="0"/>
          <w:sz w:val="32"/>
          <w:szCs w:val="32"/>
        </w:rPr>
        <w:t>企业参考品：详细说明企业参考品的原料选择、制备和定值过程等试验资料。企业参考品可采用模拟临床样本基质，不建议直接采用临床样本（如痰液）。</w:t>
      </w:r>
      <w:r>
        <w:rPr>
          <w:rFonts w:eastAsia="仿宋_GB2312"/>
          <w:color w:val="000000"/>
          <w:kern w:val="0"/>
          <w:sz w:val="32"/>
          <w:szCs w:val="32"/>
        </w:rPr>
        <w:t xml:space="preserve"> </w:t>
      </w:r>
    </w:p>
    <w:p w14:paraId="21EBA561">
      <w:pPr>
        <w:spacing w:line="560" w:lineRule="exact"/>
        <w:ind w:firstLine="640" w:firstLineChars="200"/>
        <w:rPr>
          <w:rFonts w:eastAsia="仿宋_GB2312"/>
          <w:color w:val="000000"/>
          <w:kern w:val="0"/>
          <w:sz w:val="32"/>
          <w:szCs w:val="32"/>
        </w:rPr>
      </w:pPr>
      <w:r>
        <w:rPr>
          <w:rFonts w:eastAsia="仿宋_GB2312"/>
          <w:color w:val="000000"/>
          <w:kern w:val="0"/>
          <w:sz w:val="32"/>
          <w:szCs w:val="32"/>
        </w:rPr>
        <w:t>5.1.6.1</w:t>
      </w:r>
      <w:r>
        <w:rPr>
          <w:rFonts w:hint="eastAsia" w:eastAsia="仿宋_GB2312"/>
          <w:color w:val="000000"/>
          <w:kern w:val="0"/>
          <w:sz w:val="32"/>
          <w:szCs w:val="32"/>
        </w:rPr>
        <w:t>阳性参考品</w:t>
      </w:r>
    </w:p>
    <w:p w14:paraId="2EF42F07">
      <w:pPr>
        <w:spacing w:line="560" w:lineRule="exact"/>
        <w:ind w:firstLine="640" w:firstLineChars="200"/>
        <w:rPr>
          <w:rFonts w:eastAsia="仿宋_GB2312"/>
          <w:color w:val="000000"/>
          <w:kern w:val="0"/>
          <w:sz w:val="32"/>
          <w:szCs w:val="32"/>
        </w:rPr>
      </w:pPr>
      <w:r>
        <w:rPr>
          <w:rFonts w:hint="eastAsia" w:eastAsia="仿宋_GB2312"/>
          <w:color w:val="000000"/>
          <w:kern w:val="0"/>
          <w:sz w:val="32"/>
          <w:szCs w:val="32"/>
        </w:rPr>
        <w:t>应包括申报产品声称的全部突变类型。阳性参考品的突变类型需经过金标准方法、测序或已上市同类分型试剂的确认。阳性参考品应采用菌株，确定难以获得的可采用含突变的核酸（结核分枝杆菌基因组DNA）。</w:t>
      </w:r>
    </w:p>
    <w:p w14:paraId="66680EEF">
      <w:pPr>
        <w:spacing w:line="560" w:lineRule="exact"/>
        <w:ind w:firstLine="640" w:firstLineChars="200"/>
        <w:rPr>
          <w:rFonts w:eastAsia="仿宋_GB2312"/>
          <w:color w:val="000000"/>
          <w:kern w:val="0"/>
          <w:sz w:val="32"/>
          <w:szCs w:val="32"/>
        </w:rPr>
      </w:pPr>
      <w:r>
        <w:rPr>
          <w:rFonts w:eastAsia="仿宋_GB2312"/>
          <w:color w:val="000000"/>
          <w:kern w:val="0"/>
          <w:sz w:val="32"/>
          <w:szCs w:val="32"/>
        </w:rPr>
        <w:t>5.1.6.2</w:t>
      </w:r>
      <w:r>
        <w:rPr>
          <w:rFonts w:hint="eastAsia" w:eastAsia="仿宋_GB2312"/>
          <w:color w:val="000000"/>
          <w:kern w:val="0"/>
          <w:sz w:val="32"/>
          <w:szCs w:val="32"/>
        </w:rPr>
        <w:t>阴性参考品</w:t>
      </w:r>
    </w:p>
    <w:p w14:paraId="14563610">
      <w:pPr>
        <w:spacing w:line="560" w:lineRule="exact"/>
        <w:ind w:firstLine="640" w:firstLineChars="200"/>
        <w:rPr>
          <w:rFonts w:eastAsia="仿宋_GB2312"/>
          <w:color w:val="000000"/>
          <w:kern w:val="0"/>
          <w:sz w:val="32"/>
          <w:szCs w:val="32"/>
        </w:rPr>
      </w:pPr>
      <w:r>
        <w:rPr>
          <w:rFonts w:hint="eastAsia" w:eastAsia="仿宋_GB2312"/>
          <w:color w:val="000000"/>
          <w:kern w:val="0"/>
          <w:sz w:val="32"/>
          <w:szCs w:val="32"/>
        </w:rPr>
        <w:t>可采用经确认靶序列未发生突变的结核分枝杆菌菌株、申报产品声称的检测范围外的其他结核分枝杆菌突变类型的核酸等。</w:t>
      </w:r>
    </w:p>
    <w:p w14:paraId="57A7CDB9">
      <w:pPr>
        <w:spacing w:line="560" w:lineRule="exact"/>
        <w:ind w:firstLine="640" w:firstLineChars="200"/>
        <w:rPr>
          <w:rFonts w:eastAsia="仿宋_GB2312"/>
          <w:color w:val="000000"/>
          <w:kern w:val="0"/>
          <w:sz w:val="32"/>
          <w:szCs w:val="32"/>
        </w:rPr>
      </w:pPr>
      <w:r>
        <w:rPr>
          <w:rFonts w:eastAsia="仿宋_GB2312"/>
          <w:color w:val="000000"/>
          <w:kern w:val="0"/>
          <w:sz w:val="32"/>
          <w:szCs w:val="32"/>
        </w:rPr>
        <w:t>5.1.6.3</w:t>
      </w:r>
      <w:r>
        <w:rPr>
          <w:rFonts w:hint="eastAsia" w:eastAsia="仿宋_GB2312"/>
          <w:color w:val="000000"/>
          <w:kern w:val="0"/>
          <w:sz w:val="32"/>
          <w:szCs w:val="32"/>
        </w:rPr>
        <w:t>最低检测限参考品</w:t>
      </w:r>
    </w:p>
    <w:p w14:paraId="12C8A9D6">
      <w:pPr>
        <w:spacing w:line="560" w:lineRule="exact"/>
        <w:ind w:firstLine="640" w:firstLineChars="200"/>
        <w:rPr>
          <w:rFonts w:eastAsia="仿宋_GB2312"/>
          <w:color w:val="000000"/>
          <w:kern w:val="0"/>
          <w:sz w:val="32"/>
          <w:szCs w:val="32"/>
        </w:rPr>
      </w:pPr>
      <w:r>
        <w:rPr>
          <w:rFonts w:hint="eastAsia" w:eastAsia="仿宋_GB2312"/>
          <w:color w:val="000000"/>
          <w:kern w:val="0"/>
          <w:sz w:val="32"/>
          <w:szCs w:val="32"/>
        </w:rPr>
        <w:t>最低检测限参考品应为最低检测限水平，应含有声称的所有突变类型。应采用菌株，确定难以获得的可采用含突变的核酸（结核分枝杆菌基因组DNA）。</w:t>
      </w:r>
    </w:p>
    <w:p w14:paraId="079CBFC1">
      <w:pPr>
        <w:spacing w:line="560" w:lineRule="exact"/>
        <w:ind w:firstLine="640" w:firstLineChars="200"/>
        <w:rPr>
          <w:rFonts w:eastAsia="仿宋_GB2312"/>
          <w:color w:val="000000"/>
          <w:kern w:val="0"/>
          <w:sz w:val="32"/>
          <w:szCs w:val="32"/>
        </w:rPr>
      </w:pPr>
      <w:r>
        <w:rPr>
          <w:rFonts w:eastAsia="仿宋_GB2312"/>
          <w:color w:val="000000"/>
          <w:kern w:val="0"/>
          <w:sz w:val="32"/>
          <w:szCs w:val="32"/>
        </w:rPr>
        <w:t>5.1.6.4</w:t>
      </w:r>
      <w:r>
        <w:rPr>
          <w:rFonts w:hint="eastAsia" w:eastAsia="仿宋_GB2312"/>
          <w:color w:val="000000"/>
          <w:kern w:val="0"/>
          <w:sz w:val="32"/>
          <w:szCs w:val="32"/>
        </w:rPr>
        <w:t>精密度参考品</w:t>
      </w:r>
    </w:p>
    <w:p w14:paraId="63093486">
      <w:pPr>
        <w:spacing w:line="560" w:lineRule="exact"/>
        <w:ind w:firstLine="640" w:firstLineChars="200"/>
        <w:rPr>
          <w:rFonts w:eastAsia="仿宋_GB2312"/>
          <w:sz w:val="32"/>
          <w:szCs w:val="32"/>
        </w:rPr>
      </w:pPr>
      <w:r>
        <w:rPr>
          <w:rFonts w:hint="eastAsia" w:eastAsia="仿宋_GB2312"/>
          <w:color w:val="000000"/>
          <w:kern w:val="0"/>
          <w:sz w:val="32"/>
          <w:szCs w:val="32"/>
        </w:rPr>
        <w:t>精密度参考品至少应包括弱阳性水平及中/强阳性水平，</w:t>
      </w:r>
      <w:r>
        <w:rPr>
          <w:rFonts w:hint="eastAsia" w:eastAsia="仿宋_GB2312"/>
          <w:sz w:val="32"/>
          <w:szCs w:val="32"/>
        </w:rPr>
        <w:t>应采用菌株，包括申报产品检测范围内所有耐药突变基因各至少1-</w:t>
      </w:r>
      <w:r>
        <w:rPr>
          <w:rFonts w:eastAsia="仿宋_GB2312"/>
          <w:sz w:val="32"/>
          <w:szCs w:val="32"/>
        </w:rPr>
        <w:t>2</w:t>
      </w:r>
      <w:r>
        <w:rPr>
          <w:rFonts w:hint="eastAsia" w:eastAsia="仿宋_GB2312"/>
          <w:sz w:val="32"/>
          <w:szCs w:val="32"/>
        </w:rPr>
        <w:t>种常见/代表性突变类型。同时，如产品设计包括不同的反应管及检测通道，各反应管及检测通道均需设置代表性精密度参考品。</w:t>
      </w:r>
    </w:p>
    <w:p w14:paraId="1BFFAAF8">
      <w:pPr>
        <w:spacing w:line="560" w:lineRule="exact"/>
        <w:ind w:firstLine="640" w:firstLineChars="200"/>
        <w:rPr>
          <w:rFonts w:eastAsia="仿宋_GB2312"/>
          <w:color w:val="000000"/>
          <w:kern w:val="0"/>
          <w:sz w:val="32"/>
          <w:szCs w:val="32"/>
        </w:rPr>
      </w:pPr>
      <w:r>
        <w:rPr>
          <w:rFonts w:hint="eastAsia" w:eastAsia="仿宋_GB2312"/>
          <w:color w:val="000000"/>
          <w:kern w:val="0"/>
          <w:sz w:val="32"/>
          <w:szCs w:val="32"/>
        </w:rPr>
        <w:t>对于c类预期用途的产品，应尽可能采用菌株对常见突变类型设置上述各种类型的企业参考品。对于利福平耐药基因突变检测试剂，阳性参考品、最低检测限参考品至少应包括4—5种常见突变类型。对于其他药物的耐药基因突变检测试剂，阳性参考品、最低检测限参考品至少应包括耐药相关的常见突变类型，突变类型的数量可根据申报产品的具体情况而定。精密度参考品要求同上，</w:t>
      </w:r>
      <w:r>
        <w:rPr>
          <w:rFonts w:hint="eastAsia" w:eastAsia="仿宋_GB2312"/>
          <w:sz w:val="32"/>
          <w:szCs w:val="32"/>
        </w:rPr>
        <w:t>如产品设计包括不同的反应管及检测通道，各反应管及检测通道均需设置代表性精密度参考品。</w:t>
      </w:r>
      <w:r>
        <w:rPr>
          <w:rFonts w:hint="eastAsia" w:eastAsia="仿宋_GB2312"/>
          <w:color w:val="000000"/>
          <w:kern w:val="0"/>
          <w:sz w:val="32"/>
          <w:szCs w:val="32"/>
        </w:rPr>
        <w:t>阴性参考品要求同上。</w:t>
      </w:r>
    </w:p>
    <w:p w14:paraId="294DBB1F">
      <w:pPr>
        <w:spacing w:line="560" w:lineRule="exact"/>
        <w:ind w:firstLine="640" w:firstLineChars="200"/>
        <w:rPr>
          <w:rFonts w:eastAsia="仿宋_GB2312"/>
          <w:color w:val="000000"/>
          <w:kern w:val="0"/>
          <w:sz w:val="32"/>
          <w:szCs w:val="32"/>
        </w:rPr>
      </w:pPr>
      <w:r>
        <w:rPr>
          <w:rFonts w:hint="eastAsia" w:eastAsia="仿宋_GB2312"/>
          <w:color w:val="000000"/>
          <w:kern w:val="0"/>
          <w:sz w:val="32"/>
          <w:szCs w:val="32"/>
        </w:rPr>
        <w:t>5</w:t>
      </w:r>
      <w:r>
        <w:rPr>
          <w:rFonts w:eastAsia="仿宋_GB2312"/>
          <w:color w:val="000000"/>
          <w:kern w:val="0"/>
          <w:sz w:val="32"/>
          <w:szCs w:val="32"/>
        </w:rPr>
        <w:t>.2</w:t>
      </w:r>
      <w:r>
        <w:rPr>
          <w:rFonts w:hint="eastAsia" w:eastAsia="仿宋_GB2312"/>
          <w:color w:val="000000"/>
          <w:kern w:val="0"/>
          <w:sz w:val="32"/>
          <w:szCs w:val="32"/>
        </w:rPr>
        <w:t>生产工艺研究</w:t>
      </w:r>
    </w:p>
    <w:p w14:paraId="23431E73">
      <w:pPr>
        <w:spacing w:line="560" w:lineRule="exact"/>
        <w:ind w:firstLine="640" w:firstLineChars="200"/>
        <w:rPr>
          <w:rFonts w:eastAsia="仿宋_GB2312"/>
          <w:color w:val="000000"/>
          <w:kern w:val="0"/>
          <w:sz w:val="32"/>
          <w:szCs w:val="32"/>
        </w:rPr>
      </w:pPr>
      <w:r>
        <w:rPr>
          <w:rFonts w:hint="eastAsia" w:eastAsia="仿宋_GB2312"/>
          <w:color w:val="000000"/>
          <w:kern w:val="0"/>
          <w:sz w:val="32"/>
          <w:szCs w:val="32"/>
        </w:rPr>
        <w:t>应介绍产品的主要生产工艺，可用流程图结合文字的方式表述。并提交主要生产工艺的确定及优化的研究资料。</w:t>
      </w:r>
    </w:p>
    <w:p w14:paraId="68E8C9DB">
      <w:pPr>
        <w:spacing w:line="560" w:lineRule="exact"/>
        <w:ind w:firstLine="640" w:firstLineChars="200"/>
        <w:rPr>
          <w:rFonts w:eastAsia="仿宋_GB2312"/>
          <w:color w:val="000000"/>
          <w:kern w:val="0"/>
          <w:sz w:val="32"/>
          <w:szCs w:val="32"/>
        </w:rPr>
      </w:pPr>
      <w:r>
        <w:rPr>
          <w:rFonts w:hint="eastAsia" w:eastAsia="仿宋_GB2312"/>
          <w:color w:val="000000"/>
          <w:kern w:val="0"/>
          <w:sz w:val="32"/>
          <w:szCs w:val="32"/>
        </w:rPr>
        <w:t>如申报产品包含核酸提取纯化试剂，应提交对核酸提取纯化过程进行工艺优化的研究资料。</w:t>
      </w:r>
    </w:p>
    <w:p w14:paraId="097B7F92">
      <w:pPr>
        <w:spacing w:line="560" w:lineRule="exact"/>
        <w:ind w:firstLine="640" w:firstLineChars="200"/>
        <w:rPr>
          <w:rFonts w:ascii="楷体_GB2312" w:eastAsia="楷体_GB2312"/>
          <w:kern w:val="0"/>
          <w:sz w:val="32"/>
          <w:szCs w:val="32"/>
        </w:rPr>
      </w:pPr>
      <w:bookmarkStart w:id="8" w:name="_Toc375311140"/>
      <w:r>
        <w:rPr>
          <w:rFonts w:ascii="楷体_GB2312" w:eastAsia="楷体_GB2312"/>
          <w:kern w:val="0"/>
          <w:sz w:val="32"/>
          <w:szCs w:val="32"/>
        </w:rPr>
        <w:t>（</w:t>
      </w:r>
      <w:r>
        <w:rPr>
          <w:rFonts w:hint="eastAsia" w:ascii="楷体_GB2312" w:eastAsia="楷体_GB2312"/>
          <w:kern w:val="0"/>
          <w:sz w:val="32"/>
          <w:szCs w:val="32"/>
        </w:rPr>
        <w:t>四</w:t>
      </w:r>
      <w:r>
        <w:rPr>
          <w:rFonts w:ascii="楷体_GB2312" w:eastAsia="楷体_GB2312"/>
          <w:kern w:val="0"/>
          <w:sz w:val="32"/>
          <w:szCs w:val="32"/>
        </w:rPr>
        <w:t>）临床试验研究</w:t>
      </w:r>
      <w:bookmarkEnd w:id="8"/>
    </w:p>
    <w:p w14:paraId="00CE7393">
      <w:pPr>
        <w:spacing w:line="560" w:lineRule="exact"/>
        <w:ind w:firstLine="640" w:firstLineChars="200"/>
        <w:rPr>
          <w:rFonts w:eastAsia="仿宋_GB2312"/>
          <w:color w:val="000000"/>
          <w:kern w:val="0"/>
          <w:sz w:val="32"/>
          <w:szCs w:val="32"/>
        </w:rPr>
      </w:pPr>
      <w:r>
        <w:rPr>
          <w:rFonts w:eastAsia="仿宋_GB2312"/>
          <w:color w:val="000000"/>
          <w:kern w:val="0"/>
          <w:sz w:val="32"/>
          <w:szCs w:val="32"/>
        </w:rPr>
        <w:t>1. 临床试验机构</w:t>
      </w:r>
    </w:p>
    <w:p w14:paraId="64E33921">
      <w:pPr>
        <w:spacing w:line="560" w:lineRule="exact"/>
        <w:ind w:firstLine="640" w:firstLineChars="200"/>
        <w:rPr>
          <w:rFonts w:eastAsia="仿宋_GB2312"/>
          <w:color w:val="000000"/>
          <w:kern w:val="0"/>
          <w:sz w:val="32"/>
          <w:szCs w:val="32"/>
        </w:rPr>
      </w:pPr>
      <w:r>
        <w:rPr>
          <w:rFonts w:eastAsia="仿宋_GB2312"/>
          <w:color w:val="000000"/>
          <w:kern w:val="0"/>
          <w:sz w:val="32"/>
          <w:szCs w:val="32"/>
        </w:rPr>
        <w:t>申请人应当选定不少于3家（含3家）</w:t>
      </w:r>
      <w:r>
        <w:rPr>
          <w:rFonts w:hint="eastAsia" w:eastAsia="仿宋_GB2312"/>
          <w:color w:val="000000"/>
          <w:kern w:val="0"/>
          <w:sz w:val="32"/>
          <w:szCs w:val="32"/>
        </w:rPr>
        <w:t>经备案的医疗器械</w:t>
      </w:r>
      <w:r>
        <w:rPr>
          <w:rFonts w:eastAsia="仿宋_GB2312"/>
          <w:color w:val="000000"/>
          <w:kern w:val="0"/>
          <w:sz w:val="32"/>
          <w:szCs w:val="32"/>
        </w:rPr>
        <w:t>临床试验机构，按照相关规定开展临床试验。申请人应根据产品特点及其预期用途，综合不同地区人种、流行病学背景和病原微生物的特性等因素选择临床试验机构。</w:t>
      </w:r>
    </w:p>
    <w:p w14:paraId="5B4D0DFD">
      <w:pPr>
        <w:spacing w:line="560" w:lineRule="exact"/>
        <w:ind w:firstLine="640" w:firstLineChars="200"/>
        <w:rPr>
          <w:rFonts w:eastAsia="仿宋_GB2312"/>
          <w:color w:val="000000" w:themeColor="text1"/>
          <w:spacing w:val="2"/>
          <w:kern w:val="0"/>
          <w:sz w:val="32"/>
          <w:szCs w:val="32"/>
        </w:rPr>
      </w:pPr>
      <w:r>
        <w:rPr>
          <w:rFonts w:eastAsia="仿宋_GB2312"/>
          <w:color w:val="000000" w:themeColor="text1"/>
          <w:kern w:val="0"/>
          <w:sz w:val="32"/>
          <w:szCs w:val="32"/>
        </w:rPr>
        <w:t xml:space="preserve">2. </w:t>
      </w:r>
      <w:r>
        <w:rPr>
          <w:rFonts w:hint="eastAsia" w:eastAsia="仿宋_GB2312"/>
          <w:color w:val="000000" w:themeColor="text1"/>
          <w:kern w:val="0"/>
          <w:sz w:val="32"/>
          <w:szCs w:val="32"/>
        </w:rPr>
        <w:t>临</w:t>
      </w:r>
      <w:r>
        <w:rPr>
          <w:rFonts w:hint="eastAsia" w:eastAsia="仿宋_GB2312"/>
          <w:color w:val="000000" w:themeColor="text1"/>
          <w:spacing w:val="2"/>
          <w:kern w:val="0"/>
          <w:sz w:val="32"/>
          <w:szCs w:val="32"/>
        </w:rPr>
        <w:t>床试验适用人群及样本</w:t>
      </w:r>
    </w:p>
    <w:p w14:paraId="71579024">
      <w:pPr>
        <w:spacing w:line="560" w:lineRule="exact"/>
        <w:ind w:firstLine="648" w:firstLineChars="200"/>
        <w:rPr>
          <w:rFonts w:eastAsia="仿宋_GB2312"/>
          <w:color w:val="000000" w:themeColor="text1"/>
          <w:spacing w:val="2"/>
          <w:kern w:val="0"/>
          <w:sz w:val="32"/>
          <w:szCs w:val="32"/>
        </w:rPr>
      </w:pPr>
      <w:r>
        <w:rPr>
          <w:rFonts w:eastAsia="仿宋_GB2312"/>
          <w:color w:val="000000" w:themeColor="text1"/>
          <w:spacing w:val="2"/>
          <w:kern w:val="0"/>
          <w:sz w:val="32"/>
          <w:szCs w:val="32"/>
        </w:rPr>
        <w:t>2.1</w:t>
      </w:r>
      <w:r>
        <w:rPr>
          <w:rFonts w:hint="eastAsia" w:eastAsia="仿宋_GB2312"/>
          <w:color w:val="000000" w:themeColor="text1"/>
          <w:spacing w:val="2"/>
          <w:kern w:val="0"/>
          <w:sz w:val="32"/>
          <w:szCs w:val="32"/>
        </w:rPr>
        <w:t>对于单功能试剂，临床试验的适用人群为结核病患者，适用</w:t>
      </w:r>
      <w:r>
        <w:rPr>
          <w:rFonts w:hint="eastAsia" w:eastAsia="仿宋_GB2312"/>
          <w:color w:val="000000" w:themeColor="text1"/>
          <w:kern w:val="0"/>
          <w:sz w:val="32"/>
          <w:szCs w:val="32"/>
        </w:rPr>
        <w:t>样本</w:t>
      </w:r>
      <w:r>
        <w:rPr>
          <w:rFonts w:hint="eastAsia" w:eastAsia="仿宋_GB2312"/>
          <w:color w:val="000000" w:themeColor="text1"/>
          <w:spacing w:val="2"/>
          <w:kern w:val="0"/>
          <w:sz w:val="32"/>
          <w:szCs w:val="32"/>
        </w:rPr>
        <w:t>为结核分枝杆菌复合群阳性的</w:t>
      </w:r>
      <w:r>
        <w:rPr>
          <w:rFonts w:hint="eastAsia" w:eastAsia="仿宋_GB2312"/>
          <w:color w:val="000000" w:themeColor="text1"/>
          <w:kern w:val="0"/>
          <w:sz w:val="32"/>
          <w:szCs w:val="32"/>
        </w:rPr>
        <w:t>样本。</w:t>
      </w:r>
      <w:r>
        <w:rPr>
          <w:rFonts w:hint="eastAsia" w:eastAsia="仿宋_GB2312"/>
          <w:color w:val="000000" w:themeColor="text1"/>
          <w:spacing w:val="2"/>
          <w:kern w:val="0"/>
          <w:sz w:val="32"/>
          <w:szCs w:val="32"/>
        </w:rPr>
        <w:t>样本类型一般包括临床样本或临床培养物样本。</w:t>
      </w:r>
    </w:p>
    <w:p w14:paraId="25FBECF8">
      <w:pPr>
        <w:spacing w:line="560" w:lineRule="exact"/>
        <w:ind w:firstLine="648" w:firstLineChars="200"/>
        <w:rPr>
          <w:rFonts w:eastAsia="仿宋_GB2312"/>
          <w:color w:val="000000" w:themeColor="text1"/>
          <w:spacing w:val="2"/>
          <w:kern w:val="0"/>
          <w:sz w:val="32"/>
          <w:szCs w:val="32"/>
        </w:rPr>
      </w:pPr>
      <w:r>
        <w:rPr>
          <w:rFonts w:hint="eastAsia" w:eastAsia="仿宋_GB2312"/>
          <w:color w:val="000000" w:themeColor="text1"/>
          <w:spacing w:val="2"/>
          <w:kern w:val="0"/>
          <w:sz w:val="32"/>
          <w:szCs w:val="32"/>
        </w:rPr>
        <w:t>如为临床样本，结核分枝杆菌复合群阳性的确认方法一般为已获国家药监局批准上市的结核分枝杆菌复合群核酸检测试剂或临床普遍认可的结核分枝杆菌复合群培养和鉴定方法（如：</w:t>
      </w:r>
      <w:r>
        <w:rPr>
          <w:rFonts w:eastAsia="仿宋_GB2312"/>
          <w:color w:val="000000" w:themeColor="text1"/>
          <w:spacing w:val="2"/>
          <w:kern w:val="0"/>
          <w:sz w:val="32"/>
          <w:szCs w:val="32"/>
        </w:rPr>
        <w:t>PNB</w:t>
      </w:r>
      <w:r>
        <w:rPr>
          <w:rFonts w:hint="eastAsia" w:eastAsia="仿宋_GB2312"/>
          <w:color w:val="000000" w:themeColor="text1"/>
          <w:spacing w:val="2"/>
          <w:kern w:val="0"/>
          <w:sz w:val="32"/>
          <w:szCs w:val="32"/>
        </w:rPr>
        <w:t>、抗原、质谱或其他分子生物学方法等），结核分枝杆菌复合群阳性结果可来自于临床诊疗过程。</w:t>
      </w:r>
    </w:p>
    <w:p w14:paraId="5656A9C4">
      <w:pPr>
        <w:spacing w:line="560" w:lineRule="exact"/>
        <w:ind w:firstLine="648" w:firstLineChars="200"/>
        <w:rPr>
          <w:rFonts w:eastAsia="仿宋_GB2312"/>
          <w:color w:val="000000" w:themeColor="text1"/>
          <w:kern w:val="0"/>
          <w:sz w:val="32"/>
          <w:szCs w:val="32"/>
        </w:rPr>
      </w:pPr>
      <w:r>
        <w:rPr>
          <w:rFonts w:hint="eastAsia" w:eastAsia="仿宋_GB2312"/>
          <w:color w:val="000000" w:themeColor="text1"/>
          <w:spacing w:val="2"/>
          <w:kern w:val="0"/>
          <w:sz w:val="32"/>
          <w:szCs w:val="32"/>
        </w:rPr>
        <w:t>如为临床培养物样本，结核分枝杆菌复合群阳性的确认方法一般为临床普遍认可的结核分枝杆菌复合群鉴定方法（如：</w:t>
      </w:r>
      <w:r>
        <w:rPr>
          <w:rFonts w:eastAsia="仿宋_GB2312"/>
          <w:color w:val="000000" w:themeColor="text1"/>
          <w:spacing w:val="2"/>
          <w:kern w:val="0"/>
          <w:sz w:val="32"/>
          <w:szCs w:val="32"/>
        </w:rPr>
        <w:t>PNB</w:t>
      </w:r>
      <w:r>
        <w:rPr>
          <w:rFonts w:hint="eastAsia" w:eastAsia="仿宋_GB2312"/>
          <w:color w:val="000000" w:themeColor="text1"/>
          <w:spacing w:val="2"/>
          <w:kern w:val="0"/>
          <w:sz w:val="32"/>
          <w:szCs w:val="32"/>
        </w:rPr>
        <w:t>、抗原、质谱或其他分子生物学方法等），结核分枝杆菌复合群阳性结果可来自于临床诊疗过程。</w:t>
      </w:r>
    </w:p>
    <w:p w14:paraId="456D182D">
      <w:pPr>
        <w:spacing w:line="560" w:lineRule="exact"/>
        <w:ind w:firstLine="648" w:firstLineChars="200"/>
        <w:rPr>
          <w:rFonts w:eastAsia="仿宋_GB2312"/>
          <w:color w:val="000000" w:themeColor="text1"/>
          <w:spacing w:val="2"/>
          <w:kern w:val="0"/>
          <w:sz w:val="32"/>
          <w:szCs w:val="32"/>
        </w:rPr>
      </w:pPr>
      <w:r>
        <w:rPr>
          <w:rFonts w:hint="eastAsia" w:eastAsia="仿宋_GB2312"/>
          <w:color w:val="000000" w:themeColor="text1"/>
          <w:spacing w:val="2"/>
          <w:kern w:val="0"/>
          <w:sz w:val="32"/>
          <w:szCs w:val="32"/>
        </w:rPr>
        <w:t>针对临床样本，需在申报产品说明书中明确结核分枝杆菌复合群阳性的确认方法为经国家局批准的结核分枝杆菌复合群核酸检测试剂和/或临床普遍认可的培养鉴定方法；针对临床培养物样本，需在申报产品说明书中明确具体的培养方法，同时明确结核分枝杆菌复合群阳性的确认方法为临床普遍认可的鉴定方法。</w:t>
      </w:r>
    </w:p>
    <w:p w14:paraId="16F3EDEF">
      <w:pPr>
        <w:spacing w:line="560" w:lineRule="exact"/>
        <w:ind w:firstLine="648" w:firstLineChars="200"/>
        <w:rPr>
          <w:rFonts w:eastAsia="仿宋_GB2312"/>
          <w:color w:val="000000" w:themeColor="text1"/>
          <w:spacing w:val="2"/>
          <w:kern w:val="0"/>
          <w:sz w:val="32"/>
          <w:szCs w:val="32"/>
        </w:rPr>
      </w:pPr>
      <w:r>
        <w:rPr>
          <w:rFonts w:hint="eastAsia" w:eastAsia="仿宋_GB2312"/>
          <w:color w:val="000000" w:themeColor="text1"/>
          <w:spacing w:val="2"/>
          <w:kern w:val="0"/>
          <w:sz w:val="32"/>
          <w:szCs w:val="32"/>
        </w:rPr>
        <w:t>临床试验中结核分枝杆菌复合群阳性样本的确认方法应符合申报产品说明书的要求。</w:t>
      </w:r>
    </w:p>
    <w:p w14:paraId="6C2529AF">
      <w:pPr>
        <w:spacing w:line="560" w:lineRule="exact"/>
        <w:ind w:firstLine="648" w:firstLineChars="200"/>
        <w:rPr>
          <w:rFonts w:eastAsia="仿宋_GB2312"/>
          <w:color w:val="000000" w:themeColor="text1"/>
          <w:spacing w:val="2"/>
          <w:kern w:val="0"/>
          <w:sz w:val="32"/>
          <w:szCs w:val="32"/>
        </w:rPr>
      </w:pPr>
      <w:r>
        <w:rPr>
          <w:rFonts w:hint="eastAsia" w:eastAsia="仿宋_GB2312"/>
          <w:color w:val="000000" w:themeColor="text1"/>
          <w:spacing w:val="2"/>
          <w:kern w:val="0"/>
          <w:sz w:val="32"/>
          <w:szCs w:val="32"/>
        </w:rPr>
        <w:t>2.2对于双功能试剂，临床试验的适用人群为疑似结核病患者，适用样本为疑似结核病患者的临床样本。</w:t>
      </w:r>
    </w:p>
    <w:p w14:paraId="11EDFB40">
      <w:pPr>
        <w:spacing w:line="560" w:lineRule="exact"/>
        <w:ind w:firstLine="640" w:firstLineChars="200"/>
        <w:rPr>
          <w:rFonts w:eastAsia="仿宋_GB2312"/>
          <w:color w:val="000000"/>
          <w:kern w:val="0"/>
          <w:sz w:val="32"/>
          <w:szCs w:val="32"/>
        </w:rPr>
      </w:pPr>
      <w:r>
        <w:rPr>
          <w:rFonts w:hint="eastAsia" w:eastAsia="仿宋_GB2312"/>
          <w:color w:val="000000"/>
          <w:kern w:val="0"/>
          <w:sz w:val="32"/>
          <w:szCs w:val="32"/>
        </w:rPr>
        <w:t>3.</w:t>
      </w:r>
      <w:r>
        <w:rPr>
          <w:rFonts w:eastAsia="仿宋_GB2312"/>
          <w:color w:val="000000"/>
          <w:kern w:val="0"/>
          <w:sz w:val="32"/>
          <w:szCs w:val="32"/>
        </w:rPr>
        <w:t xml:space="preserve"> </w:t>
      </w:r>
      <w:r>
        <w:rPr>
          <w:rFonts w:hint="eastAsia" w:eastAsia="仿宋_GB2312"/>
          <w:color w:val="000000"/>
          <w:kern w:val="0"/>
          <w:sz w:val="32"/>
          <w:szCs w:val="32"/>
        </w:rPr>
        <w:t>临床试验设计</w:t>
      </w:r>
    </w:p>
    <w:p w14:paraId="11016F97">
      <w:pPr>
        <w:spacing w:line="560" w:lineRule="exact"/>
        <w:ind w:firstLine="640" w:firstLineChars="200"/>
        <w:rPr>
          <w:rFonts w:eastAsia="仿宋_GB2312"/>
          <w:color w:val="000000" w:themeColor="text1"/>
          <w:kern w:val="0"/>
          <w:sz w:val="32"/>
          <w:szCs w:val="32"/>
        </w:rPr>
      </w:pPr>
      <w:r>
        <w:rPr>
          <w:rFonts w:eastAsia="仿宋_GB2312"/>
          <w:color w:val="000000" w:themeColor="text1"/>
          <w:kern w:val="0"/>
          <w:sz w:val="32"/>
          <w:szCs w:val="32"/>
        </w:rPr>
        <w:t>3.1</w:t>
      </w:r>
      <w:r>
        <w:rPr>
          <w:rFonts w:hint="eastAsia" w:eastAsia="仿宋_GB2312"/>
          <w:color w:val="000000" w:themeColor="text1"/>
          <w:kern w:val="0"/>
          <w:sz w:val="32"/>
          <w:szCs w:val="32"/>
        </w:rPr>
        <w:t>对于已有同类产品上市的申报产品</w:t>
      </w:r>
    </w:p>
    <w:p w14:paraId="066DE606">
      <w:pPr>
        <w:spacing w:line="560" w:lineRule="exact"/>
        <w:ind w:firstLine="648" w:firstLineChars="200"/>
        <w:rPr>
          <w:rFonts w:eastAsia="仿宋_GB2312"/>
          <w:color w:val="000000"/>
          <w:spacing w:val="2"/>
          <w:kern w:val="0"/>
          <w:sz w:val="32"/>
          <w:szCs w:val="32"/>
        </w:rPr>
      </w:pPr>
      <w:r>
        <w:rPr>
          <w:rFonts w:hint="eastAsia" w:eastAsia="仿宋_GB2312"/>
          <w:color w:val="000000"/>
          <w:spacing w:val="2"/>
          <w:kern w:val="0"/>
          <w:sz w:val="32"/>
          <w:szCs w:val="32"/>
        </w:rPr>
        <w:t>建议选择已上市同类产品作为对比试剂进行比较研究。对比试剂在预期用途、适用人群、样本类型、耐药基因及突变位点及检测性能等方面应与申报产品具有较好的可比性。</w:t>
      </w:r>
    </w:p>
    <w:p w14:paraId="6CB1BCFA">
      <w:pPr>
        <w:spacing w:line="560" w:lineRule="exact"/>
        <w:ind w:firstLine="648" w:firstLineChars="200"/>
        <w:rPr>
          <w:rFonts w:eastAsia="仿宋_GB2312"/>
          <w:color w:val="000000"/>
          <w:spacing w:val="2"/>
          <w:kern w:val="0"/>
          <w:sz w:val="32"/>
          <w:szCs w:val="32"/>
        </w:rPr>
      </w:pPr>
      <w:r>
        <w:rPr>
          <w:rFonts w:hint="eastAsia" w:eastAsia="仿宋_GB2312"/>
          <w:color w:val="000000"/>
          <w:spacing w:val="2"/>
          <w:kern w:val="0"/>
          <w:sz w:val="32"/>
          <w:szCs w:val="32"/>
        </w:rPr>
        <w:t>建议选择可区分耐药突变位点的产品作为对比试剂。如对比试剂无法区分耐药突变位点，还应针对对比试剂检测阳性的样本采用合适的方法（如：测序）确认具体突变位点和突变类型。</w:t>
      </w:r>
    </w:p>
    <w:p w14:paraId="0A79ECAD">
      <w:pPr>
        <w:spacing w:line="560" w:lineRule="exact"/>
        <w:ind w:firstLine="640" w:firstLineChars="200"/>
        <w:rPr>
          <w:rFonts w:eastAsia="仿宋_GB2312"/>
          <w:color w:val="000000"/>
          <w:kern w:val="0"/>
          <w:sz w:val="32"/>
          <w:szCs w:val="32"/>
        </w:rPr>
      </w:pPr>
      <w:r>
        <w:rPr>
          <w:rFonts w:hint="eastAsia" w:eastAsia="仿宋_GB2312"/>
          <w:color w:val="000000"/>
          <w:kern w:val="0"/>
          <w:sz w:val="32"/>
          <w:szCs w:val="32"/>
        </w:rPr>
        <w:t>3</w:t>
      </w:r>
      <w:r>
        <w:rPr>
          <w:rFonts w:eastAsia="仿宋_GB2312"/>
          <w:color w:val="000000"/>
          <w:kern w:val="0"/>
          <w:sz w:val="32"/>
          <w:szCs w:val="32"/>
        </w:rPr>
        <w:t>.2 对于</w:t>
      </w:r>
      <w:r>
        <w:rPr>
          <w:rFonts w:hint="eastAsia" w:eastAsia="仿宋_GB2312"/>
          <w:color w:val="000000"/>
          <w:kern w:val="0"/>
          <w:sz w:val="32"/>
          <w:szCs w:val="32"/>
        </w:rPr>
        <w:t>无同类产品上市的新产品</w:t>
      </w:r>
    </w:p>
    <w:p w14:paraId="0F4DE5D4">
      <w:pPr>
        <w:spacing w:line="560" w:lineRule="exact"/>
        <w:ind w:firstLine="640" w:firstLineChars="200"/>
        <w:rPr>
          <w:rFonts w:eastAsia="仿宋_GB2312"/>
          <w:color w:val="000000"/>
          <w:kern w:val="0"/>
          <w:sz w:val="32"/>
          <w:szCs w:val="32"/>
        </w:rPr>
      </w:pPr>
      <w:r>
        <w:rPr>
          <w:rFonts w:eastAsia="仿宋_GB2312"/>
          <w:color w:val="000000"/>
          <w:kern w:val="0"/>
          <w:sz w:val="32"/>
          <w:szCs w:val="32"/>
        </w:rPr>
        <w:t>对于新的结核分枝杆菌复合群耐药基因突变检测试剂，选择传统药敏试验方法和</w:t>
      </w:r>
      <w:r>
        <w:rPr>
          <w:rFonts w:hint="eastAsia" w:eastAsia="仿宋_GB2312"/>
          <w:color w:val="000000"/>
          <w:kern w:val="0"/>
          <w:sz w:val="32"/>
          <w:szCs w:val="32"/>
        </w:rPr>
        <w:t>核酸</w:t>
      </w:r>
      <w:r>
        <w:rPr>
          <w:rFonts w:eastAsia="仿宋_GB2312"/>
          <w:color w:val="000000"/>
          <w:kern w:val="0"/>
          <w:sz w:val="32"/>
          <w:szCs w:val="32"/>
        </w:rPr>
        <w:t>测序</w:t>
      </w:r>
      <w:r>
        <w:rPr>
          <w:rFonts w:hint="eastAsia" w:eastAsia="仿宋_GB2312"/>
          <w:color w:val="000000"/>
          <w:kern w:val="0"/>
          <w:sz w:val="32"/>
          <w:szCs w:val="32"/>
        </w:rPr>
        <w:t>测定</w:t>
      </w:r>
      <w:r>
        <w:rPr>
          <w:rFonts w:eastAsia="仿宋_GB2312"/>
          <w:color w:val="000000"/>
          <w:kern w:val="0"/>
          <w:sz w:val="32"/>
          <w:szCs w:val="32"/>
        </w:rPr>
        <w:t>作为对比</w:t>
      </w:r>
      <w:r>
        <w:rPr>
          <w:rFonts w:hint="eastAsia" w:eastAsia="仿宋_GB2312"/>
          <w:color w:val="000000"/>
          <w:kern w:val="0"/>
          <w:sz w:val="32"/>
          <w:szCs w:val="32"/>
        </w:rPr>
        <w:t>方法</w:t>
      </w:r>
      <w:r>
        <w:rPr>
          <w:rFonts w:eastAsia="仿宋_GB2312"/>
          <w:color w:val="000000"/>
          <w:kern w:val="0"/>
          <w:sz w:val="32"/>
          <w:szCs w:val="32"/>
        </w:rPr>
        <w:t>。</w:t>
      </w:r>
    </w:p>
    <w:p w14:paraId="601C3A97">
      <w:pPr>
        <w:tabs>
          <w:tab w:val="left" w:pos="1259"/>
        </w:tabs>
        <w:spacing w:line="520" w:lineRule="exact"/>
        <w:ind w:left="105" w:leftChars="50" w:firstLine="486" w:firstLineChars="150"/>
        <w:jc w:val="left"/>
        <w:rPr>
          <w:rFonts w:eastAsia="仿宋_GB2312"/>
          <w:color w:val="000000" w:themeColor="text1"/>
          <w:spacing w:val="2"/>
          <w:kern w:val="0"/>
          <w:sz w:val="32"/>
          <w:szCs w:val="32"/>
          <w:highlight w:val="yellow"/>
        </w:rPr>
      </w:pPr>
      <w:bookmarkStart w:id="9" w:name="OLE_LINK1"/>
      <w:bookmarkStart w:id="10" w:name="OLE_LINK2"/>
      <w:r>
        <w:rPr>
          <w:rFonts w:hint="eastAsia" w:eastAsia="仿宋_GB2312"/>
          <w:color w:val="000000"/>
          <w:spacing w:val="2"/>
          <w:kern w:val="0"/>
          <w:sz w:val="32"/>
          <w:szCs w:val="32"/>
        </w:rPr>
        <w:t>针对传统药敏试验方法，临床试验中采用的抗结核药物应与申报产品说明书预期用途中明确的抗结核药物一致。所使用的抗结核药物建议明确到具体的药物名称而不是类。</w:t>
      </w:r>
    </w:p>
    <w:bookmarkEnd w:id="9"/>
    <w:bookmarkEnd w:id="10"/>
    <w:p w14:paraId="687D4168">
      <w:pPr>
        <w:spacing w:line="560" w:lineRule="exact"/>
        <w:ind w:firstLine="640" w:firstLineChars="200"/>
        <w:rPr>
          <w:rFonts w:eastAsia="仿宋_GB2312"/>
          <w:color w:val="000000"/>
          <w:kern w:val="0"/>
          <w:sz w:val="32"/>
          <w:szCs w:val="32"/>
        </w:rPr>
      </w:pPr>
      <w:r>
        <w:rPr>
          <w:rFonts w:hint="eastAsia" w:eastAsia="仿宋_GB2312"/>
          <w:color w:val="000000"/>
          <w:kern w:val="0"/>
          <w:sz w:val="32"/>
          <w:szCs w:val="32"/>
        </w:rPr>
        <w:t>4</w:t>
      </w:r>
      <w:r>
        <w:rPr>
          <w:rFonts w:eastAsia="仿宋_GB2312"/>
          <w:color w:val="000000"/>
          <w:kern w:val="0"/>
          <w:sz w:val="32"/>
          <w:szCs w:val="32"/>
        </w:rPr>
        <w:t>. 临床试验样本量</w:t>
      </w:r>
    </w:p>
    <w:p w14:paraId="56806E99">
      <w:pPr>
        <w:tabs>
          <w:tab w:val="left" w:pos="1259"/>
        </w:tabs>
        <w:spacing w:line="520" w:lineRule="exact"/>
        <w:ind w:firstLine="640" w:firstLineChars="200"/>
        <w:jc w:val="left"/>
        <w:rPr>
          <w:rFonts w:eastAsia="仿宋_GB2312"/>
          <w:sz w:val="32"/>
          <w:szCs w:val="32"/>
        </w:rPr>
      </w:pPr>
      <w:r>
        <w:rPr>
          <w:rFonts w:eastAsia="仿宋_GB2312"/>
          <w:color w:val="000000"/>
          <w:kern w:val="0"/>
          <w:sz w:val="32"/>
          <w:szCs w:val="32"/>
        </w:rPr>
        <w:t>4.1</w:t>
      </w:r>
      <w:r>
        <w:rPr>
          <w:rFonts w:hint="eastAsia" w:eastAsia="仿宋_GB2312"/>
          <w:color w:val="000000"/>
          <w:kern w:val="0"/>
          <w:sz w:val="32"/>
          <w:szCs w:val="32"/>
        </w:rPr>
        <w:t>针对与已上市同类产品或核酸序列测定方法的对比试验，可采用单组目标值法公式分别估算每个耐药基因的最低阳性和阴性样本例数。</w:t>
      </w:r>
      <w:r>
        <w:rPr>
          <w:rFonts w:eastAsia="仿宋_GB2312"/>
          <w:sz w:val="32"/>
          <w:szCs w:val="32"/>
        </w:rPr>
        <w:t>样本量估算公式如下，</w:t>
      </w:r>
    </w:p>
    <w:p w14:paraId="2983E9CD">
      <w:pPr>
        <w:tabs>
          <w:tab w:val="left" w:pos="1259"/>
        </w:tabs>
        <w:spacing w:line="520" w:lineRule="exact"/>
        <w:jc w:val="left"/>
        <w:rPr>
          <w:rFonts w:eastAsia="仿宋_GB2312"/>
          <w:sz w:val="32"/>
          <w:szCs w:val="32"/>
        </w:rPr>
      </w:pPr>
      <w:r>
        <w:rPr>
          <w:rFonts w:eastAsia="仿宋_GB2312"/>
        </w:rPr>
        <w:drawing>
          <wp:anchor distT="0" distB="0" distL="114300" distR="114300" simplePos="0" relativeHeight="251659264" behindDoc="0" locked="0" layoutInCell="1" allowOverlap="1">
            <wp:simplePos x="0" y="0"/>
            <wp:positionH relativeFrom="column">
              <wp:posOffset>639445</wp:posOffset>
            </wp:positionH>
            <wp:positionV relativeFrom="paragraph">
              <wp:posOffset>122555</wp:posOffset>
            </wp:positionV>
            <wp:extent cx="3486150" cy="790575"/>
            <wp:effectExtent l="0" t="0" r="0" b="0"/>
            <wp:wrapSquare wrapText="bothSides"/>
            <wp:docPr id="2" name="图片 2"/>
            <wp:cNvGraphicFramePr/>
            <a:graphic xmlns:a="http://schemas.openxmlformats.org/drawingml/2006/main">
              <a:graphicData uri="http://schemas.openxmlformats.org/drawingml/2006/picture">
                <pic:pic xmlns:pic="http://schemas.openxmlformats.org/drawingml/2006/picture">
                  <pic:nvPicPr>
                    <pic:cNvPr id="2" name="图片 2"/>
                    <pic:cNvPicPr>
                      <a:picLocks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3486150" cy="790575"/>
                    </a:xfrm>
                    <a:prstGeom prst="rect">
                      <a:avLst/>
                    </a:prstGeom>
                    <a:noFill/>
                    <a:ln>
                      <a:noFill/>
                    </a:ln>
                  </pic:spPr>
                </pic:pic>
              </a:graphicData>
            </a:graphic>
          </wp:anchor>
        </w:drawing>
      </w:r>
    </w:p>
    <w:p w14:paraId="5FBFC48B">
      <w:pPr>
        <w:tabs>
          <w:tab w:val="left" w:pos="1259"/>
        </w:tabs>
        <w:spacing w:line="520" w:lineRule="exact"/>
        <w:ind w:firstLine="640" w:firstLineChars="200"/>
        <w:jc w:val="left"/>
        <w:rPr>
          <w:rFonts w:eastAsia="仿宋_GB2312"/>
          <w:sz w:val="32"/>
          <w:szCs w:val="32"/>
        </w:rPr>
      </w:pPr>
    </w:p>
    <w:p w14:paraId="60F70E43">
      <w:pPr>
        <w:tabs>
          <w:tab w:val="left" w:pos="1259"/>
        </w:tabs>
        <w:spacing w:line="520" w:lineRule="exact"/>
        <w:ind w:firstLine="640" w:firstLineChars="200"/>
        <w:jc w:val="left"/>
        <w:rPr>
          <w:rFonts w:eastAsia="仿宋_GB2312"/>
          <w:sz w:val="32"/>
          <w:szCs w:val="32"/>
        </w:rPr>
      </w:pPr>
    </w:p>
    <w:p w14:paraId="3C707FDF">
      <w:pPr>
        <w:spacing w:line="540" w:lineRule="exact"/>
        <w:ind w:firstLine="640" w:firstLineChars="200"/>
        <w:rPr>
          <w:rFonts w:eastAsia="仿宋_GB2312"/>
          <w:sz w:val="32"/>
          <w:szCs w:val="32"/>
        </w:rPr>
      </w:pPr>
      <w:r>
        <w:rPr>
          <w:rFonts w:eastAsia="仿宋_GB2312"/>
          <w:sz w:val="32"/>
          <w:szCs w:val="32"/>
        </w:rPr>
        <w:t>公式中，n为样本量；Z</w:t>
      </w:r>
      <w:r>
        <w:rPr>
          <w:rFonts w:eastAsia="仿宋_GB2312"/>
          <w:sz w:val="32"/>
          <w:szCs w:val="32"/>
          <w:vertAlign w:val="subscript"/>
        </w:rPr>
        <w:t>1-α/2</w:t>
      </w:r>
      <w:r>
        <w:rPr>
          <w:rFonts w:eastAsia="仿宋_GB2312"/>
          <w:sz w:val="32"/>
          <w:szCs w:val="32"/>
        </w:rPr>
        <w:t>、Z</w:t>
      </w:r>
      <w:r>
        <w:rPr>
          <w:rFonts w:eastAsia="仿宋_GB2312"/>
          <w:sz w:val="32"/>
          <w:szCs w:val="32"/>
          <w:vertAlign w:val="subscript"/>
        </w:rPr>
        <w:t>1-β</w:t>
      </w:r>
      <w:r>
        <w:rPr>
          <w:rFonts w:eastAsia="仿宋_GB2312"/>
          <w:sz w:val="32"/>
          <w:szCs w:val="32"/>
        </w:rPr>
        <w:t>为显著性水平和把握度的标准正态分布的分数位，P</w:t>
      </w:r>
      <w:r>
        <w:rPr>
          <w:rFonts w:eastAsia="仿宋_GB2312"/>
          <w:sz w:val="32"/>
          <w:szCs w:val="32"/>
          <w:vertAlign w:val="subscript"/>
        </w:rPr>
        <w:t>0</w:t>
      </w:r>
      <w:r>
        <w:rPr>
          <w:rFonts w:eastAsia="仿宋_GB2312"/>
          <w:sz w:val="32"/>
          <w:szCs w:val="32"/>
        </w:rPr>
        <w:t>为评价指标的临床可接受标准，P</w:t>
      </w:r>
      <w:r>
        <w:rPr>
          <w:rFonts w:eastAsia="仿宋_GB2312"/>
          <w:sz w:val="32"/>
          <w:szCs w:val="32"/>
          <w:vertAlign w:val="subscript"/>
        </w:rPr>
        <w:t>T</w:t>
      </w:r>
      <w:r>
        <w:rPr>
          <w:rFonts w:eastAsia="仿宋_GB2312"/>
          <w:sz w:val="32"/>
          <w:szCs w:val="32"/>
        </w:rPr>
        <w:t>为申报产品评价指标预期值。</w:t>
      </w:r>
    </w:p>
    <w:p w14:paraId="67DE21AE">
      <w:pPr>
        <w:spacing w:line="540" w:lineRule="exact"/>
        <w:ind w:firstLine="640" w:firstLineChars="200"/>
        <w:rPr>
          <w:rFonts w:eastAsia="仿宋_GB2312"/>
          <w:sz w:val="32"/>
          <w:szCs w:val="32"/>
        </w:rPr>
      </w:pPr>
      <w:r>
        <w:rPr>
          <w:rFonts w:hint="eastAsia" w:eastAsia="仿宋_GB2312"/>
          <w:sz w:val="32"/>
          <w:szCs w:val="32"/>
        </w:rPr>
        <w:t>其中阳性符合率和阴性符合率的临床可接受标准（</w:t>
      </w:r>
      <w:r>
        <w:rPr>
          <w:rFonts w:eastAsia="仿宋_GB2312"/>
          <w:sz w:val="32"/>
          <w:szCs w:val="32"/>
        </w:rPr>
        <w:t>P</w:t>
      </w:r>
      <w:r>
        <w:rPr>
          <w:rFonts w:eastAsia="仿宋_GB2312"/>
          <w:sz w:val="32"/>
          <w:szCs w:val="32"/>
          <w:vertAlign w:val="subscript"/>
        </w:rPr>
        <w:t>0</w:t>
      </w:r>
      <w:r>
        <w:rPr>
          <w:rFonts w:hint="eastAsia" w:eastAsia="仿宋_GB2312"/>
          <w:sz w:val="32"/>
          <w:szCs w:val="32"/>
        </w:rPr>
        <w:t>）建议不低于</w:t>
      </w:r>
      <w:r>
        <w:rPr>
          <w:rFonts w:eastAsia="仿宋_GB2312"/>
          <w:sz w:val="32"/>
          <w:szCs w:val="32"/>
        </w:rPr>
        <w:t>90%</w:t>
      </w:r>
      <w:r>
        <w:rPr>
          <w:rFonts w:hint="eastAsia" w:eastAsia="仿宋_GB2312"/>
          <w:sz w:val="32"/>
          <w:szCs w:val="32"/>
        </w:rPr>
        <w:t>。</w:t>
      </w:r>
      <w:r>
        <w:rPr>
          <w:rFonts w:eastAsia="仿宋_GB2312"/>
          <w:sz w:val="32"/>
          <w:szCs w:val="32"/>
        </w:rPr>
        <w:t>临床试验结果中，相关评价指标的95%置信区间下限应不低于预设的临床可接受标准。当评价指标</w:t>
      </w:r>
      <w:r>
        <w:rPr>
          <w:rFonts w:eastAsia="仿宋_GB2312"/>
          <w:i/>
          <w:sz w:val="32"/>
          <w:szCs w:val="32"/>
        </w:rPr>
        <w:t>P</w:t>
      </w:r>
      <w:r>
        <w:rPr>
          <w:rFonts w:eastAsia="仿宋_GB2312"/>
          <w:sz w:val="32"/>
          <w:szCs w:val="32"/>
        </w:rPr>
        <w:t>接近100%时，上述样本量估算方法可能不适用，应考虑选择更加适宜的方法进行样本量估算和统计学分析，如精确概率法等。</w:t>
      </w:r>
    </w:p>
    <w:p w14:paraId="1994C879">
      <w:pPr>
        <w:tabs>
          <w:tab w:val="left" w:pos="1259"/>
        </w:tabs>
        <w:spacing w:line="520" w:lineRule="exact"/>
        <w:ind w:firstLine="640" w:firstLineChars="200"/>
        <w:rPr>
          <w:rFonts w:eastAsia="仿宋_GB2312"/>
          <w:sz w:val="32"/>
          <w:szCs w:val="32"/>
          <w:highlight w:val="none"/>
        </w:rPr>
      </w:pPr>
      <w:bookmarkStart w:id="11" w:name="OLE_LINK30"/>
      <w:bookmarkStart w:id="12" w:name="OLE_LINK31"/>
      <w:r>
        <w:rPr>
          <w:rFonts w:hint="eastAsia" w:eastAsia="仿宋_GB2312"/>
          <w:sz w:val="32"/>
          <w:szCs w:val="32"/>
          <w:highlight w:val="none"/>
        </w:rPr>
        <w:t>临床试验应对申报</w:t>
      </w:r>
      <w:r>
        <w:rPr>
          <w:rFonts w:hint="eastAsia" w:eastAsia="仿宋_GB2312"/>
          <w:color w:val="000000"/>
          <w:kern w:val="0"/>
          <w:sz w:val="32"/>
          <w:szCs w:val="32"/>
          <w:highlight w:val="none"/>
        </w:rPr>
        <w:t>产品声称的每种引物和/或探针进行充分验证。同时，</w:t>
      </w:r>
      <w:r>
        <w:rPr>
          <w:rFonts w:hint="eastAsia" w:eastAsia="仿宋_GB2312"/>
          <w:sz w:val="32"/>
          <w:szCs w:val="32"/>
          <w:highlight w:val="none"/>
        </w:rPr>
        <w:t>针对</w:t>
      </w:r>
      <w:r>
        <w:rPr>
          <w:rFonts w:eastAsia="仿宋_GB2312"/>
          <w:sz w:val="32"/>
          <w:szCs w:val="32"/>
          <w:highlight w:val="none"/>
        </w:rPr>
        <w:t>a</w:t>
      </w:r>
      <w:r>
        <w:rPr>
          <w:rFonts w:hint="eastAsia" w:eastAsia="仿宋_GB2312"/>
          <w:sz w:val="32"/>
          <w:szCs w:val="32"/>
          <w:highlight w:val="none"/>
        </w:rPr>
        <w:t>类</w:t>
      </w:r>
      <w:bookmarkStart w:id="13" w:name="OLE_LINK6"/>
      <w:bookmarkStart w:id="14" w:name="OLE_LINK5"/>
      <w:r>
        <w:rPr>
          <w:rFonts w:hint="eastAsia" w:eastAsia="仿宋_GB2312"/>
          <w:sz w:val="32"/>
          <w:szCs w:val="32"/>
          <w:highlight w:val="none"/>
        </w:rPr>
        <w:t>产品和b类产品，申报产品检测范围内的每种突变位点均应具有一定的阳性例数</w:t>
      </w:r>
      <w:bookmarkEnd w:id="13"/>
      <w:bookmarkEnd w:id="14"/>
      <w:r>
        <w:rPr>
          <w:rFonts w:hint="eastAsia" w:eastAsia="仿宋_GB2312"/>
          <w:sz w:val="32"/>
          <w:szCs w:val="32"/>
          <w:highlight w:val="none"/>
        </w:rPr>
        <w:t>；对于临床发生率低的突变位点，可结合申报产品的检测原理（如：是否共用相同的引物及探针等）及申报产品的整体检测性能等综合考虑。针对</w:t>
      </w:r>
      <w:r>
        <w:rPr>
          <w:rFonts w:eastAsia="仿宋_GB2312"/>
          <w:sz w:val="32"/>
          <w:szCs w:val="32"/>
          <w:highlight w:val="none"/>
        </w:rPr>
        <w:t>c类产品，应对常见突变</w:t>
      </w:r>
      <w:r>
        <w:rPr>
          <w:rFonts w:hint="eastAsia" w:eastAsia="仿宋_GB2312"/>
          <w:sz w:val="32"/>
          <w:szCs w:val="32"/>
          <w:highlight w:val="none"/>
        </w:rPr>
        <w:t>位点</w:t>
      </w:r>
      <w:r>
        <w:rPr>
          <w:rFonts w:eastAsia="仿宋_GB2312"/>
          <w:sz w:val="32"/>
          <w:szCs w:val="32"/>
          <w:highlight w:val="none"/>
        </w:rPr>
        <w:t>进行</w:t>
      </w:r>
      <w:r>
        <w:rPr>
          <w:rFonts w:hint="eastAsia" w:eastAsia="仿宋_GB2312"/>
          <w:sz w:val="32"/>
          <w:szCs w:val="32"/>
          <w:highlight w:val="none"/>
        </w:rPr>
        <w:t>充分</w:t>
      </w:r>
      <w:r>
        <w:rPr>
          <w:rFonts w:eastAsia="仿宋_GB2312"/>
          <w:sz w:val="32"/>
          <w:szCs w:val="32"/>
          <w:highlight w:val="none"/>
        </w:rPr>
        <w:t>验证</w:t>
      </w:r>
      <w:r>
        <w:rPr>
          <w:rFonts w:hint="eastAsia" w:eastAsia="仿宋_GB2312"/>
          <w:sz w:val="32"/>
          <w:szCs w:val="32"/>
          <w:highlight w:val="none"/>
        </w:rPr>
        <w:t xml:space="preserve">，每种常见突变位点均应具有一定的阳性例数。 </w:t>
      </w:r>
    </w:p>
    <w:bookmarkEnd w:id="11"/>
    <w:bookmarkEnd w:id="12"/>
    <w:p w14:paraId="7681CF51">
      <w:pPr>
        <w:tabs>
          <w:tab w:val="left" w:pos="1259"/>
        </w:tabs>
        <w:spacing w:line="520" w:lineRule="exact"/>
        <w:ind w:firstLine="640" w:firstLineChars="200"/>
        <w:rPr>
          <w:rFonts w:eastAsia="仿宋_GB2312"/>
          <w:sz w:val="32"/>
          <w:szCs w:val="32"/>
        </w:rPr>
      </w:pPr>
      <w:r>
        <w:rPr>
          <w:rFonts w:eastAsia="仿宋_GB2312"/>
          <w:sz w:val="32"/>
          <w:szCs w:val="32"/>
        </w:rPr>
        <w:t>与已上市同类产品</w:t>
      </w:r>
      <w:r>
        <w:rPr>
          <w:rFonts w:hint="eastAsia" w:eastAsia="仿宋_GB2312"/>
          <w:sz w:val="32"/>
          <w:szCs w:val="32"/>
        </w:rPr>
        <w:t>进行</w:t>
      </w:r>
      <w:r>
        <w:rPr>
          <w:rFonts w:eastAsia="仿宋_GB2312"/>
          <w:sz w:val="32"/>
          <w:szCs w:val="32"/>
        </w:rPr>
        <w:t>比较时，应</w:t>
      </w:r>
      <w:r>
        <w:rPr>
          <w:rFonts w:hint="eastAsia" w:eastAsia="仿宋_GB2312"/>
          <w:sz w:val="32"/>
          <w:szCs w:val="32"/>
        </w:rPr>
        <w:t>纳入至少30例</w:t>
      </w:r>
      <w:r>
        <w:rPr>
          <w:rFonts w:eastAsia="仿宋_GB2312"/>
          <w:sz w:val="32"/>
          <w:szCs w:val="32"/>
        </w:rPr>
        <w:t>弱阳性样本</w:t>
      </w:r>
      <w:r>
        <w:rPr>
          <w:rFonts w:hint="eastAsia" w:eastAsia="仿宋_GB2312"/>
          <w:sz w:val="32"/>
          <w:szCs w:val="32"/>
        </w:rPr>
        <w:t>。</w:t>
      </w:r>
    </w:p>
    <w:p w14:paraId="569CDD9D">
      <w:pPr>
        <w:spacing w:line="560" w:lineRule="exact"/>
        <w:ind w:firstLine="640" w:firstLineChars="200"/>
        <w:rPr>
          <w:rFonts w:eastAsia="仿宋_GB2312"/>
          <w:sz w:val="32"/>
          <w:szCs w:val="32"/>
        </w:rPr>
      </w:pPr>
      <w:r>
        <w:rPr>
          <w:rFonts w:hint="eastAsia" w:eastAsia="仿宋_GB2312"/>
          <w:sz w:val="32"/>
          <w:szCs w:val="32"/>
        </w:rPr>
        <w:t>4</w:t>
      </w:r>
      <w:r>
        <w:rPr>
          <w:rFonts w:eastAsia="仿宋_GB2312"/>
          <w:sz w:val="32"/>
          <w:szCs w:val="32"/>
        </w:rPr>
        <w:t>.</w:t>
      </w:r>
      <w:r>
        <w:rPr>
          <w:rFonts w:hint="eastAsia" w:eastAsia="仿宋_GB2312"/>
          <w:sz w:val="32"/>
          <w:szCs w:val="32"/>
        </w:rPr>
        <w:t>2</w:t>
      </w:r>
      <w:r>
        <w:rPr>
          <w:rFonts w:eastAsia="仿宋_GB2312"/>
          <w:sz w:val="32"/>
          <w:szCs w:val="32"/>
        </w:rPr>
        <w:t>针对</w:t>
      </w:r>
      <w:r>
        <w:rPr>
          <w:rFonts w:hint="eastAsia" w:eastAsia="仿宋_GB2312"/>
          <w:sz w:val="32"/>
          <w:szCs w:val="32"/>
        </w:rPr>
        <w:t>上述临床试验设计中（3.2和3.3）中申报</w:t>
      </w:r>
      <w:r>
        <w:rPr>
          <w:rFonts w:eastAsia="仿宋_GB2312"/>
          <w:sz w:val="32"/>
          <w:szCs w:val="32"/>
        </w:rPr>
        <w:t>产品与</w:t>
      </w:r>
      <w:r>
        <w:rPr>
          <w:rFonts w:hint="eastAsia" w:eastAsia="仿宋_GB2312"/>
          <w:sz w:val="32"/>
          <w:szCs w:val="32"/>
        </w:rPr>
        <w:t>传统</w:t>
      </w:r>
      <w:r>
        <w:rPr>
          <w:rFonts w:eastAsia="仿宋_GB2312"/>
          <w:sz w:val="32"/>
          <w:szCs w:val="32"/>
        </w:rPr>
        <w:t>药敏试验的对比</w:t>
      </w:r>
      <w:r>
        <w:rPr>
          <w:rFonts w:hint="eastAsia" w:eastAsia="仿宋_GB2312"/>
          <w:sz w:val="32"/>
          <w:szCs w:val="32"/>
        </w:rPr>
        <w:t>研究</w:t>
      </w:r>
      <w:r>
        <w:rPr>
          <w:rFonts w:eastAsia="仿宋_GB2312"/>
          <w:sz w:val="32"/>
          <w:szCs w:val="32"/>
        </w:rPr>
        <w:t>，</w:t>
      </w:r>
      <w:r>
        <w:rPr>
          <w:rFonts w:hint="eastAsia" w:eastAsia="仿宋_GB2312"/>
          <w:sz w:val="32"/>
          <w:szCs w:val="32"/>
        </w:rPr>
        <w:t>可采用单组目标值法公式分别估算每种抗生素的最低耐药和敏感样本例数。其中灵敏度和特异度的临床可接受标准（</w:t>
      </w:r>
      <w:r>
        <w:rPr>
          <w:rFonts w:eastAsia="仿宋_GB2312"/>
          <w:sz w:val="32"/>
          <w:szCs w:val="32"/>
        </w:rPr>
        <w:t>P0</w:t>
      </w:r>
      <w:r>
        <w:rPr>
          <w:rFonts w:hint="eastAsia" w:eastAsia="仿宋_GB2312"/>
          <w:sz w:val="32"/>
          <w:szCs w:val="32"/>
        </w:rPr>
        <w:t>）的设置应满足临床使用需求。</w:t>
      </w:r>
    </w:p>
    <w:p w14:paraId="5ACD50E6">
      <w:pPr>
        <w:spacing w:line="560" w:lineRule="exact"/>
        <w:ind w:firstLine="640" w:firstLineChars="200"/>
        <w:rPr>
          <w:rFonts w:eastAsia="仿宋_GB2312"/>
          <w:color w:val="000000"/>
          <w:kern w:val="0"/>
          <w:sz w:val="32"/>
          <w:szCs w:val="32"/>
        </w:rPr>
      </w:pPr>
      <w:r>
        <w:rPr>
          <w:rFonts w:hint="eastAsia" w:eastAsia="仿宋_GB2312"/>
          <w:color w:val="000000"/>
          <w:kern w:val="0"/>
          <w:sz w:val="32"/>
          <w:szCs w:val="32"/>
        </w:rPr>
        <w:t>4.3</w:t>
      </w:r>
      <w:r>
        <w:rPr>
          <w:rFonts w:eastAsia="仿宋_GB2312"/>
          <w:color w:val="000000"/>
          <w:kern w:val="0"/>
          <w:sz w:val="32"/>
          <w:szCs w:val="32"/>
        </w:rPr>
        <w:t>鉴于痰、支气管肺泡灌洗液以及培养物等样本之间差异较大，如申报产品同时适用于上述几种样本类型，每种样本类型</w:t>
      </w:r>
      <w:r>
        <w:rPr>
          <w:rFonts w:hint="eastAsia" w:eastAsia="仿宋_GB2312"/>
          <w:color w:val="000000"/>
          <w:kern w:val="0"/>
          <w:sz w:val="32"/>
          <w:szCs w:val="32"/>
        </w:rPr>
        <w:t>应分别进行统计学估算。如申报产品同时声称多种样本类型，</w:t>
      </w:r>
      <w:r>
        <w:rPr>
          <w:rFonts w:eastAsia="仿宋_GB2312"/>
          <w:color w:val="000000"/>
          <w:kern w:val="0"/>
          <w:sz w:val="32"/>
          <w:szCs w:val="32"/>
        </w:rPr>
        <w:t>弱阳性样本应覆盖每种样本类型。</w:t>
      </w:r>
    </w:p>
    <w:p w14:paraId="4DC71E36">
      <w:pPr>
        <w:spacing w:line="560" w:lineRule="exact"/>
        <w:ind w:firstLine="640" w:firstLineChars="200"/>
        <w:rPr>
          <w:rFonts w:eastAsia="仿宋_GB2312"/>
          <w:color w:val="000000"/>
          <w:kern w:val="0"/>
          <w:sz w:val="32"/>
          <w:szCs w:val="32"/>
        </w:rPr>
      </w:pPr>
      <w:r>
        <w:rPr>
          <w:rFonts w:eastAsia="仿宋_GB2312"/>
          <w:color w:val="000000"/>
          <w:kern w:val="0"/>
          <w:sz w:val="32"/>
          <w:szCs w:val="32"/>
        </w:rPr>
        <w:t>4.4</w:t>
      </w:r>
      <w:bookmarkStart w:id="15" w:name="OLE_LINK7"/>
      <w:bookmarkStart w:id="16" w:name="OLE_LINK8"/>
      <w:r>
        <w:rPr>
          <w:rFonts w:hint="eastAsia" w:eastAsia="仿宋_GB2312"/>
          <w:color w:val="000000"/>
          <w:kern w:val="0"/>
          <w:sz w:val="32"/>
          <w:szCs w:val="32"/>
        </w:rPr>
        <w:t>如申报产品针对某种样本类型同时适用于</w:t>
      </w:r>
      <w:bookmarkEnd w:id="15"/>
      <w:bookmarkEnd w:id="16"/>
      <w:r>
        <w:rPr>
          <w:rFonts w:hint="eastAsia" w:eastAsia="仿宋_GB2312"/>
          <w:color w:val="000000"/>
          <w:kern w:val="0"/>
          <w:sz w:val="32"/>
          <w:szCs w:val="32"/>
        </w:rPr>
        <w:t>直接裂解核酸提取法和磁珠等核酸提取/纯化方法，建议采用直接裂解法进行主体临床试验，同时进行不少于100例不同核酸提取/纯化方法之间的比较研究（与申报产品的同源比对，或与已上市同类产品的比对），证明不同核酸提取/纯化方法不影响检测结果，其中，阳性和阴性样本应各不少于50例。</w:t>
      </w:r>
    </w:p>
    <w:p w14:paraId="066F37D8">
      <w:pPr>
        <w:spacing w:line="560" w:lineRule="exact"/>
        <w:ind w:firstLine="640" w:firstLineChars="200"/>
        <w:rPr>
          <w:rFonts w:eastAsia="仿宋_GB2312"/>
          <w:color w:val="000000"/>
          <w:kern w:val="0"/>
          <w:sz w:val="32"/>
          <w:szCs w:val="32"/>
        </w:rPr>
      </w:pPr>
      <w:r>
        <w:rPr>
          <w:rFonts w:hint="eastAsia" w:eastAsia="仿宋_GB2312"/>
          <w:color w:val="000000"/>
          <w:kern w:val="0"/>
          <w:sz w:val="32"/>
          <w:szCs w:val="32"/>
        </w:rPr>
        <w:t>4.5</w:t>
      </w:r>
      <w:r>
        <w:rPr>
          <w:rFonts w:eastAsia="仿宋_GB2312"/>
          <w:color w:val="000000"/>
          <w:kern w:val="0"/>
          <w:sz w:val="32"/>
          <w:szCs w:val="32"/>
        </w:rPr>
        <w:t xml:space="preserve"> </w:t>
      </w:r>
      <w:r>
        <w:rPr>
          <w:rFonts w:hint="eastAsia" w:eastAsia="仿宋_GB2312"/>
          <w:color w:val="000000"/>
          <w:kern w:val="0"/>
          <w:sz w:val="32"/>
          <w:szCs w:val="32"/>
        </w:rPr>
        <w:t>如申报产品针对某种样本类型同时适用于几种核酸提取/纯化方法（</w:t>
      </w:r>
      <w:bookmarkStart w:id="17" w:name="OLE_LINK43"/>
      <w:bookmarkStart w:id="18" w:name="OLE_LINK42"/>
      <w:bookmarkStart w:id="19" w:name="OLE_LINK44"/>
      <w:r>
        <w:rPr>
          <w:rFonts w:hint="eastAsia" w:eastAsia="仿宋_GB2312"/>
          <w:color w:val="000000"/>
          <w:kern w:val="0"/>
          <w:sz w:val="32"/>
          <w:szCs w:val="32"/>
        </w:rPr>
        <w:t>不包括直接裂解法</w:t>
      </w:r>
      <w:bookmarkEnd w:id="17"/>
      <w:bookmarkEnd w:id="18"/>
      <w:bookmarkEnd w:id="19"/>
      <w:r>
        <w:rPr>
          <w:rFonts w:hint="eastAsia" w:eastAsia="仿宋_GB2312"/>
          <w:color w:val="000000"/>
          <w:kern w:val="0"/>
          <w:sz w:val="32"/>
          <w:szCs w:val="32"/>
        </w:rPr>
        <w:t>），且非临床分析性能研究显示几种核酸提取方法不存在差异，原则上临床试验中可选择一种提取/纯化方法；如申报产品针对某种样本类型同时适用于</w:t>
      </w:r>
      <w:bookmarkStart w:id="20" w:name="OLE_LINK9"/>
      <w:r>
        <w:rPr>
          <w:rFonts w:hint="eastAsia" w:eastAsia="仿宋_GB2312"/>
          <w:color w:val="000000"/>
          <w:kern w:val="0"/>
          <w:sz w:val="32"/>
          <w:szCs w:val="32"/>
        </w:rPr>
        <w:t>几种样本处理方法</w:t>
      </w:r>
      <w:bookmarkEnd w:id="20"/>
      <w:r>
        <w:rPr>
          <w:rFonts w:hint="eastAsia" w:eastAsia="仿宋_GB2312"/>
          <w:color w:val="000000"/>
          <w:kern w:val="0"/>
          <w:sz w:val="32"/>
          <w:szCs w:val="32"/>
        </w:rPr>
        <w:t>，且</w:t>
      </w:r>
      <w:bookmarkStart w:id="21" w:name="OLE_LINK11"/>
      <w:bookmarkStart w:id="22" w:name="OLE_LINK10"/>
      <w:r>
        <w:rPr>
          <w:rFonts w:hint="eastAsia" w:eastAsia="仿宋_GB2312"/>
          <w:color w:val="000000"/>
          <w:kern w:val="0"/>
          <w:sz w:val="32"/>
          <w:szCs w:val="32"/>
        </w:rPr>
        <w:t>非临床分析性能研究显示几种样本处理方法不存在差异，原则上临床试验中可选择一种前处理方法。</w:t>
      </w:r>
      <w:bookmarkEnd w:id="21"/>
      <w:bookmarkEnd w:id="22"/>
    </w:p>
    <w:p w14:paraId="0F3F4180">
      <w:pPr>
        <w:spacing w:line="560" w:lineRule="exact"/>
        <w:ind w:firstLine="640" w:firstLineChars="200"/>
        <w:rPr>
          <w:rFonts w:eastAsia="仿宋_GB2312"/>
          <w:color w:val="000000"/>
          <w:kern w:val="0"/>
          <w:sz w:val="32"/>
          <w:szCs w:val="32"/>
        </w:rPr>
      </w:pPr>
      <w:r>
        <w:rPr>
          <w:rFonts w:hint="eastAsia" w:eastAsia="仿宋_GB2312"/>
          <w:color w:val="000000"/>
          <w:kern w:val="0"/>
          <w:sz w:val="32"/>
          <w:szCs w:val="32"/>
        </w:rPr>
        <w:t>4.6</w:t>
      </w:r>
      <w:r>
        <w:rPr>
          <w:rFonts w:eastAsia="仿宋_GB2312"/>
          <w:color w:val="000000"/>
          <w:kern w:val="0"/>
          <w:sz w:val="32"/>
          <w:szCs w:val="32"/>
        </w:rPr>
        <w:t>如申报产品适用于液体培养物和固体培养物</w:t>
      </w:r>
      <w:r>
        <w:rPr>
          <w:rFonts w:hint="eastAsia" w:eastAsia="仿宋_GB2312"/>
          <w:color w:val="000000"/>
          <w:kern w:val="0"/>
          <w:sz w:val="32"/>
          <w:szCs w:val="32"/>
        </w:rPr>
        <w:t>样本类型</w:t>
      </w:r>
      <w:r>
        <w:rPr>
          <w:rFonts w:eastAsia="仿宋_GB2312"/>
          <w:color w:val="000000"/>
          <w:kern w:val="0"/>
          <w:sz w:val="32"/>
          <w:szCs w:val="32"/>
        </w:rPr>
        <w:t>，临床试验可</w:t>
      </w:r>
      <w:r>
        <w:rPr>
          <w:rFonts w:hint="eastAsia" w:eastAsia="仿宋_GB2312"/>
          <w:color w:val="000000"/>
          <w:kern w:val="0"/>
          <w:sz w:val="32"/>
          <w:szCs w:val="32"/>
        </w:rPr>
        <w:t>将两种培养物进行汇总统计。</w:t>
      </w:r>
    </w:p>
    <w:p w14:paraId="41D04452">
      <w:pPr>
        <w:spacing w:line="560" w:lineRule="exact"/>
        <w:ind w:firstLine="640" w:firstLineChars="200"/>
        <w:rPr>
          <w:rFonts w:eastAsia="仿宋_GB2312"/>
          <w:color w:val="000000"/>
          <w:kern w:val="0"/>
          <w:sz w:val="32"/>
          <w:szCs w:val="32"/>
        </w:rPr>
      </w:pPr>
      <w:r>
        <w:rPr>
          <w:rFonts w:hint="eastAsia" w:eastAsia="仿宋_GB2312"/>
          <w:color w:val="000000"/>
          <w:kern w:val="0"/>
          <w:sz w:val="32"/>
          <w:szCs w:val="32"/>
        </w:rPr>
        <w:t>5</w:t>
      </w:r>
      <w:r>
        <w:rPr>
          <w:rFonts w:eastAsia="仿宋_GB2312"/>
          <w:color w:val="000000"/>
          <w:kern w:val="0"/>
          <w:sz w:val="32"/>
          <w:szCs w:val="32"/>
        </w:rPr>
        <w:t>. 临床试验</w:t>
      </w:r>
      <w:r>
        <w:rPr>
          <w:rFonts w:hint="eastAsia" w:eastAsia="仿宋_GB2312"/>
          <w:color w:val="000000"/>
          <w:kern w:val="0"/>
          <w:sz w:val="32"/>
          <w:szCs w:val="32"/>
        </w:rPr>
        <w:t>数据汇总表</w:t>
      </w:r>
      <w:r>
        <w:rPr>
          <w:rFonts w:eastAsia="仿宋_GB2312"/>
          <w:color w:val="000000"/>
          <w:kern w:val="0"/>
          <w:sz w:val="32"/>
          <w:szCs w:val="32"/>
        </w:rPr>
        <w:t>及统计分析</w:t>
      </w:r>
    </w:p>
    <w:p w14:paraId="2C8F9E5C">
      <w:pPr>
        <w:spacing w:line="560" w:lineRule="exact"/>
        <w:ind w:firstLine="640" w:firstLineChars="200"/>
        <w:rPr>
          <w:rFonts w:eastAsia="仿宋_GB2312"/>
          <w:color w:val="000000"/>
          <w:kern w:val="0"/>
          <w:sz w:val="32"/>
          <w:szCs w:val="32"/>
        </w:rPr>
      </w:pPr>
      <w:r>
        <w:rPr>
          <w:rFonts w:hint="eastAsia" w:eastAsia="仿宋_GB2312"/>
          <w:color w:val="000000"/>
          <w:kern w:val="0"/>
          <w:sz w:val="32"/>
          <w:szCs w:val="32"/>
        </w:rPr>
        <w:t>5</w:t>
      </w:r>
      <w:r>
        <w:rPr>
          <w:rFonts w:eastAsia="仿宋_GB2312"/>
          <w:color w:val="000000"/>
          <w:kern w:val="0"/>
          <w:sz w:val="32"/>
          <w:szCs w:val="32"/>
        </w:rPr>
        <w:t>.</w:t>
      </w:r>
      <w:r>
        <w:rPr>
          <w:rFonts w:hint="eastAsia" w:eastAsia="仿宋_GB2312"/>
          <w:color w:val="000000"/>
          <w:kern w:val="0"/>
          <w:sz w:val="32"/>
          <w:szCs w:val="32"/>
        </w:rPr>
        <w:t>1</w:t>
      </w:r>
      <w:r>
        <w:rPr>
          <w:rFonts w:eastAsia="仿宋_GB2312"/>
          <w:color w:val="000000"/>
          <w:kern w:val="0"/>
          <w:sz w:val="32"/>
          <w:szCs w:val="32"/>
        </w:rPr>
        <w:t>临床试验</w:t>
      </w:r>
      <w:r>
        <w:rPr>
          <w:rFonts w:hint="eastAsia" w:eastAsia="仿宋_GB2312"/>
          <w:color w:val="000000"/>
          <w:kern w:val="0"/>
          <w:sz w:val="32"/>
          <w:szCs w:val="32"/>
        </w:rPr>
        <w:t>的数据汇总表应</w:t>
      </w:r>
      <w:r>
        <w:rPr>
          <w:rFonts w:eastAsia="仿宋_GB2312"/>
          <w:color w:val="000000"/>
          <w:kern w:val="0"/>
          <w:sz w:val="32"/>
          <w:szCs w:val="32"/>
        </w:rPr>
        <w:t>包括申报产品的结果、对比试剂</w:t>
      </w:r>
      <w:r>
        <w:rPr>
          <w:rFonts w:hint="eastAsia" w:eastAsia="仿宋_GB2312"/>
          <w:color w:val="000000"/>
          <w:kern w:val="0"/>
          <w:sz w:val="32"/>
          <w:szCs w:val="32"/>
        </w:rPr>
        <w:t>/方法</w:t>
      </w:r>
      <w:r>
        <w:rPr>
          <w:rFonts w:eastAsia="仿宋_GB2312"/>
          <w:color w:val="000000"/>
          <w:kern w:val="0"/>
          <w:sz w:val="32"/>
          <w:szCs w:val="32"/>
        </w:rPr>
        <w:t>的结果、临床诊断（</w:t>
      </w:r>
      <w:r>
        <w:rPr>
          <w:rFonts w:hint="eastAsia" w:eastAsia="仿宋_GB2312"/>
          <w:color w:val="000000"/>
          <w:kern w:val="0"/>
          <w:sz w:val="32"/>
          <w:szCs w:val="32"/>
        </w:rPr>
        <w:t>对于单功能试剂，明确为</w:t>
      </w:r>
      <w:r>
        <w:rPr>
          <w:rFonts w:eastAsia="仿宋_GB2312"/>
          <w:color w:val="000000"/>
          <w:kern w:val="0"/>
          <w:sz w:val="32"/>
          <w:szCs w:val="32"/>
        </w:rPr>
        <w:t>结核病）</w:t>
      </w:r>
      <w:r>
        <w:rPr>
          <w:rFonts w:hint="eastAsia" w:eastAsia="仿宋_GB2312"/>
          <w:color w:val="000000"/>
          <w:kern w:val="0"/>
          <w:sz w:val="32"/>
          <w:szCs w:val="32"/>
        </w:rPr>
        <w:t>、临床诊断背景信息（对于双功能试剂，明确体征症状等证明其为疑似结核病患者）</w:t>
      </w:r>
      <w:r>
        <w:rPr>
          <w:rFonts w:eastAsia="仿宋_GB2312"/>
          <w:color w:val="000000"/>
          <w:kern w:val="0"/>
          <w:sz w:val="32"/>
          <w:szCs w:val="32"/>
        </w:rPr>
        <w:t>等。</w:t>
      </w:r>
    </w:p>
    <w:p w14:paraId="5C0B4665">
      <w:pPr>
        <w:spacing w:line="560" w:lineRule="exact"/>
        <w:ind w:firstLine="640" w:firstLineChars="200"/>
        <w:rPr>
          <w:rFonts w:eastAsia="仿宋_GB2312"/>
          <w:color w:val="000000"/>
          <w:kern w:val="0"/>
          <w:sz w:val="32"/>
          <w:szCs w:val="32"/>
        </w:rPr>
      </w:pPr>
      <w:r>
        <w:rPr>
          <w:rFonts w:hint="eastAsia" w:eastAsia="仿宋_GB2312"/>
          <w:color w:val="000000"/>
          <w:kern w:val="0"/>
          <w:sz w:val="32"/>
          <w:szCs w:val="32"/>
        </w:rPr>
        <w:t>5</w:t>
      </w:r>
      <w:r>
        <w:rPr>
          <w:rFonts w:eastAsia="仿宋_GB2312"/>
          <w:color w:val="000000"/>
          <w:kern w:val="0"/>
          <w:sz w:val="32"/>
          <w:szCs w:val="32"/>
        </w:rPr>
        <w:t>.</w:t>
      </w:r>
      <w:r>
        <w:rPr>
          <w:rFonts w:hint="eastAsia" w:eastAsia="仿宋_GB2312"/>
          <w:color w:val="000000"/>
          <w:kern w:val="0"/>
          <w:sz w:val="32"/>
          <w:szCs w:val="32"/>
        </w:rPr>
        <w:t>2</w:t>
      </w:r>
      <w:r>
        <w:rPr>
          <w:rFonts w:eastAsia="仿宋_GB2312"/>
          <w:color w:val="000000"/>
          <w:kern w:val="0"/>
          <w:sz w:val="32"/>
          <w:szCs w:val="32"/>
        </w:rPr>
        <w:t>对于申报产品与对比试剂</w:t>
      </w:r>
      <w:r>
        <w:rPr>
          <w:rFonts w:hint="eastAsia" w:eastAsia="仿宋_GB2312"/>
          <w:color w:val="000000"/>
          <w:kern w:val="0"/>
          <w:sz w:val="32"/>
          <w:szCs w:val="32"/>
        </w:rPr>
        <w:t>/</w:t>
      </w:r>
      <w:r>
        <w:rPr>
          <w:rFonts w:eastAsia="仿宋_GB2312"/>
          <w:color w:val="000000"/>
          <w:kern w:val="0"/>
          <w:sz w:val="32"/>
          <w:szCs w:val="32"/>
        </w:rPr>
        <w:t>方法的</w:t>
      </w:r>
      <w:r>
        <w:rPr>
          <w:rFonts w:hint="eastAsia" w:eastAsia="仿宋_GB2312"/>
          <w:color w:val="000000"/>
          <w:kern w:val="0"/>
          <w:sz w:val="32"/>
          <w:szCs w:val="32"/>
        </w:rPr>
        <w:t>比较研究</w:t>
      </w:r>
      <w:r>
        <w:rPr>
          <w:rFonts w:eastAsia="仿宋_GB2312"/>
          <w:color w:val="000000"/>
          <w:kern w:val="0"/>
          <w:sz w:val="32"/>
          <w:szCs w:val="32"/>
        </w:rPr>
        <w:t>，选择交叉四格表形式总结</w:t>
      </w:r>
      <w:r>
        <w:rPr>
          <w:rFonts w:hint="eastAsia" w:eastAsia="仿宋_GB2312"/>
          <w:color w:val="000000"/>
          <w:kern w:val="0"/>
          <w:sz w:val="32"/>
          <w:szCs w:val="32"/>
        </w:rPr>
        <w:t>二者</w:t>
      </w:r>
      <w:r>
        <w:rPr>
          <w:rFonts w:eastAsia="仿宋_GB2312"/>
          <w:color w:val="000000"/>
          <w:kern w:val="0"/>
          <w:sz w:val="32"/>
          <w:szCs w:val="32"/>
        </w:rPr>
        <w:t>的定性检测结果，并据此计算</w:t>
      </w:r>
      <w:r>
        <w:rPr>
          <w:rFonts w:hint="eastAsia" w:eastAsia="仿宋_GB2312"/>
          <w:color w:val="000000"/>
          <w:kern w:val="0"/>
          <w:sz w:val="32"/>
          <w:szCs w:val="32"/>
        </w:rPr>
        <w:t>申报产品</w:t>
      </w:r>
      <w:r>
        <w:rPr>
          <w:rFonts w:eastAsia="仿宋_GB2312"/>
          <w:color w:val="000000"/>
          <w:kern w:val="0"/>
          <w:sz w:val="32"/>
          <w:szCs w:val="32"/>
        </w:rPr>
        <w:t>的灵敏度</w:t>
      </w:r>
      <w:r>
        <w:rPr>
          <w:rFonts w:hint="eastAsia" w:eastAsia="仿宋_GB2312"/>
          <w:color w:val="000000"/>
          <w:kern w:val="0"/>
          <w:sz w:val="32"/>
          <w:szCs w:val="32"/>
        </w:rPr>
        <w:t>/</w:t>
      </w:r>
      <w:r>
        <w:rPr>
          <w:rFonts w:eastAsia="仿宋_GB2312"/>
          <w:color w:val="000000"/>
          <w:kern w:val="0"/>
          <w:sz w:val="32"/>
          <w:szCs w:val="32"/>
        </w:rPr>
        <w:t>特异度或阳性/阴性符合率及其95%置信区间。如涉及不同样本类型，应针对每种样本类型分别进行统计分析。</w:t>
      </w:r>
    </w:p>
    <w:p w14:paraId="6498B7F0">
      <w:pPr>
        <w:spacing w:line="560" w:lineRule="exact"/>
        <w:ind w:firstLine="640" w:firstLineChars="200"/>
        <w:rPr>
          <w:rFonts w:eastAsia="仿宋_GB2312"/>
          <w:color w:val="000000"/>
          <w:kern w:val="0"/>
          <w:sz w:val="32"/>
          <w:szCs w:val="32"/>
        </w:rPr>
      </w:pPr>
      <w:r>
        <w:rPr>
          <w:rFonts w:hint="eastAsia" w:eastAsia="仿宋_GB2312"/>
          <w:color w:val="000000"/>
          <w:kern w:val="0"/>
          <w:sz w:val="32"/>
          <w:szCs w:val="32"/>
        </w:rPr>
        <w:t>5</w:t>
      </w:r>
      <w:r>
        <w:rPr>
          <w:rFonts w:eastAsia="仿宋_GB2312"/>
          <w:color w:val="000000"/>
          <w:kern w:val="0"/>
          <w:sz w:val="32"/>
          <w:szCs w:val="32"/>
        </w:rPr>
        <w:t>.</w:t>
      </w:r>
      <w:r>
        <w:rPr>
          <w:rFonts w:hint="eastAsia" w:eastAsia="仿宋_GB2312"/>
          <w:color w:val="000000"/>
          <w:kern w:val="0"/>
          <w:sz w:val="32"/>
          <w:szCs w:val="32"/>
        </w:rPr>
        <w:t>3</w:t>
      </w:r>
      <w:r>
        <w:rPr>
          <w:rFonts w:eastAsia="仿宋_GB2312"/>
          <w:color w:val="000000"/>
          <w:kern w:val="0"/>
          <w:sz w:val="32"/>
          <w:szCs w:val="32"/>
        </w:rPr>
        <w:t xml:space="preserve"> 结果差异样本的</w:t>
      </w:r>
      <w:r>
        <w:rPr>
          <w:rFonts w:hint="eastAsia" w:eastAsia="仿宋_GB2312"/>
          <w:color w:val="000000"/>
          <w:kern w:val="0"/>
          <w:sz w:val="32"/>
          <w:szCs w:val="32"/>
        </w:rPr>
        <w:t>处理</w:t>
      </w:r>
    </w:p>
    <w:p w14:paraId="6E0E3C3C">
      <w:pPr>
        <w:spacing w:line="560" w:lineRule="exact"/>
        <w:ind w:firstLine="640" w:firstLineChars="200"/>
        <w:rPr>
          <w:rFonts w:eastAsia="仿宋_GB2312"/>
          <w:color w:val="000000"/>
          <w:kern w:val="0"/>
          <w:sz w:val="32"/>
          <w:szCs w:val="32"/>
        </w:rPr>
      </w:pPr>
      <w:r>
        <w:rPr>
          <w:rFonts w:eastAsia="仿宋_GB2312"/>
          <w:color w:val="000000"/>
          <w:kern w:val="0"/>
          <w:sz w:val="32"/>
          <w:szCs w:val="32"/>
        </w:rPr>
        <w:t>对于检测结果不一致的样本，应采用合理方法进行复核，同时结合患者的临床病情</w:t>
      </w:r>
      <w:r>
        <w:rPr>
          <w:rFonts w:hint="eastAsia" w:eastAsia="仿宋_GB2312"/>
          <w:color w:val="000000"/>
          <w:kern w:val="0"/>
          <w:sz w:val="32"/>
          <w:szCs w:val="32"/>
        </w:rPr>
        <w:t>等</w:t>
      </w:r>
      <w:r>
        <w:rPr>
          <w:rFonts w:eastAsia="仿宋_GB2312"/>
          <w:color w:val="000000"/>
          <w:kern w:val="0"/>
          <w:sz w:val="32"/>
          <w:szCs w:val="32"/>
        </w:rPr>
        <w:t>对差异原因及可能结果进行分析。</w:t>
      </w:r>
    </w:p>
    <w:p w14:paraId="4AE99C51">
      <w:pPr>
        <w:tabs>
          <w:tab w:val="left" w:pos="1259"/>
        </w:tabs>
        <w:spacing w:line="520" w:lineRule="exact"/>
        <w:ind w:firstLine="640" w:firstLineChars="200"/>
        <w:rPr>
          <w:rFonts w:eastAsia="仿宋_GB2312"/>
          <w:color w:val="000000"/>
          <w:kern w:val="0"/>
          <w:sz w:val="32"/>
          <w:szCs w:val="32"/>
        </w:rPr>
      </w:pPr>
      <w:r>
        <w:rPr>
          <w:rFonts w:hint="eastAsia" w:eastAsia="仿宋_GB2312"/>
          <w:color w:val="000000"/>
          <w:kern w:val="0"/>
          <w:sz w:val="32"/>
          <w:szCs w:val="32"/>
        </w:rPr>
        <w:t>6</w:t>
      </w:r>
      <w:r>
        <w:rPr>
          <w:rFonts w:eastAsia="仿宋_GB2312"/>
          <w:color w:val="000000"/>
          <w:kern w:val="0"/>
          <w:sz w:val="32"/>
          <w:szCs w:val="32"/>
        </w:rPr>
        <w:t>. 临床资料的形式要求</w:t>
      </w:r>
    </w:p>
    <w:p w14:paraId="4783CBF0">
      <w:pPr>
        <w:spacing w:line="560" w:lineRule="exact"/>
        <w:ind w:firstLine="640" w:firstLineChars="200"/>
        <w:rPr>
          <w:rFonts w:eastAsia="仿宋_GB2312"/>
          <w:color w:val="000000"/>
          <w:kern w:val="0"/>
          <w:sz w:val="32"/>
          <w:szCs w:val="32"/>
        </w:rPr>
      </w:pPr>
      <w:r>
        <w:rPr>
          <w:rFonts w:eastAsia="仿宋_GB2312"/>
          <w:color w:val="000000"/>
          <w:kern w:val="0"/>
          <w:sz w:val="32"/>
          <w:szCs w:val="32"/>
        </w:rPr>
        <w:t>申请人应按照《体外诊断试剂注册与备案管理办法》、《关于公布体外诊断试剂注册申报资料要求和批准证明文件格式的公告》等法规文件要求提交各机构伦理审查意见、临床试验方案、临床试验小结、临床试验报告以及临床试验数据库。</w:t>
      </w:r>
    </w:p>
    <w:p w14:paraId="3552E301">
      <w:pPr>
        <w:spacing w:line="560" w:lineRule="exact"/>
        <w:ind w:firstLine="640" w:firstLineChars="200"/>
        <w:rPr>
          <w:rFonts w:ascii="楷体_GB2312" w:eastAsia="楷体_GB2312"/>
          <w:color w:val="000000"/>
          <w:kern w:val="0"/>
          <w:sz w:val="32"/>
          <w:szCs w:val="32"/>
        </w:rPr>
      </w:pPr>
      <w:r>
        <w:rPr>
          <w:rFonts w:hint="eastAsia" w:ascii="楷体_GB2312" w:eastAsia="楷体_GB2312"/>
          <w:color w:val="000000"/>
          <w:kern w:val="0"/>
          <w:sz w:val="32"/>
          <w:szCs w:val="32"/>
        </w:rPr>
        <w:t>（五）产品说明书</w:t>
      </w:r>
    </w:p>
    <w:p w14:paraId="321B7C4B">
      <w:pPr>
        <w:spacing w:line="560" w:lineRule="exact"/>
        <w:ind w:firstLine="640" w:firstLineChars="200"/>
        <w:rPr>
          <w:rFonts w:eastAsia="仿宋_GB2312"/>
          <w:color w:val="000000"/>
          <w:sz w:val="32"/>
          <w:szCs w:val="32"/>
        </w:rPr>
      </w:pPr>
      <w:r>
        <w:rPr>
          <w:rFonts w:eastAsia="仿宋_GB2312"/>
          <w:color w:val="000000"/>
          <w:sz w:val="32"/>
          <w:szCs w:val="32"/>
        </w:rPr>
        <w:t>产品说明书的格式应符合《体外诊断试剂说明书编写指导原则》</w:t>
      </w:r>
      <w:r>
        <w:rPr>
          <w:rFonts w:hint="eastAsia" w:eastAsia="仿宋_GB2312"/>
          <w:color w:val="000000"/>
          <w:sz w:val="32"/>
          <w:szCs w:val="32"/>
        </w:rPr>
        <w:t>最新修订版本</w:t>
      </w:r>
      <w:r>
        <w:rPr>
          <w:rFonts w:eastAsia="仿宋_GB2312"/>
          <w:color w:val="000000"/>
          <w:sz w:val="32"/>
          <w:szCs w:val="32"/>
        </w:rPr>
        <w:t>的要求，境外试剂的中文说明书除格式要求外，其内容应尽量保持与原文说明书一致，翻译力求准确且符合中文表达习惯。产品说明书的所有内容均应与申请人提交的其他注册申报资料保持一致，如某些内容引自参考文献，则应采用规范格式对此内容进行标注，并单独列明文献的相关信息。</w:t>
      </w:r>
    </w:p>
    <w:p w14:paraId="0BF0965C">
      <w:pPr>
        <w:spacing w:line="560" w:lineRule="exact"/>
        <w:ind w:firstLine="640" w:firstLineChars="200"/>
        <w:rPr>
          <w:rFonts w:eastAsia="仿宋_GB2312"/>
          <w:color w:val="000000"/>
          <w:sz w:val="32"/>
          <w:szCs w:val="32"/>
        </w:rPr>
      </w:pPr>
      <w:r>
        <w:rPr>
          <w:rFonts w:eastAsia="仿宋_GB2312"/>
          <w:color w:val="000000"/>
          <w:sz w:val="32"/>
          <w:szCs w:val="32"/>
        </w:rPr>
        <w:t>下面对结核分枝杆菌复合群耐药基因突变检测试剂说明书的重点内容进行详细说明，以指导注册申报人员合理编制说明书。</w:t>
      </w:r>
    </w:p>
    <w:p w14:paraId="1ABCEC55">
      <w:pPr>
        <w:spacing w:line="560" w:lineRule="exact"/>
        <w:ind w:firstLine="640" w:firstLineChars="200"/>
        <w:rPr>
          <w:rFonts w:eastAsia="仿宋_GB2312"/>
          <w:color w:val="000000"/>
          <w:sz w:val="32"/>
          <w:szCs w:val="32"/>
        </w:rPr>
      </w:pPr>
      <w:r>
        <w:rPr>
          <w:rFonts w:eastAsia="仿宋_GB2312"/>
          <w:color w:val="000000"/>
          <w:sz w:val="32"/>
          <w:szCs w:val="32"/>
        </w:rPr>
        <w:t>1.【预期用途】</w:t>
      </w:r>
    </w:p>
    <w:p w14:paraId="49E72FC8">
      <w:pPr>
        <w:spacing w:line="560" w:lineRule="exact"/>
        <w:ind w:firstLine="640" w:firstLineChars="200"/>
        <w:rPr>
          <w:rFonts w:eastAsia="仿宋_GB2312"/>
          <w:color w:val="000000"/>
          <w:sz w:val="32"/>
          <w:szCs w:val="32"/>
        </w:rPr>
      </w:pPr>
      <w:r>
        <w:rPr>
          <w:rFonts w:eastAsia="仿宋_GB2312"/>
          <w:color w:val="000000"/>
          <w:sz w:val="32"/>
          <w:szCs w:val="32"/>
        </w:rPr>
        <w:t>根据【检验结果的解释】的结果报告形式，【预期用途】第一段表述</w:t>
      </w:r>
      <w:r>
        <w:rPr>
          <w:rFonts w:hint="eastAsia" w:eastAsia="仿宋_GB2312"/>
          <w:color w:val="000000"/>
          <w:sz w:val="32"/>
          <w:szCs w:val="32"/>
        </w:rPr>
        <w:t>可参考前述【范围】中相关内容。</w:t>
      </w:r>
    </w:p>
    <w:p w14:paraId="46192ECF">
      <w:pPr>
        <w:spacing w:line="560" w:lineRule="exact"/>
        <w:ind w:firstLine="640" w:firstLineChars="200"/>
        <w:rPr>
          <w:rFonts w:eastAsia="仿宋_GB2312"/>
          <w:color w:val="000000"/>
          <w:sz w:val="32"/>
          <w:szCs w:val="32"/>
        </w:rPr>
      </w:pPr>
      <w:r>
        <w:rPr>
          <w:rFonts w:eastAsia="仿宋_GB2312"/>
          <w:color w:val="000000"/>
          <w:sz w:val="32"/>
          <w:szCs w:val="32"/>
        </w:rPr>
        <w:t>介绍与耐药相关的</w:t>
      </w:r>
      <w:r>
        <w:rPr>
          <w:rFonts w:hint="eastAsia" w:eastAsia="仿宋_GB2312"/>
          <w:color w:val="000000"/>
          <w:sz w:val="32"/>
          <w:szCs w:val="32"/>
        </w:rPr>
        <w:t>耐药基因及</w:t>
      </w:r>
      <w:r>
        <w:rPr>
          <w:rFonts w:eastAsia="仿宋_GB2312"/>
          <w:color w:val="000000"/>
          <w:sz w:val="32"/>
          <w:szCs w:val="32"/>
        </w:rPr>
        <w:t>突变位点；明确申报产品可检测的突变</w:t>
      </w:r>
      <w:r>
        <w:rPr>
          <w:rFonts w:hint="eastAsia" w:eastAsia="仿宋_GB2312"/>
          <w:color w:val="000000"/>
          <w:sz w:val="32"/>
          <w:szCs w:val="32"/>
        </w:rPr>
        <w:t>位点</w:t>
      </w:r>
      <w:r>
        <w:rPr>
          <w:rFonts w:eastAsia="仿宋_GB2312"/>
          <w:color w:val="000000"/>
          <w:sz w:val="32"/>
          <w:szCs w:val="32"/>
        </w:rPr>
        <w:t>或耐药核酸区域导致的表型耐药占临床所有表型耐药的比例。</w:t>
      </w:r>
    </w:p>
    <w:p w14:paraId="510DD912">
      <w:pPr>
        <w:spacing w:line="560" w:lineRule="exact"/>
        <w:ind w:firstLine="640" w:firstLineChars="200"/>
        <w:rPr>
          <w:rFonts w:eastAsia="仿宋_GB2312"/>
          <w:color w:val="000000"/>
          <w:kern w:val="0"/>
          <w:sz w:val="32"/>
          <w:szCs w:val="32"/>
        </w:rPr>
      </w:pPr>
      <w:r>
        <w:rPr>
          <w:rFonts w:hint="eastAsia" w:eastAsia="仿宋_GB2312"/>
          <w:color w:val="000000"/>
          <w:kern w:val="0"/>
          <w:sz w:val="32"/>
          <w:szCs w:val="32"/>
        </w:rPr>
        <w:t>2</w:t>
      </w:r>
      <w:r>
        <w:rPr>
          <w:rFonts w:eastAsia="仿宋_GB2312"/>
          <w:color w:val="000000"/>
          <w:kern w:val="0"/>
          <w:sz w:val="32"/>
          <w:szCs w:val="32"/>
        </w:rPr>
        <w:t>.【</w:t>
      </w:r>
      <w:r>
        <w:rPr>
          <w:rFonts w:hint="eastAsia" w:eastAsia="仿宋_GB2312"/>
          <w:color w:val="000000"/>
          <w:kern w:val="0"/>
          <w:sz w:val="32"/>
          <w:szCs w:val="32"/>
        </w:rPr>
        <w:t>检验原理</w:t>
      </w:r>
      <w:r>
        <w:rPr>
          <w:rFonts w:eastAsia="仿宋_GB2312"/>
          <w:color w:val="000000"/>
          <w:kern w:val="0"/>
          <w:sz w:val="32"/>
          <w:szCs w:val="32"/>
        </w:rPr>
        <w:t>】</w:t>
      </w:r>
    </w:p>
    <w:p w14:paraId="147DA671">
      <w:pPr>
        <w:spacing w:line="560" w:lineRule="exact"/>
        <w:ind w:firstLine="640" w:firstLineChars="200"/>
        <w:rPr>
          <w:rFonts w:eastAsia="仿宋_GB2312"/>
          <w:color w:val="000000"/>
          <w:sz w:val="32"/>
          <w:szCs w:val="32"/>
        </w:rPr>
      </w:pPr>
      <w:r>
        <w:rPr>
          <w:rFonts w:eastAsia="仿宋_GB2312"/>
          <w:color w:val="000000"/>
          <w:sz w:val="32"/>
          <w:szCs w:val="32"/>
        </w:rPr>
        <w:t>2.1对试剂盒检测靶标以及突变类型（如适用）进行详细描述（基因名称和基因位置、靶序列长度、突变类型（如适用）及相关特征等），对试剂盒所用探针、引物、突变或耐药的判定终点等进行详细的介绍；对不同样品反应管组合、对照设置及荧光信号检测原理等进行介绍。</w:t>
      </w:r>
    </w:p>
    <w:p w14:paraId="4348C961">
      <w:pPr>
        <w:spacing w:line="560" w:lineRule="exact"/>
        <w:ind w:firstLine="640" w:firstLineChars="200"/>
        <w:rPr>
          <w:rFonts w:eastAsia="仿宋_GB2312"/>
          <w:color w:val="000000"/>
          <w:sz w:val="32"/>
          <w:szCs w:val="32"/>
        </w:rPr>
      </w:pPr>
      <w:r>
        <w:rPr>
          <w:rFonts w:eastAsia="仿宋_GB2312"/>
          <w:color w:val="000000"/>
          <w:sz w:val="32"/>
          <w:szCs w:val="32"/>
        </w:rPr>
        <w:t>2.2试剂盒技术原理的详细介绍，建议结合适当图示进行说明。如反应体系中添加了相关的防污染组分（如UNG酶），也应对其作用机理进行适当介绍。</w:t>
      </w:r>
    </w:p>
    <w:p w14:paraId="4DB4592D">
      <w:pPr>
        <w:spacing w:line="560" w:lineRule="exact"/>
        <w:ind w:firstLine="640" w:firstLineChars="200"/>
        <w:rPr>
          <w:rFonts w:eastAsia="仿宋_GB2312"/>
          <w:color w:val="000000"/>
          <w:sz w:val="32"/>
          <w:szCs w:val="32"/>
        </w:rPr>
      </w:pPr>
      <w:r>
        <w:rPr>
          <w:rFonts w:eastAsia="仿宋_GB2312"/>
          <w:color w:val="000000"/>
          <w:sz w:val="32"/>
          <w:szCs w:val="32"/>
        </w:rPr>
        <w:t>3.【主要组成成分】</w:t>
      </w:r>
    </w:p>
    <w:p w14:paraId="34AFDC74">
      <w:pPr>
        <w:spacing w:line="560" w:lineRule="exact"/>
        <w:ind w:firstLine="640" w:firstLineChars="200"/>
        <w:rPr>
          <w:rFonts w:eastAsia="仿宋_GB2312"/>
          <w:color w:val="000000"/>
          <w:sz w:val="32"/>
          <w:szCs w:val="32"/>
        </w:rPr>
      </w:pPr>
      <w:r>
        <w:rPr>
          <w:rFonts w:eastAsia="仿宋_GB2312"/>
          <w:color w:val="000000"/>
          <w:sz w:val="32"/>
          <w:szCs w:val="32"/>
        </w:rPr>
        <w:t>3.1说明试剂盒包含组分的名称、数量、比例或浓度等信息，说明不同批号试剂盒中各组分是否可以互换。</w:t>
      </w:r>
    </w:p>
    <w:p w14:paraId="6C13898A">
      <w:pPr>
        <w:spacing w:line="560" w:lineRule="exact"/>
        <w:ind w:firstLine="640" w:firstLineChars="200"/>
        <w:rPr>
          <w:rFonts w:eastAsia="仿宋_GB2312"/>
          <w:color w:val="000000"/>
          <w:sz w:val="32"/>
          <w:szCs w:val="32"/>
        </w:rPr>
      </w:pPr>
      <w:r>
        <w:rPr>
          <w:rFonts w:eastAsia="仿宋_GB2312"/>
          <w:color w:val="000000"/>
          <w:sz w:val="32"/>
          <w:szCs w:val="32"/>
        </w:rPr>
        <w:t>3.2试剂盒中不包含但对该项检测必须的组份，企业应列出相关试剂/耗材的名称、货号及其他相关信息。</w:t>
      </w:r>
    </w:p>
    <w:p w14:paraId="6018DF14">
      <w:pPr>
        <w:spacing w:line="560" w:lineRule="exact"/>
        <w:ind w:firstLine="640" w:firstLineChars="200"/>
        <w:rPr>
          <w:rFonts w:eastAsia="仿宋_GB2312"/>
          <w:color w:val="000000"/>
          <w:sz w:val="32"/>
          <w:szCs w:val="32"/>
        </w:rPr>
      </w:pPr>
      <w:r>
        <w:rPr>
          <w:rFonts w:eastAsia="仿宋_GB2312"/>
          <w:color w:val="000000"/>
          <w:sz w:val="32"/>
          <w:szCs w:val="32"/>
        </w:rPr>
        <w:t>3.3如果试剂盒中不包含用于核酸提取纯化的试剂组份，则应在此注明经过验证后配合使用的商品化核酸提取纯化试剂盒的生产企业、产品名称以及产品货号和医疗器械备案号等详细信息。</w:t>
      </w:r>
    </w:p>
    <w:p w14:paraId="34EE4B8C">
      <w:pPr>
        <w:spacing w:line="560" w:lineRule="exact"/>
        <w:ind w:firstLine="640" w:firstLineChars="200"/>
        <w:rPr>
          <w:rFonts w:eastAsia="仿宋_GB2312"/>
          <w:color w:val="000000"/>
          <w:sz w:val="32"/>
          <w:szCs w:val="32"/>
        </w:rPr>
      </w:pPr>
      <w:r>
        <w:rPr>
          <w:rFonts w:eastAsia="仿宋_GB2312"/>
          <w:color w:val="000000"/>
          <w:sz w:val="32"/>
          <w:szCs w:val="32"/>
        </w:rPr>
        <w:t>4.【储存条件及有效期】</w:t>
      </w:r>
    </w:p>
    <w:p w14:paraId="01673A5A">
      <w:pPr>
        <w:spacing w:line="560" w:lineRule="exact"/>
        <w:ind w:firstLine="640" w:firstLineChars="200"/>
        <w:rPr>
          <w:rFonts w:eastAsia="仿宋_GB2312"/>
          <w:color w:val="000000"/>
          <w:sz w:val="32"/>
          <w:szCs w:val="32"/>
        </w:rPr>
      </w:pPr>
      <w:r>
        <w:rPr>
          <w:rFonts w:eastAsia="仿宋_GB2312"/>
          <w:color w:val="000000"/>
          <w:sz w:val="32"/>
          <w:szCs w:val="32"/>
        </w:rPr>
        <w:t>说明试剂盒的效期稳定性、开封稳定性、复溶稳定性、运输稳定性和冻融次数要求等，应明确具体的储存条件及有效期。</w:t>
      </w:r>
    </w:p>
    <w:p w14:paraId="230BD8DE">
      <w:pPr>
        <w:spacing w:line="560" w:lineRule="exact"/>
        <w:ind w:firstLine="640" w:firstLineChars="200"/>
        <w:rPr>
          <w:rFonts w:eastAsia="仿宋_GB2312"/>
          <w:color w:val="000000"/>
          <w:sz w:val="32"/>
          <w:szCs w:val="32"/>
        </w:rPr>
      </w:pPr>
      <w:r>
        <w:rPr>
          <w:rFonts w:eastAsia="仿宋_GB2312"/>
          <w:color w:val="000000"/>
          <w:sz w:val="32"/>
          <w:szCs w:val="32"/>
        </w:rPr>
        <w:t>5.【样本要求】重点明确以下内容：</w:t>
      </w:r>
    </w:p>
    <w:p w14:paraId="5D0E2155">
      <w:pPr>
        <w:spacing w:line="560" w:lineRule="exact"/>
        <w:ind w:firstLine="640" w:firstLineChars="200"/>
        <w:rPr>
          <w:rFonts w:eastAsia="仿宋_GB2312"/>
          <w:color w:val="000000"/>
          <w:sz w:val="32"/>
          <w:szCs w:val="32"/>
        </w:rPr>
      </w:pPr>
      <w:r>
        <w:rPr>
          <w:rFonts w:eastAsia="仿宋_GB2312"/>
          <w:color w:val="000000"/>
          <w:sz w:val="32"/>
          <w:szCs w:val="32"/>
        </w:rPr>
        <w:t>5.1临床样本的收集：建议参照《临床技术操作规范（结核病分册）》（中华医学会编著）或者《结核病诊断实验室检验规程》（中国防痨协会基础专业委员会编著）现行有效版本推荐的采样要求或国外的同类文件，并详细描述采样步骤和注意事项。</w:t>
      </w:r>
    </w:p>
    <w:p w14:paraId="6CCCC663">
      <w:pPr>
        <w:spacing w:line="560" w:lineRule="exact"/>
        <w:ind w:firstLine="640" w:firstLineChars="200"/>
        <w:rPr>
          <w:rFonts w:eastAsia="仿宋_GB2312"/>
          <w:color w:val="000000"/>
          <w:sz w:val="32"/>
          <w:szCs w:val="32"/>
        </w:rPr>
      </w:pPr>
      <w:r>
        <w:rPr>
          <w:rFonts w:eastAsia="仿宋_GB2312"/>
          <w:color w:val="000000"/>
          <w:sz w:val="32"/>
          <w:szCs w:val="32"/>
        </w:rPr>
        <w:t>5.2临床样本的前处理：建议参考《临床技术操作规范（结核病分册）》（中华医学会编著）或者《结核病诊断实验室检验规程》（中国防痨协会基础专业委员会编著）现行有效版本推荐的前处理方法或国外的同类文件，详细描述具体的前处理方法。</w:t>
      </w:r>
    </w:p>
    <w:p w14:paraId="0543833E">
      <w:pPr>
        <w:spacing w:line="560" w:lineRule="exact"/>
        <w:ind w:firstLine="640" w:firstLineChars="200"/>
        <w:rPr>
          <w:rFonts w:eastAsia="仿宋_GB2312"/>
          <w:color w:val="000000"/>
          <w:sz w:val="32"/>
          <w:szCs w:val="32"/>
        </w:rPr>
      </w:pPr>
      <w:r>
        <w:rPr>
          <w:rFonts w:eastAsia="仿宋_GB2312"/>
          <w:color w:val="000000"/>
          <w:sz w:val="32"/>
          <w:szCs w:val="32"/>
        </w:rPr>
        <w:t>5.3培养物样本：详细描述培养方法，包括：从患者采集的临床样本类型、样本采集后处理、所用培养基、相关药物和具体操作步骤等、申报产品从培养物中取样进行检测的时间点、取样方法和对培养物样本的处理等。</w:t>
      </w:r>
    </w:p>
    <w:p w14:paraId="3D168A57">
      <w:pPr>
        <w:spacing w:line="560" w:lineRule="exact"/>
        <w:ind w:firstLine="640" w:firstLineChars="200"/>
        <w:rPr>
          <w:rFonts w:eastAsia="仿宋_GB2312"/>
          <w:color w:val="000000"/>
          <w:sz w:val="32"/>
          <w:szCs w:val="32"/>
        </w:rPr>
      </w:pPr>
      <w:r>
        <w:rPr>
          <w:rFonts w:eastAsia="仿宋_GB2312"/>
          <w:color w:val="000000"/>
          <w:sz w:val="32"/>
          <w:szCs w:val="32"/>
        </w:rPr>
        <w:t>5.4样本的其他处理和保存：明确核酸提取纯化前的其他处理（如离心和洗涤等）、保存条件及期限（短期和长期）。冷藏/冷冻样本检测前是否需要恢复至室温，冻融次数的限制等。</w:t>
      </w:r>
    </w:p>
    <w:p w14:paraId="244AF507">
      <w:pPr>
        <w:spacing w:line="560" w:lineRule="exact"/>
        <w:ind w:firstLine="640" w:firstLineChars="200"/>
        <w:rPr>
          <w:rFonts w:eastAsia="仿宋_GB2312"/>
          <w:color w:val="000000"/>
          <w:sz w:val="32"/>
          <w:szCs w:val="32"/>
        </w:rPr>
      </w:pPr>
      <w:r>
        <w:rPr>
          <w:rFonts w:eastAsia="仿宋_GB2312"/>
          <w:color w:val="000000"/>
          <w:sz w:val="32"/>
          <w:szCs w:val="32"/>
        </w:rPr>
        <w:t>5.5</w:t>
      </w:r>
      <w:r>
        <w:rPr>
          <w:rFonts w:hint="eastAsia" w:eastAsia="仿宋_GB2312"/>
          <w:color w:val="000000"/>
          <w:sz w:val="32"/>
          <w:szCs w:val="32"/>
        </w:rPr>
        <w:t>明确结核分枝杆菌复合群阳性的确认方法。</w:t>
      </w:r>
    </w:p>
    <w:p w14:paraId="1B693197">
      <w:pPr>
        <w:spacing w:line="560" w:lineRule="exact"/>
        <w:ind w:firstLine="640" w:firstLineChars="200"/>
        <w:rPr>
          <w:rFonts w:eastAsia="仿宋_GB2312"/>
          <w:color w:val="000000"/>
          <w:sz w:val="32"/>
          <w:szCs w:val="32"/>
        </w:rPr>
      </w:pPr>
      <w:r>
        <w:rPr>
          <w:rFonts w:eastAsia="仿宋_GB2312"/>
          <w:color w:val="000000"/>
          <w:sz w:val="32"/>
          <w:szCs w:val="32"/>
        </w:rPr>
        <w:t>6.【适用仪器】</w:t>
      </w:r>
      <w:r>
        <w:rPr>
          <w:rFonts w:hint="eastAsia" w:eastAsia="仿宋_GB2312"/>
          <w:color w:val="000000"/>
          <w:sz w:val="32"/>
          <w:szCs w:val="32"/>
        </w:rPr>
        <w:t>说明适用的仪器及其型号，并提供与仪器有关的信息以便用户能够正确选择使用。</w:t>
      </w:r>
    </w:p>
    <w:p w14:paraId="39AD4C50">
      <w:pPr>
        <w:spacing w:line="560" w:lineRule="exact"/>
        <w:ind w:firstLine="640" w:firstLineChars="200"/>
        <w:rPr>
          <w:rFonts w:eastAsia="仿宋_GB2312"/>
          <w:color w:val="000000"/>
          <w:sz w:val="32"/>
          <w:szCs w:val="32"/>
        </w:rPr>
      </w:pPr>
      <w:r>
        <w:rPr>
          <w:rFonts w:eastAsia="仿宋_GB2312"/>
          <w:color w:val="000000"/>
          <w:sz w:val="32"/>
          <w:szCs w:val="32"/>
        </w:rPr>
        <w:t>7.【检验方法】详细说明实验操作的各个步骤，包括：</w:t>
      </w:r>
    </w:p>
    <w:p w14:paraId="4AE42A88">
      <w:pPr>
        <w:spacing w:line="560" w:lineRule="exact"/>
        <w:ind w:firstLine="640" w:firstLineChars="200"/>
        <w:rPr>
          <w:rFonts w:eastAsia="仿宋_GB2312"/>
          <w:color w:val="000000"/>
          <w:sz w:val="32"/>
          <w:szCs w:val="32"/>
        </w:rPr>
      </w:pPr>
      <w:r>
        <w:rPr>
          <w:rFonts w:eastAsia="仿宋_GB2312"/>
          <w:color w:val="000000"/>
          <w:sz w:val="32"/>
          <w:szCs w:val="32"/>
        </w:rPr>
        <w:t>7.1实验条件：实验室分区、实验环境的温度、湿度和空调气流方向控制等注意事项。</w:t>
      </w:r>
    </w:p>
    <w:p w14:paraId="0F0B3B90">
      <w:pPr>
        <w:spacing w:line="560" w:lineRule="exact"/>
        <w:ind w:firstLine="640" w:firstLineChars="200"/>
        <w:rPr>
          <w:rFonts w:eastAsia="仿宋_GB2312"/>
          <w:color w:val="000000"/>
          <w:sz w:val="32"/>
          <w:szCs w:val="32"/>
        </w:rPr>
      </w:pPr>
      <w:r>
        <w:rPr>
          <w:rFonts w:eastAsia="仿宋_GB2312"/>
          <w:color w:val="000000"/>
          <w:sz w:val="32"/>
          <w:szCs w:val="32"/>
        </w:rPr>
        <w:t>7.2试剂配制方法和注意事项。</w:t>
      </w:r>
    </w:p>
    <w:p w14:paraId="11A66528">
      <w:pPr>
        <w:spacing w:line="560" w:lineRule="exact"/>
        <w:ind w:firstLine="640" w:firstLineChars="200"/>
        <w:rPr>
          <w:rFonts w:eastAsia="仿宋_GB2312"/>
          <w:color w:val="000000"/>
          <w:sz w:val="32"/>
          <w:szCs w:val="32"/>
        </w:rPr>
      </w:pPr>
      <w:r>
        <w:rPr>
          <w:rFonts w:eastAsia="仿宋_GB2312"/>
          <w:color w:val="000000"/>
          <w:sz w:val="32"/>
          <w:szCs w:val="32"/>
        </w:rPr>
        <w:t>7.3详述</w:t>
      </w:r>
      <w:r>
        <w:rPr>
          <w:rFonts w:hint="eastAsia" w:eastAsia="仿宋_GB2312"/>
          <w:color w:val="000000"/>
          <w:sz w:val="32"/>
          <w:szCs w:val="32"/>
        </w:rPr>
        <w:t>样本前处理方法，详述</w:t>
      </w:r>
      <w:r>
        <w:rPr>
          <w:rFonts w:eastAsia="仿宋_GB2312"/>
          <w:color w:val="000000"/>
          <w:sz w:val="32"/>
          <w:szCs w:val="32"/>
        </w:rPr>
        <w:t>待测样本及相关对照</w:t>
      </w:r>
      <w:r>
        <w:rPr>
          <w:rFonts w:hint="eastAsia" w:eastAsia="仿宋_GB2312"/>
          <w:color w:val="000000"/>
          <w:sz w:val="32"/>
          <w:szCs w:val="32"/>
        </w:rPr>
        <w:t>品的</w:t>
      </w:r>
      <w:r>
        <w:rPr>
          <w:rFonts w:eastAsia="仿宋_GB2312"/>
          <w:color w:val="000000"/>
          <w:sz w:val="32"/>
          <w:szCs w:val="32"/>
        </w:rPr>
        <w:t>核酸提取纯化的条件、步骤及注意事项（如适用）。</w:t>
      </w:r>
    </w:p>
    <w:p w14:paraId="406B1681">
      <w:pPr>
        <w:spacing w:line="560" w:lineRule="exact"/>
        <w:ind w:firstLine="640" w:firstLineChars="200"/>
        <w:rPr>
          <w:rFonts w:eastAsia="仿宋_GB2312"/>
          <w:color w:val="000000"/>
          <w:sz w:val="32"/>
          <w:szCs w:val="32"/>
        </w:rPr>
      </w:pPr>
      <w:r>
        <w:rPr>
          <w:rFonts w:eastAsia="仿宋_GB2312"/>
          <w:color w:val="000000"/>
          <w:sz w:val="32"/>
          <w:szCs w:val="32"/>
        </w:rPr>
        <w:t>7.4扩增反应前准备：加样体积、顺序等。</w:t>
      </w:r>
    </w:p>
    <w:p w14:paraId="16B933B5">
      <w:pPr>
        <w:spacing w:line="560" w:lineRule="exact"/>
        <w:ind w:firstLine="640" w:firstLineChars="200"/>
        <w:rPr>
          <w:rFonts w:eastAsia="仿宋_GB2312"/>
          <w:color w:val="000000"/>
          <w:sz w:val="32"/>
          <w:szCs w:val="32"/>
        </w:rPr>
      </w:pPr>
      <w:r>
        <w:rPr>
          <w:rFonts w:eastAsia="仿宋_GB2312"/>
          <w:color w:val="000000"/>
          <w:sz w:val="32"/>
          <w:szCs w:val="32"/>
        </w:rPr>
        <w:t>7.5 PCR各阶段的温度、时间设置、循环数设置或相应的自动化检测程序及相关注意事项。</w:t>
      </w:r>
    </w:p>
    <w:p w14:paraId="016A57CC">
      <w:pPr>
        <w:spacing w:line="560" w:lineRule="exact"/>
        <w:ind w:firstLine="640" w:firstLineChars="200"/>
        <w:rPr>
          <w:rFonts w:eastAsia="仿宋_GB2312"/>
          <w:color w:val="000000"/>
          <w:sz w:val="32"/>
          <w:szCs w:val="32"/>
        </w:rPr>
      </w:pPr>
      <w:r>
        <w:rPr>
          <w:rFonts w:eastAsia="仿宋_GB2312"/>
          <w:color w:val="000000"/>
          <w:sz w:val="32"/>
          <w:szCs w:val="32"/>
        </w:rPr>
        <w:t>7.6仪器设置（如适用）：特殊参数、探针的荧光素标记情况、对待测突变及</w:t>
      </w:r>
      <w:r>
        <w:rPr>
          <w:rFonts w:hint="eastAsia" w:eastAsia="仿宋_GB2312"/>
          <w:color w:val="000000"/>
          <w:sz w:val="32"/>
          <w:szCs w:val="32"/>
        </w:rPr>
        <w:t>内对照（</w:t>
      </w:r>
      <w:r>
        <w:rPr>
          <w:rFonts w:eastAsia="仿宋_GB2312"/>
          <w:color w:val="000000"/>
          <w:sz w:val="32"/>
          <w:szCs w:val="32"/>
        </w:rPr>
        <w:t>内标）和其他对照的荧光通道选择等。</w:t>
      </w:r>
    </w:p>
    <w:p w14:paraId="4C921AC1">
      <w:pPr>
        <w:spacing w:line="560" w:lineRule="exact"/>
        <w:ind w:firstLine="640" w:firstLineChars="200"/>
        <w:rPr>
          <w:rFonts w:eastAsia="仿宋_GB2312"/>
          <w:color w:val="000000"/>
          <w:sz w:val="32"/>
          <w:szCs w:val="32"/>
        </w:rPr>
      </w:pPr>
      <w:r>
        <w:rPr>
          <w:rFonts w:eastAsia="仿宋_GB2312"/>
          <w:color w:val="000000"/>
          <w:sz w:val="32"/>
          <w:szCs w:val="32"/>
        </w:rPr>
        <w:t>8.【检验结果的解释】</w:t>
      </w:r>
    </w:p>
    <w:p w14:paraId="57566F7D">
      <w:pPr>
        <w:spacing w:line="560" w:lineRule="exact"/>
        <w:ind w:firstLine="640" w:firstLineChars="200"/>
        <w:rPr>
          <w:rFonts w:eastAsia="仿宋_GB2312"/>
          <w:color w:val="000000"/>
          <w:sz w:val="32"/>
          <w:szCs w:val="32"/>
        </w:rPr>
      </w:pPr>
      <w:r>
        <w:rPr>
          <w:rFonts w:eastAsia="仿宋_GB2312"/>
          <w:color w:val="000000"/>
          <w:sz w:val="32"/>
          <w:szCs w:val="32"/>
        </w:rPr>
        <w:t>结合阳性对照、阴性对照、内对照、核酸提取纯化对照（如适用）、样本管检测结果以及已验证的突变类型与耐药之间的关系，以列表的形式详述所有可能出现的结果及相应的解释。如存在检测灰区（如：耐药不确定等），应详述对于灰区结果的处理方式。</w:t>
      </w:r>
    </w:p>
    <w:p w14:paraId="31D62255">
      <w:pPr>
        <w:spacing w:line="560" w:lineRule="exact"/>
        <w:ind w:firstLine="640" w:firstLineChars="200"/>
        <w:rPr>
          <w:rFonts w:eastAsia="仿宋_GB2312"/>
          <w:color w:val="000000"/>
          <w:sz w:val="32"/>
          <w:szCs w:val="32"/>
        </w:rPr>
      </w:pPr>
      <w:r>
        <w:rPr>
          <w:rFonts w:eastAsia="仿宋_GB2312"/>
          <w:color w:val="000000"/>
          <w:sz w:val="32"/>
          <w:szCs w:val="32"/>
        </w:rPr>
        <w:t>9.【检验方法的局限性】</w:t>
      </w:r>
    </w:p>
    <w:p w14:paraId="373EB903">
      <w:pPr>
        <w:spacing w:line="560" w:lineRule="exact"/>
        <w:ind w:firstLine="640" w:firstLineChars="200"/>
        <w:rPr>
          <w:rFonts w:eastAsia="仿宋_GB2312"/>
          <w:color w:val="000000"/>
          <w:sz w:val="32"/>
          <w:szCs w:val="32"/>
        </w:rPr>
      </w:pPr>
      <w:r>
        <w:rPr>
          <w:rFonts w:eastAsia="仿宋_GB2312"/>
          <w:color w:val="000000"/>
          <w:sz w:val="32"/>
          <w:szCs w:val="32"/>
        </w:rPr>
        <w:t>9.1申报产品仅对下述突变类型xx进行了验证。对于c类产品，在此处明确境内临床试验做过验证的突变类型。</w:t>
      </w:r>
    </w:p>
    <w:p w14:paraId="3442F207">
      <w:pPr>
        <w:spacing w:line="560" w:lineRule="exact"/>
        <w:ind w:firstLine="640" w:firstLineChars="200"/>
        <w:rPr>
          <w:rFonts w:eastAsia="仿宋_GB2312"/>
          <w:color w:val="000000"/>
          <w:sz w:val="32"/>
          <w:szCs w:val="32"/>
        </w:rPr>
      </w:pPr>
      <w:r>
        <w:rPr>
          <w:rFonts w:eastAsia="仿宋_GB2312"/>
          <w:color w:val="000000"/>
          <w:sz w:val="32"/>
          <w:szCs w:val="32"/>
        </w:rPr>
        <w:t>9.2 申报产品的检测结果仅作为初筛结果，仅供临床参考，用于辅助诊断结核分枝杆菌复合群的耐药性，不应作为患者耐药的确诊依据。临床医生应结合患者病情、药物适应症、疗效及其他实验室检测指标等因素对检测结果进行综合判断。</w:t>
      </w:r>
    </w:p>
    <w:p w14:paraId="469EB2CE">
      <w:pPr>
        <w:spacing w:line="560" w:lineRule="exact"/>
        <w:ind w:firstLine="640" w:firstLineChars="200"/>
        <w:rPr>
          <w:rFonts w:eastAsia="仿宋_GB2312"/>
          <w:color w:val="000000"/>
          <w:spacing w:val="2"/>
          <w:sz w:val="32"/>
          <w:szCs w:val="32"/>
        </w:rPr>
      </w:pPr>
      <w:r>
        <w:rPr>
          <w:rFonts w:eastAsia="仿宋_GB2312"/>
          <w:color w:val="000000"/>
          <w:sz w:val="32"/>
          <w:szCs w:val="32"/>
        </w:rPr>
        <w:t>9.3本</w:t>
      </w:r>
      <w:r>
        <w:rPr>
          <w:rFonts w:eastAsia="仿宋_GB2312"/>
          <w:color w:val="000000"/>
          <w:spacing w:val="2"/>
          <w:sz w:val="32"/>
          <w:szCs w:val="32"/>
        </w:rPr>
        <w:t>产品仅检测靶标区域内突变引起的耐药。由其他基因或基因区域的突变、以及其他耐药机制引起的耐药本产品不能检出。</w:t>
      </w:r>
    </w:p>
    <w:p w14:paraId="4DB77FBA">
      <w:pPr>
        <w:spacing w:line="560" w:lineRule="exact"/>
        <w:ind w:firstLine="640" w:firstLineChars="200"/>
        <w:rPr>
          <w:rFonts w:eastAsia="仿宋_GB2312"/>
          <w:color w:val="000000"/>
          <w:sz w:val="32"/>
          <w:szCs w:val="32"/>
        </w:rPr>
      </w:pPr>
      <w:r>
        <w:rPr>
          <w:rFonts w:eastAsia="仿宋_GB2312"/>
          <w:color w:val="000000"/>
          <w:sz w:val="32"/>
          <w:szCs w:val="32"/>
        </w:rPr>
        <w:t>9.4本产品不能用于监测患者对于抗生素的治疗进展以及成功与否，因为经过抗菌治疗后，细菌DNA可能仍旧存在。</w:t>
      </w:r>
    </w:p>
    <w:p w14:paraId="0FED7339">
      <w:pPr>
        <w:spacing w:line="560" w:lineRule="exact"/>
        <w:ind w:firstLine="640" w:firstLineChars="200"/>
        <w:rPr>
          <w:rFonts w:eastAsia="仿宋_GB2312"/>
          <w:color w:val="000000"/>
          <w:sz w:val="32"/>
          <w:szCs w:val="32"/>
        </w:rPr>
      </w:pPr>
      <w:r>
        <w:rPr>
          <w:rFonts w:eastAsia="仿宋_GB2312"/>
          <w:color w:val="000000"/>
          <w:sz w:val="32"/>
          <w:szCs w:val="32"/>
        </w:rPr>
        <w:t>9.5有关假阴性结果的可能性分析</w:t>
      </w:r>
    </w:p>
    <w:p w14:paraId="4A907B2D">
      <w:pPr>
        <w:spacing w:line="560" w:lineRule="exact"/>
        <w:ind w:firstLine="640" w:firstLineChars="200"/>
        <w:rPr>
          <w:rFonts w:eastAsia="仿宋_GB2312"/>
          <w:color w:val="000000"/>
          <w:sz w:val="32"/>
          <w:szCs w:val="32"/>
        </w:rPr>
      </w:pPr>
      <w:r>
        <w:rPr>
          <w:rFonts w:eastAsia="仿宋_GB2312"/>
          <w:color w:val="000000"/>
          <w:sz w:val="32"/>
          <w:szCs w:val="32"/>
        </w:rPr>
        <w:t>9.5.1不合理的样本采集、运送及处理、样本中细菌含量过低、核酸过度降解或扩增反应体系中靶标浓度低于检测限均有可能导致假阴性结果。</w:t>
      </w:r>
    </w:p>
    <w:p w14:paraId="70547A47">
      <w:pPr>
        <w:spacing w:line="560" w:lineRule="exact"/>
        <w:ind w:firstLine="640" w:firstLineChars="200"/>
        <w:rPr>
          <w:rFonts w:eastAsia="仿宋_GB2312"/>
          <w:color w:val="000000"/>
          <w:sz w:val="32"/>
          <w:szCs w:val="32"/>
        </w:rPr>
      </w:pPr>
      <w:r>
        <w:rPr>
          <w:rFonts w:eastAsia="仿宋_GB2312"/>
          <w:color w:val="000000"/>
          <w:sz w:val="32"/>
          <w:szCs w:val="32"/>
        </w:rPr>
        <w:t>9.5.2未经验证的其他干扰或PCR抑制因子等可能会导致假阴性结果（如有）。</w:t>
      </w:r>
    </w:p>
    <w:p w14:paraId="70EAD735">
      <w:pPr>
        <w:spacing w:line="560" w:lineRule="exact"/>
        <w:ind w:firstLine="640" w:firstLineChars="200"/>
        <w:rPr>
          <w:rFonts w:eastAsia="仿宋_GB2312"/>
          <w:color w:val="000000"/>
          <w:sz w:val="32"/>
          <w:szCs w:val="32"/>
        </w:rPr>
      </w:pPr>
      <w:r>
        <w:rPr>
          <w:rFonts w:eastAsia="仿宋_GB2312"/>
          <w:color w:val="000000"/>
          <w:sz w:val="32"/>
          <w:szCs w:val="32"/>
        </w:rPr>
        <w:t>10.【产品性能指标】简述以下性能指标：</w:t>
      </w:r>
    </w:p>
    <w:p w14:paraId="5D62D543">
      <w:pPr>
        <w:spacing w:line="560" w:lineRule="exact"/>
        <w:ind w:firstLine="640" w:firstLineChars="200"/>
        <w:rPr>
          <w:rFonts w:eastAsia="仿宋_GB2312"/>
          <w:color w:val="000000"/>
          <w:sz w:val="32"/>
          <w:szCs w:val="32"/>
        </w:rPr>
      </w:pPr>
      <w:r>
        <w:rPr>
          <w:rFonts w:eastAsia="仿宋_GB2312"/>
          <w:color w:val="000000"/>
          <w:sz w:val="32"/>
          <w:szCs w:val="32"/>
        </w:rPr>
        <w:t>10.1对国家参考品检测的符合情况，简要描述采用国家参考品进行检测的结果（如适用）。</w:t>
      </w:r>
    </w:p>
    <w:p w14:paraId="36E09EF8">
      <w:pPr>
        <w:spacing w:line="560" w:lineRule="exact"/>
        <w:ind w:firstLine="640" w:firstLineChars="200"/>
        <w:rPr>
          <w:rFonts w:eastAsia="仿宋_GB2312"/>
          <w:color w:val="000000"/>
          <w:sz w:val="32"/>
          <w:szCs w:val="32"/>
          <w:shd w:val="pct15" w:color="auto" w:fill="FFFFFF"/>
        </w:rPr>
      </w:pPr>
      <w:r>
        <w:rPr>
          <w:rFonts w:eastAsia="仿宋_GB2312"/>
          <w:color w:val="000000"/>
          <w:sz w:val="32"/>
          <w:szCs w:val="32"/>
        </w:rPr>
        <w:t>10.2</w:t>
      </w:r>
      <w:r>
        <w:rPr>
          <w:rFonts w:hint="eastAsia" w:eastAsia="仿宋_GB2312"/>
          <w:color w:val="000000"/>
          <w:sz w:val="32"/>
          <w:szCs w:val="32"/>
        </w:rPr>
        <w:t>准确度</w:t>
      </w:r>
      <w:r>
        <w:rPr>
          <w:rFonts w:eastAsia="仿宋_GB2312"/>
          <w:color w:val="000000"/>
          <w:sz w:val="32"/>
          <w:szCs w:val="32"/>
        </w:rPr>
        <w:t>。</w:t>
      </w:r>
    </w:p>
    <w:p w14:paraId="637D4BEF">
      <w:pPr>
        <w:spacing w:line="560" w:lineRule="exact"/>
        <w:ind w:firstLine="640" w:firstLineChars="200"/>
        <w:rPr>
          <w:rFonts w:eastAsia="仿宋_GB2312"/>
          <w:color w:val="000000"/>
          <w:sz w:val="32"/>
          <w:szCs w:val="32"/>
        </w:rPr>
      </w:pPr>
      <w:r>
        <w:rPr>
          <w:rFonts w:eastAsia="仿宋_GB2312"/>
          <w:color w:val="000000"/>
          <w:sz w:val="32"/>
          <w:szCs w:val="32"/>
        </w:rPr>
        <w:t>10.3精密度：简单介绍精密度的确定方法，并明确精密度结果。</w:t>
      </w:r>
    </w:p>
    <w:p w14:paraId="2BA2A795">
      <w:pPr>
        <w:spacing w:line="560" w:lineRule="exact"/>
        <w:ind w:firstLine="640" w:firstLineChars="200"/>
        <w:rPr>
          <w:rFonts w:eastAsia="仿宋_GB2312"/>
          <w:color w:val="000000"/>
          <w:sz w:val="32"/>
          <w:szCs w:val="32"/>
        </w:rPr>
      </w:pPr>
      <w:r>
        <w:rPr>
          <w:rFonts w:eastAsia="仿宋_GB2312"/>
          <w:color w:val="000000"/>
          <w:sz w:val="32"/>
          <w:szCs w:val="32"/>
        </w:rPr>
        <w:t>10.4最低检测限：简单介绍最低检测限的确定方法，并明确最低检测限结果。</w:t>
      </w:r>
      <w:r>
        <w:rPr>
          <w:rFonts w:hint="eastAsia" w:eastAsia="仿宋_GB2312"/>
          <w:color w:val="000000"/>
          <w:sz w:val="32"/>
          <w:szCs w:val="32"/>
        </w:rPr>
        <w:t>明确不同耐药比例最低检测限验证情况。</w:t>
      </w:r>
    </w:p>
    <w:p w14:paraId="41C4BBE1">
      <w:pPr>
        <w:spacing w:line="560" w:lineRule="exact"/>
        <w:ind w:firstLine="640" w:firstLineChars="200"/>
        <w:rPr>
          <w:rFonts w:eastAsia="仿宋_GB2312"/>
          <w:color w:val="000000"/>
          <w:sz w:val="32"/>
          <w:szCs w:val="32"/>
        </w:rPr>
      </w:pPr>
      <w:r>
        <w:rPr>
          <w:rFonts w:eastAsia="仿宋_GB2312"/>
          <w:color w:val="000000"/>
          <w:sz w:val="32"/>
          <w:szCs w:val="32"/>
        </w:rPr>
        <w:t>10.5分析特异性</w:t>
      </w:r>
    </w:p>
    <w:p w14:paraId="618C2B0F">
      <w:pPr>
        <w:spacing w:line="560" w:lineRule="exact"/>
        <w:ind w:firstLine="640" w:firstLineChars="200"/>
        <w:rPr>
          <w:rFonts w:eastAsia="仿宋_GB2312"/>
          <w:color w:val="000000"/>
          <w:sz w:val="32"/>
          <w:szCs w:val="32"/>
        </w:rPr>
      </w:pPr>
      <w:r>
        <w:rPr>
          <w:rFonts w:eastAsia="仿宋_GB2312"/>
          <w:color w:val="000000"/>
          <w:sz w:val="32"/>
          <w:szCs w:val="32"/>
        </w:rPr>
        <w:t>10.5.1野生型验证：应采用不同浓度的野生型样本进行验证，结果应均为阴性。</w:t>
      </w:r>
    </w:p>
    <w:p w14:paraId="2226487F">
      <w:pPr>
        <w:spacing w:line="560" w:lineRule="exact"/>
        <w:ind w:firstLine="640" w:firstLineChars="200"/>
        <w:rPr>
          <w:rFonts w:eastAsia="仿宋_GB2312"/>
          <w:color w:val="000000"/>
          <w:sz w:val="32"/>
          <w:szCs w:val="32"/>
        </w:rPr>
      </w:pPr>
      <w:r>
        <w:rPr>
          <w:rFonts w:eastAsia="仿宋_GB2312"/>
          <w:color w:val="000000"/>
          <w:sz w:val="32"/>
          <w:szCs w:val="32"/>
        </w:rPr>
        <w:t>10.5.2可检测突变之间的交叉反应：如申报产品可检测多种突变，还需验证申报产品声称的所有突变类型之间是否存在交叉反应。</w:t>
      </w:r>
    </w:p>
    <w:p w14:paraId="6B7AD453">
      <w:pPr>
        <w:spacing w:line="560" w:lineRule="exact"/>
        <w:ind w:firstLine="640" w:firstLineChars="200"/>
        <w:rPr>
          <w:rFonts w:eastAsia="仿宋_GB2312"/>
          <w:color w:val="000000"/>
          <w:sz w:val="32"/>
          <w:szCs w:val="32"/>
        </w:rPr>
      </w:pPr>
      <w:r>
        <w:rPr>
          <w:rFonts w:hint="eastAsia" w:eastAsia="仿宋_GB2312"/>
          <w:color w:val="000000"/>
          <w:sz w:val="32"/>
          <w:szCs w:val="32"/>
        </w:rPr>
        <w:t>1</w:t>
      </w:r>
      <w:r>
        <w:rPr>
          <w:rFonts w:eastAsia="仿宋_GB2312"/>
          <w:color w:val="000000"/>
          <w:sz w:val="32"/>
          <w:szCs w:val="32"/>
        </w:rPr>
        <w:t>0.5.3</w:t>
      </w:r>
      <w:r>
        <w:rPr>
          <w:rFonts w:eastAsia="仿宋_GB2312"/>
          <w:color w:val="000000"/>
          <w:kern w:val="0"/>
          <w:sz w:val="32"/>
          <w:szCs w:val="32"/>
        </w:rPr>
        <w:t>申报产品</w:t>
      </w:r>
      <w:r>
        <w:rPr>
          <w:rFonts w:hint="eastAsia" w:eastAsia="仿宋_GB2312"/>
          <w:color w:val="000000"/>
          <w:kern w:val="0"/>
          <w:sz w:val="32"/>
          <w:szCs w:val="32"/>
        </w:rPr>
        <w:t>检测范围外的其他常见</w:t>
      </w:r>
      <w:r>
        <w:rPr>
          <w:rFonts w:eastAsia="仿宋_GB2312"/>
          <w:color w:val="000000"/>
          <w:kern w:val="0"/>
          <w:sz w:val="32"/>
          <w:szCs w:val="32"/>
        </w:rPr>
        <w:t>突变</w:t>
      </w:r>
      <w:r>
        <w:rPr>
          <w:rFonts w:hint="eastAsia" w:eastAsia="仿宋_GB2312"/>
          <w:color w:val="000000"/>
          <w:kern w:val="0"/>
          <w:sz w:val="32"/>
          <w:szCs w:val="32"/>
        </w:rPr>
        <w:t>类型</w:t>
      </w:r>
      <w:r>
        <w:rPr>
          <w:rFonts w:eastAsia="仿宋_GB2312"/>
          <w:color w:val="000000"/>
          <w:kern w:val="0"/>
          <w:sz w:val="32"/>
          <w:szCs w:val="32"/>
        </w:rPr>
        <w:t>交叉反应验证</w:t>
      </w:r>
      <w:r>
        <w:rPr>
          <w:rFonts w:hint="eastAsia" w:eastAsia="仿宋_GB2312"/>
          <w:color w:val="000000"/>
          <w:kern w:val="0"/>
          <w:sz w:val="32"/>
          <w:szCs w:val="32"/>
        </w:rPr>
        <w:t>情况。</w:t>
      </w:r>
    </w:p>
    <w:p w14:paraId="3D6397EB">
      <w:pPr>
        <w:spacing w:line="560" w:lineRule="exact"/>
        <w:ind w:firstLine="640" w:firstLineChars="200"/>
        <w:rPr>
          <w:rFonts w:eastAsia="仿宋_GB2312"/>
          <w:color w:val="000000"/>
          <w:sz w:val="32"/>
          <w:szCs w:val="32"/>
        </w:rPr>
      </w:pPr>
      <w:r>
        <w:rPr>
          <w:rFonts w:eastAsia="仿宋_GB2312"/>
          <w:color w:val="000000"/>
          <w:sz w:val="32"/>
          <w:szCs w:val="32"/>
        </w:rPr>
        <w:t>10.5.4干扰物质验证：样本中常见干扰物质对检测结果的影响</w:t>
      </w:r>
      <w:r>
        <w:rPr>
          <w:rFonts w:hint="eastAsia" w:eastAsia="仿宋_GB2312"/>
          <w:color w:val="000000"/>
          <w:sz w:val="32"/>
          <w:szCs w:val="32"/>
        </w:rPr>
        <w:t>。</w:t>
      </w:r>
    </w:p>
    <w:p w14:paraId="586D68DF">
      <w:pPr>
        <w:spacing w:line="560" w:lineRule="exact"/>
        <w:ind w:firstLine="640" w:firstLineChars="200"/>
        <w:rPr>
          <w:rFonts w:eastAsia="仿宋_GB2312"/>
          <w:color w:val="000000"/>
          <w:sz w:val="32"/>
          <w:szCs w:val="32"/>
        </w:rPr>
      </w:pPr>
      <w:r>
        <w:rPr>
          <w:rFonts w:hint="eastAsia" w:eastAsia="仿宋_GB2312"/>
          <w:color w:val="000000"/>
          <w:sz w:val="32"/>
          <w:szCs w:val="32"/>
        </w:rPr>
        <w:t>1</w:t>
      </w:r>
      <w:r>
        <w:rPr>
          <w:rFonts w:eastAsia="仿宋_GB2312"/>
          <w:color w:val="000000"/>
          <w:sz w:val="32"/>
          <w:szCs w:val="32"/>
        </w:rPr>
        <w:t>0.6</w:t>
      </w:r>
      <w:r>
        <w:rPr>
          <w:rFonts w:hint="eastAsia" w:eastAsia="仿宋_GB2312"/>
          <w:color w:val="000000"/>
          <w:sz w:val="32"/>
          <w:szCs w:val="32"/>
        </w:rPr>
        <w:t>临床试验：简要介绍试验方法、受试者及样本、试验结果和结论等。</w:t>
      </w:r>
    </w:p>
    <w:p w14:paraId="175D386C">
      <w:pPr>
        <w:spacing w:line="560" w:lineRule="exact"/>
        <w:ind w:firstLine="640" w:firstLineChars="200"/>
        <w:rPr>
          <w:rFonts w:eastAsia="仿宋_GB2312"/>
          <w:color w:val="000000"/>
          <w:sz w:val="32"/>
          <w:szCs w:val="32"/>
        </w:rPr>
      </w:pPr>
      <w:r>
        <w:rPr>
          <w:rFonts w:eastAsia="仿宋_GB2312"/>
          <w:color w:val="000000"/>
          <w:sz w:val="32"/>
          <w:szCs w:val="32"/>
        </w:rPr>
        <w:t>11</w:t>
      </w:r>
      <w:r>
        <w:rPr>
          <w:rFonts w:hint="eastAsia" w:eastAsia="仿宋_GB2312"/>
          <w:color w:val="000000"/>
          <w:sz w:val="32"/>
          <w:szCs w:val="32"/>
        </w:rPr>
        <w:t>.</w:t>
      </w:r>
      <w:r>
        <w:rPr>
          <w:rFonts w:eastAsia="仿宋_GB2312"/>
          <w:color w:val="000000"/>
          <w:sz w:val="32"/>
          <w:szCs w:val="32"/>
        </w:rPr>
        <w:t>【注意事项】应至少包括以下内容：</w:t>
      </w:r>
    </w:p>
    <w:p w14:paraId="105480A1">
      <w:pPr>
        <w:snapToGrid w:val="0"/>
        <w:spacing w:line="560" w:lineRule="exact"/>
        <w:ind w:firstLine="640" w:firstLineChars="200"/>
        <w:rPr>
          <w:rFonts w:eastAsia="仿宋_GB2312"/>
          <w:sz w:val="32"/>
          <w:szCs w:val="32"/>
        </w:rPr>
      </w:pPr>
      <w:r>
        <w:rPr>
          <w:rFonts w:eastAsia="仿宋_GB2312"/>
          <w:sz w:val="32"/>
          <w:szCs w:val="32"/>
        </w:rPr>
        <w:t>11.1本产品仅用于体外诊断。</w:t>
      </w:r>
    </w:p>
    <w:p w14:paraId="5FFF3581">
      <w:pPr>
        <w:snapToGrid w:val="0"/>
        <w:spacing w:line="560" w:lineRule="exact"/>
        <w:ind w:firstLine="640" w:firstLineChars="200"/>
        <w:rPr>
          <w:rFonts w:eastAsia="仿宋_GB2312"/>
          <w:sz w:val="32"/>
          <w:szCs w:val="32"/>
        </w:rPr>
      </w:pPr>
      <w:r>
        <w:rPr>
          <w:rFonts w:eastAsia="仿宋_GB2312"/>
          <w:sz w:val="32"/>
          <w:szCs w:val="32"/>
        </w:rPr>
        <w:t>11.2临床实验室应严格按照《医疗机构临床基因扩增</w:t>
      </w:r>
      <w:r>
        <w:rPr>
          <w:rFonts w:hint="eastAsia" w:eastAsia="仿宋_GB2312"/>
          <w:sz w:val="32"/>
          <w:szCs w:val="32"/>
        </w:rPr>
        <w:t>检验</w:t>
      </w:r>
      <w:r>
        <w:rPr>
          <w:rFonts w:eastAsia="仿宋_GB2312"/>
          <w:sz w:val="32"/>
          <w:szCs w:val="32"/>
        </w:rPr>
        <w:t>实验室管理办法》等有关分子生物学实验室要求。</w:t>
      </w:r>
    </w:p>
    <w:p w14:paraId="42F22E37">
      <w:pPr>
        <w:snapToGrid w:val="0"/>
        <w:spacing w:line="560" w:lineRule="exact"/>
        <w:ind w:firstLine="640" w:firstLineChars="200"/>
        <w:rPr>
          <w:rFonts w:eastAsia="仿宋_GB2312"/>
          <w:sz w:val="32"/>
          <w:szCs w:val="32"/>
        </w:rPr>
      </w:pPr>
      <w:r>
        <w:rPr>
          <w:rFonts w:eastAsia="仿宋_GB2312"/>
          <w:sz w:val="32"/>
          <w:szCs w:val="32"/>
        </w:rPr>
        <w:t>11.3试剂保存运输及使用过程中多种因素可能导致性能变化，如保存运输不当、样本采集、样本处理及检测过程操作不规范等，请严格按照说明书操作。因样本采集过程及</w:t>
      </w:r>
      <w:r>
        <w:rPr>
          <w:rFonts w:hint="eastAsia" w:eastAsia="仿宋_GB2312"/>
          <w:sz w:val="32"/>
          <w:szCs w:val="32"/>
        </w:rPr>
        <w:t>细菌</w:t>
      </w:r>
      <w:r>
        <w:rPr>
          <w:rFonts w:eastAsia="仿宋_GB2312"/>
          <w:sz w:val="32"/>
          <w:szCs w:val="32"/>
        </w:rPr>
        <w:t>感染过程本身的特点，可能存在采集到的样本量不足等原因带来的假阴性结果，应结合临床其他诊疗信息综合判断，必要时复测。</w:t>
      </w:r>
    </w:p>
    <w:p w14:paraId="1501CCC1">
      <w:pPr>
        <w:snapToGrid w:val="0"/>
        <w:spacing w:line="560" w:lineRule="exact"/>
        <w:ind w:firstLine="640" w:firstLineChars="200"/>
        <w:rPr>
          <w:rFonts w:eastAsia="仿宋_GB2312"/>
          <w:sz w:val="32"/>
          <w:szCs w:val="32"/>
        </w:rPr>
      </w:pPr>
      <w:r>
        <w:rPr>
          <w:rFonts w:eastAsia="仿宋_GB2312"/>
          <w:sz w:val="32"/>
          <w:szCs w:val="32"/>
        </w:rPr>
        <w:t>11.4生物安全防护相关内容</w:t>
      </w:r>
      <w:r>
        <w:rPr>
          <w:rFonts w:hint="eastAsia" w:eastAsia="仿宋_GB2312"/>
          <w:sz w:val="32"/>
          <w:szCs w:val="32"/>
        </w:rPr>
        <w:t>。</w:t>
      </w:r>
    </w:p>
    <w:p w14:paraId="178546BA">
      <w:pPr>
        <w:spacing w:line="600" w:lineRule="exact"/>
        <w:ind w:firstLine="640" w:firstLineChars="200"/>
        <w:contextualSpacing/>
        <w:rPr>
          <w:rFonts w:eastAsia="仿宋_GB2312"/>
          <w:bCs/>
          <w:color w:val="000000"/>
          <w:sz w:val="32"/>
          <w:szCs w:val="32"/>
        </w:rPr>
      </w:pPr>
      <w:r>
        <w:rPr>
          <w:rFonts w:eastAsia="仿宋_GB2312"/>
          <w:sz w:val="32"/>
          <w:szCs w:val="32"/>
        </w:rPr>
        <w:t>11.5避免实验室污染的措施</w:t>
      </w:r>
      <w:r>
        <w:rPr>
          <w:rFonts w:hint="eastAsia" w:eastAsia="仿宋_GB2312"/>
          <w:sz w:val="32"/>
          <w:szCs w:val="32"/>
        </w:rPr>
        <w:t>。</w:t>
      </w:r>
    </w:p>
    <w:bookmarkEnd w:id="0"/>
    <w:p w14:paraId="1197E02E">
      <w:pPr>
        <w:spacing w:line="560" w:lineRule="exact"/>
        <w:ind w:firstLine="640" w:firstLineChars="200"/>
        <w:rPr>
          <w:rFonts w:eastAsia="黑体"/>
          <w:sz w:val="32"/>
          <w:szCs w:val="32"/>
        </w:rPr>
      </w:pPr>
      <w:r>
        <w:rPr>
          <w:rFonts w:hint="eastAsia" w:eastAsia="黑体"/>
          <w:sz w:val="32"/>
          <w:szCs w:val="32"/>
        </w:rPr>
        <w:t>三</w:t>
      </w:r>
      <w:r>
        <w:rPr>
          <w:rFonts w:eastAsia="黑体"/>
          <w:sz w:val="32"/>
          <w:szCs w:val="32"/>
        </w:rPr>
        <w:t>、</w:t>
      </w:r>
      <w:r>
        <w:rPr>
          <w:rFonts w:hint="eastAsia" w:eastAsia="黑体"/>
          <w:sz w:val="32"/>
          <w:szCs w:val="32"/>
        </w:rPr>
        <w:t>参考文献</w:t>
      </w:r>
    </w:p>
    <w:p w14:paraId="14558857">
      <w:pPr>
        <w:spacing w:line="560" w:lineRule="exact"/>
        <w:ind w:left="320" w:hanging="320" w:hangingChars="100"/>
        <w:rPr>
          <w:rFonts w:eastAsia="仿宋_GB2312"/>
          <w:color w:val="000000"/>
          <w:sz w:val="32"/>
          <w:szCs w:val="32"/>
        </w:rPr>
      </w:pPr>
      <w:r>
        <w:rPr>
          <w:rFonts w:eastAsia="仿宋_GB2312"/>
          <w:color w:val="000000"/>
          <w:sz w:val="32"/>
          <w:szCs w:val="32"/>
        </w:rPr>
        <w:t>[1]国家市场监督管理总局.体外诊断试剂注册与备案管理办法:国家市场监督管理总局令第48号[Z].</w:t>
      </w:r>
    </w:p>
    <w:p w14:paraId="65784352">
      <w:pPr>
        <w:spacing w:line="560" w:lineRule="exact"/>
        <w:ind w:left="320" w:hanging="320" w:hangingChars="100"/>
        <w:rPr>
          <w:rFonts w:eastAsia="仿宋_GB2312"/>
          <w:color w:val="000000"/>
          <w:sz w:val="32"/>
          <w:szCs w:val="32"/>
        </w:rPr>
      </w:pPr>
      <w:r>
        <w:rPr>
          <w:rFonts w:eastAsia="仿宋_GB2312"/>
          <w:color w:val="000000"/>
          <w:sz w:val="32"/>
          <w:szCs w:val="32"/>
        </w:rPr>
        <w:t>[2]国家药品监督管理局.关于公布体外诊断试剂注册申报资料要求和批准证明文件格式的公告:国家药品监督管理局公告2021年第122号[Z].</w:t>
      </w:r>
    </w:p>
    <w:p w14:paraId="0A0DB2EC">
      <w:pPr>
        <w:spacing w:line="560" w:lineRule="exact"/>
        <w:ind w:left="320" w:hanging="320" w:hangingChars="100"/>
        <w:rPr>
          <w:rFonts w:eastAsia="仿宋_GB2312"/>
          <w:color w:val="000000"/>
          <w:sz w:val="32"/>
          <w:szCs w:val="32"/>
        </w:rPr>
      </w:pPr>
      <w:r>
        <w:rPr>
          <w:rFonts w:eastAsia="仿宋_GB2312"/>
          <w:color w:val="000000"/>
          <w:sz w:val="32"/>
          <w:szCs w:val="32"/>
        </w:rPr>
        <w:t>[3]国家药品监督管理局.体外诊断试剂临床试验技术指导原则:国家药品监督管理局2021年第72号[Z].</w:t>
      </w:r>
    </w:p>
    <w:p w14:paraId="7B2B5139">
      <w:pPr>
        <w:spacing w:line="560" w:lineRule="exact"/>
        <w:ind w:left="320" w:hanging="320" w:hangingChars="100"/>
        <w:rPr>
          <w:rFonts w:eastAsia="仿宋_GB2312"/>
          <w:color w:val="000000"/>
          <w:sz w:val="32"/>
          <w:szCs w:val="32"/>
        </w:rPr>
      </w:pPr>
      <w:r>
        <w:rPr>
          <w:rFonts w:eastAsia="仿宋_GB2312"/>
          <w:color w:val="000000"/>
          <w:sz w:val="32"/>
          <w:szCs w:val="32"/>
        </w:rPr>
        <w:t>[4]国家药品监督管理局医疗器械技术审评中心.定性检测体外诊断试剂分析性能评估注册审查指导原则:国家药品监督管理局医疗器械技术审评中心2022年第36号[Z].</w:t>
      </w:r>
    </w:p>
    <w:p w14:paraId="044E7831">
      <w:pPr>
        <w:spacing w:line="560" w:lineRule="exact"/>
        <w:ind w:left="320" w:hanging="320" w:hangingChars="100"/>
        <w:rPr>
          <w:rFonts w:eastAsia="仿宋_GB2312"/>
          <w:color w:val="000000"/>
          <w:sz w:val="32"/>
          <w:szCs w:val="32"/>
        </w:rPr>
      </w:pPr>
      <w:r>
        <w:rPr>
          <w:rFonts w:eastAsia="仿宋_GB2312"/>
          <w:sz w:val="32"/>
          <w:szCs w:val="32"/>
        </w:rPr>
        <w:t>[5]</w:t>
      </w:r>
      <w:r>
        <w:rPr>
          <w:rFonts w:eastAsia="仿宋_GB2312"/>
          <w:color w:val="000000"/>
          <w:sz w:val="32"/>
          <w:szCs w:val="32"/>
        </w:rPr>
        <w:t>国家药品监督管理局医疗器械技术审评中心</w:t>
      </w:r>
      <w:r>
        <w:rPr>
          <w:rFonts w:eastAsia="仿宋_GB2312"/>
          <w:sz w:val="32"/>
          <w:szCs w:val="32"/>
        </w:rPr>
        <w:t>.</w:t>
      </w:r>
      <w:r>
        <w:rPr>
          <w:rFonts w:hint="eastAsia" w:eastAsia="仿宋_GB2312"/>
          <w:sz w:val="32"/>
          <w:szCs w:val="32"/>
        </w:rPr>
        <w:t>体外诊断试剂说明书编写指导原则（2023年修订版）:</w:t>
      </w:r>
      <w:r>
        <w:rPr>
          <w:rFonts w:eastAsia="仿宋_GB2312"/>
          <w:color w:val="000000"/>
          <w:sz w:val="32"/>
          <w:szCs w:val="32"/>
        </w:rPr>
        <w:t>国家药品监督管理局医疗器械技术审评中心202</w:t>
      </w:r>
      <w:r>
        <w:rPr>
          <w:rFonts w:hint="eastAsia" w:eastAsia="仿宋_GB2312"/>
          <w:color w:val="000000"/>
          <w:sz w:val="32"/>
          <w:szCs w:val="32"/>
        </w:rPr>
        <w:t>4</w:t>
      </w:r>
      <w:r>
        <w:rPr>
          <w:rFonts w:eastAsia="仿宋_GB2312"/>
          <w:color w:val="000000"/>
          <w:sz w:val="32"/>
          <w:szCs w:val="32"/>
        </w:rPr>
        <w:t>年第</w:t>
      </w:r>
      <w:r>
        <w:rPr>
          <w:rFonts w:hint="eastAsia" w:eastAsia="仿宋_GB2312"/>
          <w:color w:val="000000"/>
          <w:sz w:val="32"/>
          <w:szCs w:val="32"/>
        </w:rPr>
        <w:t>1</w:t>
      </w:r>
      <w:r>
        <w:rPr>
          <w:rFonts w:eastAsia="仿宋_GB2312"/>
          <w:color w:val="000000"/>
          <w:sz w:val="32"/>
          <w:szCs w:val="32"/>
        </w:rPr>
        <w:t>号[Z].</w:t>
      </w:r>
    </w:p>
    <w:p w14:paraId="16DB9378">
      <w:pPr>
        <w:spacing w:line="560" w:lineRule="exact"/>
        <w:ind w:left="320" w:hanging="320" w:hangingChars="100"/>
        <w:rPr>
          <w:rFonts w:hint="eastAsia" w:eastAsia="仿宋_GB2312"/>
          <w:color w:val="000000"/>
          <w:sz w:val="32"/>
          <w:szCs w:val="32"/>
        </w:rPr>
      </w:pPr>
      <w:r>
        <w:rPr>
          <w:rFonts w:eastAsia="仿宋_GB2312"/>
          <w:sz w:val="32"/>
          <w:szCs w:val="32"/>
        </w:rPr>
        <w:t>[6]中国防痨协会结核病控制专业分会，中国防痨协会标准化专业分会，中国防痨协会老年结核病防治专业分会. 结核分枝</w:t>
      </w:r>
      <w:r>
        <w:rPr>
          <w:rFonts w:eastAsia="仿宋_GB2312"/>
          <w:color w:val="000000"/>
          <w:sz w:val="32"/>
          <w:szCs w:val="32"/>
        </w:rPr>
        <w:t>杆菌感染检测技术应用专家共识[J]:中国防痨杂志,2025,47(7)813-829.</w:t>
      </w:r>
    </w:p>
    <w:sectPr>
      <w:footerReference r:id="rId3" w:type="default"/>
      <w:footerReference r:id="rId4" w:type="even"/>
      <w:pgSz w:w="11906" w:h="16838"/>
      <w:pgMar w:top="1928" w:right="1531" w:bottom="1814" w:left="1531" w:header="851" w:footer="851" w:gutter="0"/>
      <w:lnNumType w:countBy="1" w:restart="continuous"/>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5B6D82">
    <w:pPr>
      <w:pStyle w:val="4"/>
      <w:wordWrap w:val="0"/>
      <w:jc w:val="right"/>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PAGE   \* MERGEFORMAT</w:instrText>
    </w:r>
    <w:r>
      <w:rPr>
        <w:rFonts w:ascii="Times New Roman" w:hAnsi="Times New Roman" w:cs="Times New Roman"/>
        <w:sz w:val="28"/>
        <w:szCs w:val="28"/>
      </w:rPr>
      <w:fldChar w:fldCharType="separate"/>
    </w:r>
    <w:r>
      <w:rPr>
        <w:rFonts w:ascii="Times New Roman" w:hAnsi="Times New Roman" w:cs="Times New Roman"/>
        <w:sz w:val="28"/>
        <w:szCs w:val="28"/>
        <w:lang w:val="zh-CN"/>
      </w:rPr>
      <w:t>1</w:t>
    </w:r>
    <w:r>
      <w:rPr>
        <w:rFonts w:ascii="Times New Roman" w:hAnsi="Times New Roman" w:cs="Times New Roman"/>
        <w:sz w:val="28"/>
        <w:szCs w:val="28"/>
      </w:rPr>
      <w:fldChar w:fldCharType="end"/>
    </w:r>
    <w:r>
      <w:rPr>
        <w:rFonts w:ascii="Times New Roman" w:hAnsi="Times New Roman" w:cs="Times New Roman"/>
        <w:sz w:val="28"/>
        <w:szCs w:val="28"/>
      </w:rPr>
      <w:t>—</w:t>
    </w:r>
    <w:r>
      <w:rPr>
        <w:rFonts w:ascii="Times New Roman" w:hAnsi="Times New Roman" w:cs="Times New Roman"/>
        <w:color w:val="FFFFFF"/>
        <w:sz w:val="28"/>
        <w:szCs w:val="28"/>
      </w:rPr>
      <w:t>—</w:t>
    </w:r>
  </w:p>
  <w:p w14:paraId="0FED6CE8">
    <w:pPr>
      <w:pStyle w:val="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0FCE4">
    <w:pPr>
      <w:pStyle w:val="4"/>
      <w:rPr>
        <w:sz w:val="28"/>
        <w:szCs w:val="28"/>
      </w:rPr>
    </w:pPr>
    <w:r>
      <w:rPr>
        <w:rFonts w:hint="eastAsia"/>
        <w:color w:val="FFFFFF"/>
        <w:sz w:val="28"/>
        <w:szCs w:val="28"/>
      </w:rPr>
      <w:t>—</w:t>
    </w:r>
    <w:r>
      <w:rPr>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34</w:t>
    </w:r>
    <w:r>
      <w:rPr>
        <w:sz w:val="28"/>
        <w:szCs w:val="28"/>
      </w:rPr>
      <w:fldChar w:fldCharType="end"/>
    </w:r>
    <w:r>
      <w:rPr>
        <w:rFonts w:hint="eastAsia"/>
        <w:sz w:val="28"/>
        <w:szCs w:val="28"/>
      </w:rPr>
      <w:t>—</w:t>
    </w:r>
  </w:p>
  <w:p w14:paraId="28D0E193">
    <w:pPr>
      <w:pStyle w:val="4"/>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002954E0"/>
    <w:rsid w:val="00012478"/>
    <w:rsid w:val="0001304E"/>
    <w:rsid w:val="00014D36"/>
    <w:rsid w:val="00015F5D"/>
    <w:rsid w:val="0002193C"/>
    <w:rsid w:val="00025CAF"/>
    <w:rsid w:val="00033369"/>
    <w:rsid w:val="000504F1"/>
    <w:rsid w:val="00055036"/>
    <w:rsid w:val="0005768B"/>
    <w:rsid w:val="00066F4D"/>
    <w:rsid w:val="00074D9C"/>
    <w:rsid w:val="000928DA"/>
    <w:rsid w:val="00096DE9"/>
    <w:rsid w:val="00097AC9"/>
    <w:rsid w:val="000A68B9"/>
    <w:rsid w:val="000D0B94"/>
    <w:rsid w:val="000E24CA"/>
    <w:rsid w:val="000F032F"/>
    <w:rsid w:val="001220C0"/>
    <w:rsid w:val="00124500"/>
    <w:rsid w:val="00124B71"/>
    <w:rsid w:val="00144C54"/>
    <w:rsid w:val="001475EF"/>
    <w:rsid w:val="001668F2"/>
    <w:rsid w:val="0017501B"/>
    <w:rsid w:val="001926D0"/>
    <w:rsid w:val="00193655"/>
    <w:rsid w:val="001A2F7F"/>
    <w:rsid w:val="001B11B8"/>
    <w:rsid w:val="001C2A66"/>
    <w:rsid w:val="001C53AE"/>
    <w:rsid w:val="001D115A"/>
    <w:rsid w:val="001E35FB"/>
    <w:rsid w:val="00205153"/>
    <w:rsid w:val="0020663B"/>
    <w:rsid w:val="00211DA1"/>
    <w:rsid w:val="0022437F"/>
    <w:rsid w:val="00225EFC"/>
    <w:rsid w:val="0022739E"/>
    <w:rsid w:val="00233764"/>
    <w:rsid w:val="00236F0D"/>
    <w:rsid w:val="00254D7E"/>
    <w:rsid w:val="0026452F"/>
    <w:rsid w:val="00264ABE"/>
    <w:rsid w:val="002656D6"/>
    <w:rsid w:val="002755B9"/>
    <w:rsid w:val="00286062"/>
    <w:rsid w:val="002954E0"/>
    <w:rsid w:val="002B3A04"/>
    <w:rsid w:val="002B4174"/>
    <w:rsid w:val="002B49DB"/>
    <w:rsid w:val="002C1723"/>
    <w:rsid w:val="002C3085"/>
    <w:rsid w:val="002F30A3"/>
    <w:rsid w:val="002F342B"/>
    <w:rsid w:val="002F44E3"/>
    <w:rsid w:val="00302DAC"/>
    <w:rsid w:val="003119D9"/>
    <w:rsid w:val="0032343B"/>
    <w:rsid w:val="0033124D"/>
    <w:rsid w:val="00332356"/>
    <w:rsid w:val="00337E39"/>
    <w:rsid w:val="00344925"/>
    <w:rsid w:val="003479A2"/>
    <w:rsid w:val="00352E52"/>
    <w:rsid w:val="0036120F"/>
    <w:rsid w:val="00366019"/>
    <w:rsid w:val="00373AF6"/>
    <w:rsid w:val="0037473C"/>
    <w:rsid w:val="003868A3"/>
    <w:rsid w:val="00393821"/>
    <w:rsid w:val="003C3442"/>
    <w:rsid w:val="003C6B03"/>
    <w:rsid w:val="003D1293"/>
    <w:rsid w:val="003D4D3D"/>
    <w:rsid w:val="003D6641"/>
    <w:rsid w:val="003E0F61"/>
    <w:rsid w:val="003E686E"/>
    <w:rsid w:val="003F4D5B"/>
    <w:rsid w:val="0040134D"/>
    <w:rsid w:val="004128DE"/>
    <w:rsid w:val="00417C42"/>
    <w:rsid w:val="0042136D"/>
    <w:rsid w:val="00450CCA"/>
    <w:rsid w:val="00472107"/>
    <w:rsid w:val="0047469B"/>
    <w:rsid w:val="00476FE2"/>
    <w:rsid w:val="0048243F"/>
    <w:rsid w:val="00487198"/>
    <w:rsid w:val="00490ACC"/>
    <w:rsid w:val="00492937"/>
    <w:rsid w:val="004A06B6"/>
    <w:rsid w:val="004A1DC9"/>
    <w:rsid w:val="004A21CD"/>
    <w:rsid w:val="004A6FFE"/>
    <w:rsid w:val="004D1D1A"/>
    <w:rsid w:val="004D436C"/>
    <w:rsid w:val="004D7FE8"/>
    <w:rsid w:val="004E2816"/>
    <w:rsid w:val="004F485D"/>
    <w:rsid w:val="00504A3B"/>
    <w:rsid w:val="00510778"/>
    <w:rsid w:val="00511481"/>
    <w:rsid w:val="0051369D"/>
    <w:rsid w:val="00524DE6"/>
    <w:rsid w:val="005330AE"/>
    <w:rsid w:val="00547FDA"/>
    <w:rsid w:val="005531C8"/>
    <w:rsid w:val="00562462"/>
    <w:rsid w:val="0058505E"/>
    <w:rsid w:val="005A16AC"/>
    <w:rsid w:val="005A5727"/>
    <w:rsid w:val="005A7F54"/>
    <w:rsid w:val="005B12CB"/>
    <w:rsid w:val="005B1EA4"/>
    <w:rsid w:val="005B5905"/>
    <w:rsid w:val="005C111C"/>
    <w:rsid w:val="005C5F85"/>
    <w:rsid w:val="005C67F6"/>
    <w:rsid w:val="005D4667"/>
    <w:rsid w:val="005D4C78"/>
    <w:rsid w:val="005E6D2E"/>
    <w:rsid w:val="005F67F6"/>
    <w:rsid w:val="00611CB7"/>
    <w:rsid w:val="00617EF2"/>
    <w:rsid w:val="006202D5"/>
    <w:rsid w:val="0062710C"/>
    <w:rsid w:val="0062736D"/>
    <w:rsid w:val="00631CAF"/>
    <w:rsid w:val="00634E91"/>
    <w:rsid w:val="00636F6C"/>
    <w:rsid w:val="00637515"/>
    <w:rsid w:val="0063751D"/>
    <w:rsid w:val="006446BF"/>
    <w:rsid w:val="00644ECE"/>
    <w:rsid w:val="00645F5A"/>
    <w:rsid w:val="00647029"/>
    <w:rsid w:val="00657FE7"/>
    <w:rsid w:val="00693667"/>
    <w:rsid w:val="00694927"/>
    <w:rsid w:val="006959AC"/>
    <w:rsid w:val="006A1B75"/>
    <w:rsid w:val="006A3682"/>
    <w:rsid w:val="006A4955"/>
    <w:rsid w:val="006D4D37"/>
    <w:rsid w:val="006D5F43"/>
    <w:rsid w:val="006E1AAE"/>
    <w:rsid w:val="006F2659"/>
    <w:rsid w:val="00710D36"/>
    <w:rsid w:val="00712382"/>
    <w:rsid w:val="007141BC"/>
    <w:rsid w:val="0071445C"/>
    <w:rsid w:val="00717112"/>
    <w:rsid w:val="00720A28"/>
    <w:rsid w:val="0073141B"/>
    <w:rsid w:val="007372CB"/>
    <w:rsid w:val="00742EB2"/>
    <w:rsid w:val="00760B47"/>
    <w:rsid w:val="00780146"/>
    <w:rsid w:val="00783F6F"/>
    <w:rsid w:val="00790690"/>
    <w:rsid w:val="0079325F"/>
    <w:rsid w:val="00794266"/>
    <w:rsid w:val="007A0442"/>
    <w:rsid w:val="007A7FA1"/>
    <w:rsid w:val="007B79BB"/>
    <w:rsid w:val="007E5483"/>
    <w:rsid w:val="007F22AE"/>
    <w:rsid w:val="007F48C5"/>
    <w:rsid w:val="007F4F4E"/>
    <w:rsid w:val="00802891"/>
    <w:rsid w:val="00805EFA"/>
    <w:rsid w:val="008061DD"/>
    <w:rsid w:val="008118FB"/>
    <w:rsid w:val="0081761C"/>
    <w:rsid w:val="00833F8F"/>
    <w:rsid w:val="008415F8"/>
    <w:rsid w:val="00844F81"/>
    <w:rsid w:val="008466DF"/>
    <w:rsid w:val="00847BC8"/>
    <w:rsid w:val="00870F41"/>
    <w:rsid w:val="00873765"/>
    <w:rsid w:val="0087420E"/>
    <w:rsid w:val="00880483"/>
    <w:rsid w:val="008838B5"/>
    <w:rsid w:val="008945EB"/>
    <w:rsid w:val="008B3B57"/>
    <w:rsid w:val="008B44A4"/>
    <w:rsid w:val="008B4FB3"/>
    <w:rsid w:val="008C4577"/>
    <w:rsid w:val="008C46C3"/>
    <w:rsid w:val="008D35AD"/>
    <w:rsid w:val="008F0B49"/>
    <w:rsid w:val="008F5902"/>
    <w:rsid w:val="009030CF"/>
    <w:rsid w:val="00913376"/>
    <w:rsid w:val="0092360C"/>
    <w:rsid w:val="0092688E"/>
    <w:rsid w:val="00933A11"/>
    <w:rsid w:val="00947B63"/>
    <w:rsid w:val="00967F60"/>
    <w:rsid w:val="00971C0F"/>
    <w:rsid w:val="00976998"/>
    <w:rsid w:val="009930B2"/>
    <w:rsid w:val="009A3936"/>
    <w:rsid w:val="009A3954"/>
    <w:rsid w:val="009A4846"/>
    <w:rsid w:val="009A638E"/>
    <w:rsid w:val="009B3E02"/>
    <w:rsid w:val="009B4E1B"/>
    <w:rsid w:val="009B756F"/>
    <w:rsid w:val="009D412E"/>
    <w:rsid w:val="009E19DE"/>
    <w:rsid w:val="009E1F47"/>
    <w:rsid w:val="009E402C"/>
    <w:rsid w:val="00A0352D"/>
    <w:rsid w:val="00A11EFE"/>
    <w:rsid w:val="00A216E1"/>
    <w:rsid w:val="00A26FAD"/>
    <w:rsid w:val="00A36B24"/>
    <w:rsid w:val="00A44124"/>
    <w:rsid w:val="00A45D56"/>
    <w:rsid w:val="00A52D2F"/>
    <w:rsid w:val="00A6069D"/>
    <w:rsid w:val="00A61C7E"/>
    <w:rsid w:val="00A734D8"/>
    <w:rsid w:val="00A8109C"/>
    <w:rsid w:val="00A85CB5"/>
    <w:rsid w:val="00A90E27"/>
    <w:rsid w:val="00A93314"/>
    <w:rsid w:val="00A9473B"/>
    <w:rsid w:val="00AA365F"/>
    <w:rsid w:val="00AA44DE"/>
    <w:rsid w:val="00AC0792"/>
    <w:rsid w:val="00AC62BB"/>
    <w:rsid w:val="00AD1846"/>
    <w:rsid w:val="00AD5F2B"/>
    <w:rsid w:val="00AE66E9"/>
    <w:rsid w:val="00B11116"/>
    <w:rsid w:val="00B1243A"/>
    <w:rsid w:val="00B14825"/>
    <w:rsid w:val="00B363FE"/>
    <w:rsid w:val="00B3779E"/>
    <w:rsid w:val="00B51EA1"/>
    <w:rsid w:val="00B60F37"/>
    <w:rsid w:val="00B6660B"/>
    <w:rsid w:val="00B817A4"/>
    <w:rsid w:val="00B876C2"/>
    <w:rsid w:val="00B907C5"/>
    <w:rsid w:val="00BA74DF"/>
    <w:rsid w:val="00BC10D9"/>
    <w:rsid w:val="00BE4FEF"/>
    <w:rsid w:val="00BE5218"/>
    <w:rsid w:val="00BE7C7B"/>
    <w:rsid w:val="00BF3DDE"/>
    <w:rsid w:val="00C0718E"/>
    <w:rsid w:val="00C110CC"/>
    <w:rsid w:val="00C167C5"/>
    <w:rsid w:val="00C226C3"/>
    <w:rsid w:val="00C33A0B"/>
    <w:rsid w:val="00C34E20"/>
    <w:rsid w:val="00C364C0"/>
    <w:rsid w:val="00C40055"/>
    <w:rsid w:val="00C40288"/>
    <w:rsid w:val="00C40DF8"/>
    <w:rsid w:val="00C472EF"/>
    <w:rsid w:val="00C5140A"/>
    <w:rsid w:val="00C53EAC"/>
    <w:rsid w:val="00C77741"/>
    <w:rsid w:val="00C87A03"/>
    <w:rsid w:val="00C930C0"/>
    <w:rsid w:val="00CA29B6"/>
    <w:rsid w:val="00CB08F9"/>
    <w:rsid w:val="00CB2E25"/>
    <w:rsid w:val="00CB6EB7"/>
    <w:rsid w:val="00CB70A3"/>
    <w:rsid w:val="00CD0EEF"/>
    <w:rsid w:val="00CD1E88"/>
    <w:rsid w:val="00D00EBC"/>
    <w:rsid w:val="00D138C2"/>
    <w:rsid w:val="00D23BB0"/>
    <w:rsid w:val="00D343B8"/>
    <w:rsid w:val="00D43B25"/>
    <w:rsid w:val="00D463F7"/>
    <w:rsid w:val="00D525FC"/>
    <w:rsid w:val="00D672B2"/>
    <w:rsid w:val="00D73DD0"/>
    <w:rsid w:val="00D80488"/>
    <w:rsid w:val="00D85616"/>
    <w:rsid w:val="00D85AEC"/>
    <w:rsid w:val="00D920B1"/>
    <w:rsid w:val="00DB3343"/>
    <w:rsid w:val="00DC6045"/>
    <w:rsid w:val="00DC66ED"/>
    <w:rsid w:val="00DD0AC4"/>
    <w:rsid w:val="00DE2847"/>
    <w:rsid w:val="00DF0F41"/>
    <w:rsid w:val="00E04AFC"/>
    <w:rsid w:val="00E16CE2"/>
    <w:rsid w:val="00E226C7"/>
    <w:rsid w:val="00E23745"/>
    <w:rsid w:val="00E2753D"/>
    <w:rsid w:val="00E471FA"/>
    <w:rsid w:val="00E579FF"/>
    <w:rsid w:val="00E735DC"/>
    <w:rsid w:val="00E746E1"/>
    <w:rsid w:val="00E82113"/>
    <w:rsid w:val="00E82174"/>
    <w:rsid w:val="00E85B48"/>
    <w:rsid w:val="00E909CC"/>
    <w:rsid w:val="00EA3514"/>
    <w:rsid w:val="00EB27C4"/>
    <w:rsid w:val="00EC031C"/>
    <w:rsid w:val="00EC1DF6"/>
    <w:rsid w:val="00EC2057"/>
    <w:rsid w:val="00EC3494"/>
    <w:rsid w:val="00EE1CDC"/>
    <w:rsid w:val="00EE7C1D"/>
    <w:rsid w:val="00F03350"/>
    <w:rsid w:val="00F05B16"/>
    <w:rsid w:val="00F11139"/>
    <w:rsid w:val="00F2213D"/>
    <w:rsid w:val="00F24491"/>
    <w:rsid w:val="00F27B49"/>
    <w:rsid w:val="00F30FE4"/>
    <w:rsid w:val="00F43C51"/>
    <w:rsid w:val="00F44AA2"/>
    <w:rsid w:val="00F515E6"/>
    <w:rsid w:val="00F732EA"/>
    <w:rsid w:val="00F76024"/>
    <w:rsid w:val="00F9309A"/>
    <w:rsid w:val="00F95C2F"/>
    <w:rsid w:val="00F96B15"/>
    <w:rsid w:val="00F9757E"/>
    <w:rsid w:val="00FA006F"/>
    <w:rsid w:val="00FA28E8"/>
    <w:rsid w:val="00FA3D70"/>
    <w:rsid w:val="00FB272A"/>
    <w:rsid w:val="00FD252E"/>
    <w:rsid w:val="00FE0B5A"/>
    <w:rsid w:val="00FE59F1"/>
    <w:rsid w:val="00FE7B2A"/>
    <w:rsid w:val="00FF0EF7"/>
    <w:rsid w:val="00FF6F95"/>
    <w:rsid w:val="020E2058"/>
    <w:rsid w:val="059C5BCD"/>
    <w:rsid w:val="06FC2DC7"/>
    <w:rsid w:val="07091040"/>
    <w:rsid w:val="07CD206E"/>
    <w:rsid w:val="08591B53"/>
    <w:rsid w:val="09CB082F"/>
    <w:rsid w:val="0B260413"/>
    <w:rsid w:val="0B666A61"/>
    <w:rsid w:val="0D727BFD"/>
    <w:rsid w:val="0D957AD2"/>
    <w:rsid w:val="0DCB52A1"/>
    <w:rsid w:val="0ED270A5"/>
    <w:rsid w:val="0FDF6DE2"/>
    <w:rsid w:val="12274A70"/>
    <w:rsid w:val="13405DEA"/>
    <w:rsid w:val="14641FAC"/>
    <w:rsid w:val="14E54E9B"/>
    <w:rsid w:val="14EB6C4F"/>
    <w:rsid w:val="15BD7BC5"/>
    <w:rsid w:val="186662F2"/>
    <w:rsid w:val="1BEA0C9C"/>
    <w:rsid w:val="1C9D42AD"/>
    <w:rsid w:val="1D9236E6"/>
    <w:rsid w:val="1E3D18A3"/>
    <w:rsid w:val="1EAF6852"/>
    <w:rsid w:val="202A40A9"/>
    <w:rsid w:val="223B08AF"/>
    <w:rsid w:val="227700E7"/>
    <w:rsid w:val="26EC2A51"/>
    <w:rsid w:val="274E2D73"/>
    <w:rsid w:val="27BB7CDD"/>
    <w:rsid w:val="28DF17A9"/>
    <w:rsid w:val="290F02E0"/>
    <w:rsid w:val="2B361B54"/>
    <w:rsid w:val="2E6D7F83"/>
    <w:rsid w:val="2EDF2503"/>
    <w:rsid w:val="2EEE1980"/>
    <w:rsid w:val="2F446BE6"/>
    <w:rsid w:val="2F503401"/>
    <w:rsid w:val="2F973FE0"/>
    <w:rsid w:val="2FFD0E93"/>
    <w:rsid w:val="30337FD1"/>
    <w:rsid w:val="316F5DC0"/>
    <w:rsid w:val="325B4596"/>
    <w:rsid w:val="35026F4B"/>
    <w:rsid w:val="36407D2B"/>
    <w:rsid w:val="37E253E6"/>
    <w:rsid w:val="384B0C09"/>
    <w:rsid w:val="38D34E86"/>
    <w:rsid w:val="392303E1"/>
    <w:rsid w:val="3BCD02B3"/>
    <w:rsid w:val="3C432323"/>
    <w:rsid w:val="3D18555E"/>
    <w:rsid w:val="4214206C"/>
    <w:rsid w:val="42FC147E"/>
    <w:rsid w:val="44E65F41"/>
    <w:rsid w:val="45961716"/>
    <w:rsid w:val="45A25A6A"/>
    <w:rsid w:val="4839282C"/>
    <w:rsid w:val="48EB1D78"/>
    <w:rsid w:val="499A554C"/>
    <w:rsid w:val="49CA5E32"/>
    <w:rsid w:val="49F033BE"/>
    <w:rsid w:val="4A7D10F6"/>
    <w:rsid w:val="4AA06B93"/>
    <w:rsid w:val="4AF34F14"/>
    <w:rsid w:val="4B751DCD"/>
    <w:rsid w:val="4CF82CB6"/>
    <w:rsid w:val="4D8E53C8"/>
    <w:rsid w:val="4DEA4CF4"/>
    <w:rsid w:val="4F2A7373"/>
    <w:rsid w:val="5325057D"/>
    <w:rsid w:val="550D1047"/>
    <w:rsid w:val="55CF47D0"/>
    <w:rsid w:val="56E16569"/>
    <w:rsid w:val="58443253"/>
    <w:rsid w:val="5854602E"/>
    <w:rsid w:val="59741263"/>
    <w:rsid w:val="5B2F1F99"/>
    <w:rsid w:val="5B8B1199"/>
    <w:rsid w:val="5C6043D4"/>
    <w:rsid w:val="5C757E7F"/>
    <w:rsid w:val="5CA93FCD"/>
    <w:rsid w:val="5CC2508E"/>
    <w:rsid w:val="5CFD6EC5"/>
    <w:rsid w:val="5DB30870"/>
    <w:rsid w:val="608C39E9"/>
    <w:rsid w:val="676637D1"/>
    <w:rsid w:val="685F19E3"/>
    <w:rsid w:val="6861575B"/>
    <w:rsid w:val="68E02B24"/>
    <w:rsid w:val="698F62F8"/>
    <w:rsid w:val="6D01750D"/>
    <w:rsid w:val="6D997745"/>
    <w:rsid w:val="70A95EF1"/>
    <w:rsid w:val="711A0B9D"/>
    <w:rsid w:val="71341C5F"/>
    <w:rsid w:val="727662A7"/>
    <w:rsid w:val="72C62D8B"/>
    <w:rsid w:val="72F84F0E"/>
    <w:rsid w:val="739A5FC5"/>
    <w:rsid w:val="73BB0416"/>
    <w:rsid w:val="77356731"/>
    <w:rsid w:val="780B0F41"/>
    <w:rsid w:val="7C541407"/>
    <w:rsid w:val="7C8021FC"/>
    <w:rsid w:val="7D6F401F"/>
    <w:rsid w:val="7E1E7F1F"/>
    <w:rsid w:val="7F7D0C7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4"/>
    <w:semiHidden/>
    <w:unhideWhenUsed/>
    <w:qFormat/>
    <w:uiPriority w:val="99"/>
    <w:pPr>
      <w:jc w:val="left"/>
    </w:pPr>
  </w:style>
  <w:style w:type="paragraph" w:styleId="3">
    <w:name w:val="Balloon Text"/>
    <w:basedOn w:val="1"/>
    <w:link w:val="13"/>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annotation subject"/>
    <w:basedOn w:val="2"/>
    <w:next w:val="2"/>
    <w:link w:val="15"/>
    <w:semiHidden/>
    <w:unhideWhenUsed/>
    <w:qFormat/>
    <w:uiPriority w:val="99"/>
    <w:rPr>
      <w:b/>
      <w:bCs/>
    </w:rPr>
  </w:style>
  <w:style w:type="character" w:styleId="9">
    <w:name w:val="line number"/>
    <w:basedOn w:val="8"/>
    <w:semiHidden/>
    <w:unhideWhenUsed/>
    <w:qFormat/>
    <w:uiPriority w:val="99"/>
  </w:style>
  <w:style w:type="character" w:styleId="10">
    <w:name w:val="annotation reference"/>
    <w:basedOn w:val="8"/>
    <w:semiHidden/>
    <w:unhideWhenUsed/>
    <w:qFormat/>
    <w:uiPriority w:val="99"/>
    <w:rPr>
      <w:sz w:val="21"/>
      <w:szCs w:val="21"/>
    </w:rPr>
  </w:style>
  <w:style w:type="character" w:customStyle="1" w:styleId="11">
    <w:name w:val="页眉 Char"/>
    <w:basedOn w:val="8"/>
    <w:link w:val="5"/>
    <w:qFormat/>
    <w:uiPriority w:val="99"/>
    <w:rPr>
      <w:sz w:val="18"/>
      <w:szCs w:val="18"/>
    </w:rPr>
  </w:style>
  <w:style w:type="character" w:customStyle="1" w:styleId="12">
    <w:name w:val="页脚 Char"/>
    <w:basedOn w:val="8"/>
    <w:link w:val="4"/>
    <w:qFormat/>
    <w:uiPriority w:val="99"/>
    <w:rPr>
      <w:sz w:val="18"/>
      <w:szCs w:val="18"/>
    </w:rPr>
  </w:style>
  <w:style w:type="character" w:customStyle="1" w:styleId="13">
    <w:name w:val="批注框文本 Char"/>
    <w:basedOn w:val="8"/>
    <w:link w:val="3"/>
    <w:semiHidden/>
    <w:qFormat/>
    <w:uiPriority w:val="99"/>
    <w:rPr>
      <w:rFonts w:ascii="Times New Roman" w:hAnsi="Times New Roman" w:eastAsia="宋体" w:cs="Times New Roman"/>
      <w:sz w:val="18"/>
      <w:szCs w:val="18"/>
    </w:rPr>
  </w:style>
  <w:style w:type="character" w:customStyle="1" w:styleId="14">
    <w:name w:val="批注文字 Char"/>
    <w:basedOn w:val="8"/>
    <w:link w:val="2"/>
    <w:semiHidden/>
    <w:qFormat/>
    <w:uiPriority w:val="99"/>
    <w:rPr>
      <w:rFonts w:ascii="Times New Roman" w:hAnsi="Times New Roman" w:eastAsia="宋体" w:cs="Times New Roman"/>
      <w:szCs w:val="24"/>
    </w:rPr>
  </w:style>
  <w:style w:type="character" w:customStyle="1" w:styleId="15">
    <w:name w:val="批注主题 Char"/>
    <w:basedOn w:val="14"/>
    <w:link w:val="6"/>
    <w:semiHidden/>
    <w:qFormat/>
    <w:uiPriority w:val="99"/>
    <w:rPr>
      <w:rFonts w:ascii="Times New Roman" w:hAnsi="Times New Roman" w:eastAsia="宋体" w:cs="Times New Roman"/>
      <w:b/>
      <w:bCs/>
      <w:szCs w:val="24"/>
    </w:rPr>
  </w:style>
  <w:style w:type="paragraph" w:customStyle="1" w:styleId="16">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paragraph" w:customStyle="1" w:styleId="17">
    <w:name w:val="修订1"/>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35B25E-7229-4390-962D-6ED2F01EE0A5}">
  <ds:schemaRefs/>
</ds:datastoreItem>
</file>

<file path=docProps/app.xml><?xml version="1.0" encoding="utf-8"?>
<Properties xmlns="http://schemas.openxmlformats.org/officeDocument/2006/extended-properties" xmlns:vt="http://schemas.openxmlformats.org/officeDocument/2006/docPropsVTypes">
  <Template>Normal</Template>
  <Company>CFDA</Company>
  <Pages>29</Pages>
  <Words>2272</Words>
  <Characters>12953</Characters>
  <Lines>107</Lines>
  <Paragraphs>30</Paragraphs>
  <TotalTime>8</TotalTime>
  <ScaleCrop>false</ScaleCrop>
  <LinksUpToDate>false</LinksUpToDate>
  <CharactersWithSpaces>15195</CharactersWithSpaces>
  <Application>WPS Office_12.1.0.26884_F1E327BC-269C-435d-A152-05C5408002CA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2017-02-16T08:53:00Z</dcterms:created>
  <dc:creator>耿欣</dc:creator>
  <cp:lastModifiedBy>PC</cp:lastModifiedBy>
  <dcterms:modified xsi:type="dcterms:W3CDTF">2026-09-15T08:15:09Z</dcterms:modified>
  <cp:revision>243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eyJoZGlkIjoiN2QyNWJkZTA3Y2Y1MzM4NWNmMGI5YTk3MzA4MDE5NjgifQ==</vt:lpwstr>
  </property>
  <property fmtid="{D5CDD505-2E9C-101B-9397-08002B2CF9AE}" pid="3" name="KSOProductBuildVer">
    <vt:lpwstr>2052-12.1.0.26884</vt:lpwstr>
  </property>
  <property fmtid="{D5CDD505-2E9C-101B-9397-08002B2CF9AE}" pid="4" name="ICV">
    <vt:lpwstr>1A46F4FF8050445F84212422682AF64D_12</vt:lpwstr>
  </property>
</Properties>
</file>