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B4D5B">
      <w:pPr>
        <w:spacing w:line="560" w:lineRule="exact"/>
        <w:rPr>
          <w:rFonts w:eastAsia="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1B4D5B">
      <w:pPr>
        <w:spacing w:line="560" w:lineRule="exact"/>
        <w:jc w:val="center"/>
        <w:rPr>
          <w:rFonts w:eastAsia="黑体"/>
          <w:sz w:val="32"/>
          <w:szCs w:val="32"/>
        </w:rPr>
      </w:pPr>
    </w:p>
    <w:p w:rsidR="00000000" w:rsidRDefault="001B4D5B">
      <w:pPr>
        <w:spacing w:line="560" w:lineRule="exact"/>
        <w:jc w:val="center"/>
        <w:rPr>
          <w:rFonts w:eastAsia="方正小标宋简体"/>
          <w:sz w:val="44"/>
          <w:szCs w:val="44"/>
        </w:rPr>
      </w:pPr>
      <w:r>
        <w:rPr>
          <w:rFonts w:eastAsia="方正小标宋简体"/>
          <w:sz w:val="44"/>
          <w:szCs w:val="44"/>
        </w:rPr>
        <w:t>《关于</w:t>
      </w:r>
      <w:r>
        <w:rPr>
          <w:rFonts w:eastAsia="方正小标宋简体" w:hint="eastAsia"/>
          <w:sz w:val="44"/>
          <w:szCs w:val="44"/>
        </w:rPr>
        <w:t>化学</w:t>
      </w:r>
      <w:r>
        <w:rPr>
          <w:rFonts w:eastAsia="方正小标宋简体"/>
          <w:sz w:val="44"/>
          <w:szCs w:val="44"/>
        </w:rPr>
        <w:t>原料药再注册管理等有关事项的</w:t>
      </w:r>
    </w:p>
    <w:p w:rsidR="00000000" w:rsidRDefault="001B4D5B">
      <w:pPr>
        <w:spacing w:line="560" w:lineRule="exact"/>
        <w:jc w:val="center"/>
        <w:rPr>
          <w:rFonts w:eastAsia="方正小标宋简体"/>
          <w:sz w:val="44"/>
          <w:szCs w:val="44"/>
        </w:rPr>
      </w:pPr>
      <w:r>
        <w:rPr>
          <w:rFonts w:eastAsia="方正小标宋简体"/>
          <w:sz w:val="44"/>
          <w:szCs w:val="44"/>
        </w:rPr>
        <w:t>公告</w:t>
      </w:r>
      <w:r>
        <w:rPr>
          <w:rFonts w:eastAsia="方正小标宋简体"/>
          <w:sz w:val="44"/>
          <w:szCs w:val="44"/>
        </w:rPr>
        <w:t>（征求意见稿）》起草说明</w:t>
      </w:r>
    </w:p>
    <w:p w:rsidR="00000000" w:rsidRDefault="001B4D5B">
      <w:pPr>
        <w:spacing w:line="560" w:lineRule="exact"/>
        <w:jc w:val="center"/>
        <w:rPr>
          <w:rFonts w:eastAsia="方正小标宋简体"/>
          <w:sz w:val="44"/>
          <w:szCs w:val="44"/>
        </w:rPr>
      </w:pPr>
    </w:p>
    <w:p w:rsidR="00000000" w:rsidRDefault="001B4D5B">
      <w:pPr>
        <w:numPr>
          <w:ilvl w:val="0"/>
          <w:numId w:val="3"/>
        </w:numPr>
        <w:spacing w:line="560" w:lineRule="exact"/>
        <w:ind w:left="0" w:firstLineChars="200" w:firstLine="640"/>
        <w:rPr>
          <w:rFonts w:eastAsia="黑体"/>
          <w:sz w:val="32"/>
          <w:szCs w:val="32"/>
        </w:rPr>
      </w:pPr>
      <w:r>
        <w:rPr>
          <w:rFonts w:eastAsia="黑体"/>
          <w:sz w:val="32"/>
          <w:szCs w:val="32"/>
        </w:rPr>
        <w:t>起草背景</w:t>
      </w:r>
    </w:p>
    <w:p w:rsidR="00000000" w:rsidRDefault="001B4D5B">
      <w:pPr>
        <w:snapToGrid w:val="0"/>
        <w:spacing w:line="560" w:lineRule="exact"/>
        <w:ind w:firstLineChars="200" w:firstLine="640"/>
        <w:rPr>
          <w:rFonts w:eastAsia="仿宋_GB2312" w:hint="eastAsia"/>
          <w:sz w:val="32"/>
          <w:szCs w:val="32"/>
        </w:rPr>
      </w:pPr>
      <w:r>
        <w:rPr>
          <w:rFonts w:eastAsia="仿宋_GB2312"/>
          <w:sz w:val="32"/>
          <w:szCs w:val="32"/>
          <w:lang w:val="en"/>
        </w:rPr>
        <w:t>2019</w:t>
      </w:r>
      <w:r>
        <w:rPr>
          <w:rFonts w:eastAsia="仿宋_GB2312"/>
          <w:sz w:val="32"/>
          <w:szCs w:val="32"/>
          <w:lang w:val="en"/>
        </w:rPr>
        <w:t>年</w:t>
      </w:r>
      <w:r>
        <w:rPr>
          <w:rFonts w:eastAsia="仿宋_GB2312"/>
          <w:sz w:val="32"/>
          <w:szCs w:val="32"/>
          <w:lang w:val="en"/>
        </w:rPr>
        <w:t>12</w:t>
      </w:r>
      <w:r>
        <w:rPr>
          <w:rFonts w:eastAsia="仿宋_GB2312"/>
          <w:sz w:val="32"/>
          <w:szCs w:val="32"/>
          <w:lang w:val="en"/>
        </w:rPr>
        <w:t>月，新修订《药品管理法》明确，</w:t>
      </w:r>
      <w:r>
        <w:rPr>
          <w:rFonts w:eastAsia="仿宋_GB2312" w:hint="eastAsia"/>
          <w:sz w:val="32"/>
          <w:szCs w:val="32"/>
          <w:lang w:val="en"/>
        </w:rPr>
        <w:t>化学</w:t>
      </w:r>
      <w:r>
        <w:rPr>
          <w:rFonts w:eastAsia="仿宋_GB2312" w:hint="eastAsia"/>
          <w:sz w:val="32"/>
          <w:szCs w:val="32"/>
        </w:rPr>
        <w:t>原料药实施审批制</w:t>
      </w:r>
      <w:r>
        <w:rPr>
          <w:rFonts w:eastAsia="仿宋_GB2312"/>
          <w:sz w:val="32"/>
          <w:szCs w:val="32"/>
          <w:lang w:val="en"/>
        </w:rPr>
        <w:t>，</w:t>
      </w:r>
      <w:r>
        <w:rPr>
          <w:rFonts w:eastAsia="仿宋_GB2312" w:hint="eastAsia"/>
          <w:sz w:val="32"/>
          <w:szCs w:val="32"/>
        </w:rPr>
        <w:t>2020</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sz w:val="32"/>
          <w:szCs w:val="32"/>
          <w:lang w:val="en"/>
        </w:rPr>
        <w:t>，</w:t>
      </w:r>
      <w:r>
        <w:rPr>
          <w:rFonts w:eastAsia="仿宋_GB2312" w:hint="eastAsia"/>
          <w:sz w:val="32"/>
          <w:szCs w:val="32"/>
        </w:rPr>
        <w:t>新修订实施的《药品注册管理办法》进一步明确，对化学原料药实施关联审评审批，审评通过的，发给化学原料药批准通知书。化学原料药仍按药品管理，应当遵守《药品管理法》的规定</w:t>
      </w:r>
      <w:r>
        <w:rPr>
          <w:rFonts w:eastAsia="仿宋_GB2312"/>
          <w:sz w:val="32"/>
          <w:szCs w:val="32"/>
          <w:lang w:val="en"/>
        </w:rPr>
        <w:t>，按照行政许可事项申报审批。</w:t>
      </w:r>
      <w:r>
        <w:rPr>
          <w:rFonts w:eastAsia="仿宋_GB2312" w:hint="eastAsia"/>
          <w:sz w:val="32"/>
          <w:szCs w:val="32"/>
        </w:rPr>
        <w:t>行政许可一般应当设立有效期限，到期后进行延续。我国作为化学原料药生产和出口大国，</w:t>
      </w:r>
      <w:r>
        <w:rPr>
          <w:rFonts w:eastAsia="仿宋_GB2312" w:hint="eastAsia"/>
          <w:color w:val="000000"/>
          <w:sz w:val="32"/>
          <w:szCs w:val="32"/>
          <w:lang w:val="en"/>
        </w:rPr>
        <w:t>对</w:t>
      </w:r>
      <w:r>
        <w:rPr>
          <w:rFonts w:eastAsia="仿宋_GB2312" w:hint="eastAsia"/>
          <w:sz w:val="32"/>
          <w:szCs w:val="32"/>
        </w:rPr>
        <w:t>化学</w:t>
      </w:r>
      <w:r>
        <w:rPr>
          <w:rFonts w:eastAsia="仿宋_GB2312" w:hint="eastAsia"/>
          <w:color w:val="000000"/>
          <w:sz w:val="32"/>
          <w:szCs w:val="32"/>
          <w:lang w:val="en"/>
        </w:rPr>
        <w:t>原料药实施再注册</w:t>
      </w:r>
      <w:r>
        <w:rPr>
          <w:rFonts w:eastAsia="仿宋_GB2312" w:hint="eastAsia"/>
          <w:color w:val="000000"/>
          <w:sz w:val="32"/>
          <w:szCs w:val="32"/>
        </w:rPr>
        <w:t>，</w:t>
      </w:r>
      <w:r>
        <w:rPr>
          <w:rFonts w:eastAsia="仿宋_GB2312" w:hint="eastAsia"/>
          <w:color w:val="000000"/>
          <w:sz w:val="32"/>
          <w:szCs w:val="32"/>
        </w:rPr>
        <w:t>可以在确定的监管周期内对生产能力、质量管理符合情况进行确认，对生产、销售、抽检、变更等情况进行总</w:t>
      </w:r>
      <w:r>
        <w:rPr>
          <w:rFonts w:eastAsia="仿宋_GB2312" w:hint="eastAsia"/>
          <w:color w:val="000000"/>
          <w:sz w:val="32"/>
          <w:szCs w:val="32"/>
        </w:rPr>
        <w:t>结，对于</w:t>
      </w:r>
      <w:r>
        <w:rPr>
          <w:rFonts w:eastAsia="仿宋_GB2312" w:hint="eastAsia"/>
          <w:color w:val="000000"/>
          <w:sz w:val="32"/>
          <w:szCs w:val="32"/>
        </w:rPr>
        <w:t>落实</w:t>
      </w:r>
      <w:r>
        <w:rPr>
          <w:rFonts w:eastAsia="仿宋_GB2312" w:hint="eastAsia"/>
          <w:sz w:val="32"/>
          <w:szCs w:val="32"/>
        </w:rPr>
        <w:t>化学</w:t>
      </w:r>
      <w:r>
        <w:rPr>
          <w:rFonts w:eastAsia="仿宋_GB2312" w:hint="eastAsia"/>
          <w:color w:val="000000"/>
          <w:sz w:val="32"/>
          <w:szCs w:val="32"/>
        </w:rPr>
        <w:t>原料药的属地监管职责、强化</w:t>
      </w:r>
      <w:r>
        <w:rPr>
          <w:rFonts w:eastAsia="仿宋_GB2312" w:hint="eastAsia"/>
          <w:sz w:val="32"/>
          <w:szCs w:val="32"/>
        </w:rPr>
        <w:t>化学</w:t>
      </w:r>
      <w:r>
        <w:rPr>
          <w:rFonts w:eastAsia="仿宋_GB2312" w:hint="eastAsia"/>
          <w:color w:val="000000"/>
          <w:sz w:val="32"/>
          <w:szCs w:val="32"/>
        </w:rPr>
        <w:t>原料药生产企业的主体责任</w:t>
      </w:r>
      <w:r>
        <w:rPr>
          <w:rFonts w:eastAsia="仿宋_GB2312" w:hint="eastAsia"/>
          <w:color w:val="000000"/>
          <w:sz w:val="32"/>
          <w:szCs w:val="32"/>
        </w:rPr>
        <w:t>、</w:t>
      </w:r>
      <w:r>
        <w:rPr>
          <w:rFonts w:eastAsia="仿宋_GB2312" w:hint="eastAsia"/>
          <w:sz w:val="32"/>
          <w:szCs w:val="32"/>
        </w:rPr>
        <w:t>确保药品质量安全</w:t>
      </w:r>
      <w:r>
        <w:rPr>
          <w:rFonts w:eastAsia="仿宋_GB2312" w:hint="eastAsia"/>
          <w:color w:val="000000"/>
          <w:sz w:val="32"/>
          <w:szCs w:val="32"/>
        </w:rPr>
        <w:t>具有重要意义。</w:t>
      </w:r>
      <w:r>
        <w:rPr>
          <w:rFonts w:eastAsia="仿宋_GB2312" w:hint="eastAsia"/>
          <w:color w:val="000000"/>
          <w:sz w:val="32"/>
          <w:szCs w:val="32"/>
        </w:rPr>
        <w:t>为进一步</w:t>
      </w:r>
      <w:r>
        <w:rPr>
          <w:rFonts w:eastAsia="仿宋_GB2312" w:hint="eastAsia"/>
          <w:sz w:val="32"/>
          <w:szCs w:val="32"/>
        </w:rPr>
        <w:t>完善</w:t>
      </w:r>
      <w:r>
        <w:rPr>
          <w:rFonts w:eastAsia="仿宋_GB2312"/>
          <w:sz w:val="32"/>
          <w:szCs w:val="32"/>
          <w:lang w:val="en"/>
        </w:rPr>
        <w:t>明确</w:t>
      </w:r>
      <w:r>
        <w:rPr>
          <w:rFonts w:eastAsia="仿宋_GB2312" w:hint="eastAsia"/>
          <w:sz w:val="32"/>
          <w:szCs w:val="32"/>
        </w:rPr>
        <w:t>化学原料药再注册管理要求，国家药监局</w:t>
      </w:r>
      <w:r>
        <w:rPr>
          <w:rFonts w:eastAsia="仿宋_GB2312"/>
          <w:sz w:val="32"/>
          <w:szCs w:val="32"/>
        </w:rPr>
        <w:t>结合工作实际，起草了</w:t>
      </w:r>
      <w:r>
        <w:rPr>
          <w:rFonts w:eastAsia="仿宋_GB2312" w:hint="eastAsia"/>
          <w:sz w:val="32"/>
          <w:szCs w:val="32"/>
        </w:rPr>
        <w:t>《</w:t>
      </w:r>
      <w:r>
        <w:rPr>
          <w:rFonts w:eastAsia="仿宋_GB2312" w:hint="eastAsia"/>
          <w:sz w:val="32"/>
          <w:szCs w:val="32"/>
        </w:rPr>
        <w:t>关于</w:t>
      </w:r>
      <w:r>
        <w:rPr>
          <w:rFonts w:eastAsia="仿宋_GB2312" w:hint="eastAsia"/>
          <w:sz w:val="32"/>
          <w:szCs w:val="32"/>
        </w:rPr>
        <w:t>化学</w:t>
      </w:r>
      <w:r>
        <w:rPr>
          <w:rFonts w:eastAsia="仿宋_GB2312" w:hint="eastAsia"/>
          <w:sz w:val="32"/>
          <w:szCs w:val="32"/>
        </w:rPr>
        <w:t>原料药再注册管理等有关事项的公告</w:t>
      </w:r>
      <w:r>
        <w:rPr>
          <w:rFonts w:eastAsia="仿宋_GB2312" w:hint="eastAsia"/>
          <w:sz w:val="32"/>
          <w:szCs w:val="32"/>
        </w:rPr>
        <w:t>（征求意见稿）》。</w:t>
      </w:r>
    </w:p>
    <w:p w:rsidR="00000000" w:rsidRDefault="001B4D5B">
      <w:pPr>
        <w:snapToGrid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二、起草过程</w:t>
      </w:r>
    </w:p>
    <w:p w:rsidR="00000000" w:rsidRDefault="001B4D5B">
      <w:pPr>
        <w:snapToGrid w:val="0"/>
        <w:spacing w:line="560" w:lineRule="exact"/>
        <w:ind w:firstLineChars="200" w:firstLine="640"/>
        <w:rPr>
          <w:rFonts w:eastAsia="仿宋_GB2312" w:hint="eastAsia"/>
          <w:sz w:val="32"/>
          <w:szCs w:val="32"/>
          <w:lang w:val="en"/>
        </w:rPr>
      </w:pPr>
      <w:r>
        <w:rPr>
          <w:rFonts w:eastAsia="仿宋_GB2312" w:hint="eastAsia"/>
          <w:sz w:val="32"/>
          <w:szCs w:val="32"/>
        </w:rPr>
        <w:t>为落实《药品注册管理办法》要求，国家药监局正在对通过审评审批的化学原料药逐批发放化学原料药批准通知书，同时对已在化学原料药信息</w:t>
      </w:r>
      <w:r>
        <w:rPr>
          <w:rFonts w:eastAsia="仿宋_GB2312" w:hint="eastAsia"/>
          <w:sz w:val="32"/>
          <w:szCs w:val="32"/>
        </w:rPr>
        <w:t>平台登记的</w:t>
      </w:r>
      <w:r>
        <w:rPr>
          <w:rFonts w:eastAsia="仿宋_GB2312" w:hint="eastAsia"/>
          <w:sz w:val="32"/>
          <w:szCs w:val="32"/>
        </w:rPr>
        <w:t>化学</w:t>
      </w:r>
      <w:r>
        <w:rPr>
          <w:rFonts w:eastAsia="仿宋_GB2312" w:hint="eastAsia"/>
          <w:sz w:val="32"/>
          <w:szCs w:val="32"/>
        </w:rPr>
        <w:t>原料药</w:t>
      </w:r>
      <w:r>
        <w:rPr>
          <w:rFonts w:eastAsia="仿宋_GB2312" w:hint="eastAsia"/>
          <w:sz w:val="32"/>
          <w:szCs w:val="32"/>
        </w:rPr>
        <w:t>开展研究，按照是否</w:t>
      </w:r>
      <w:r>
        <w:rPr>
          <w:rFonts w:eastAsia="仿宋_GB2312" w:hint="eastAsia"/>
          <w:sz w:val="32"/>
          <w:szCs w:val="32"/>
        </w:rPr>
        <w:lastRenderedPageBreak/>
        <w:t>获得批准文号、批准文号有效期是否已到期等情形进行分类梳理，根据实际情况分别提出不同的再注册工作举措</w:t>
      </w:r>
      <w:r>
        <w:rPr>
          <w:rFonts w:eastAsia="仿宋_GB2312" w:hint="eastAsia"/>
          <w:sz w:val="32"/>
          <w:szCs w:val="32"/>
        </w:rPr>
        <w:t>，形成《</w:t>
      </w:r>
      <w:r>
        <w:rPr>
          <w:rFonts w:eastAsia="仿宋_GB2312" w:hint="eastAsia"/>
          <w:sz w:val="32"/>
          <w:szCs w:val="32"/>
        </w:rPr>
        <w:t>关于</w:t>
      </w:r>
      <w:r>
        <w:rPr>
          <w:rFonts w:eastAsia="仿宋_GB2312" w:hint="eastAsia"/>
          <w:sz w:val="32"/>
          <w:szCs w:val="32"/>
        </w:rPr>
        <w:t>化学</w:t>
      </w:r>
      <w:r>
        <w:rPr>
          <w:rFonts w:eastAsia="仿宋_GB2312" w:hint="eastAsia"/>
          <w:sz w:val="32"/>
          <w:szCs w:val="32"/>
        </w:rPr>
        <w:t>原料药再注册管理等有关事项的公告</w:t>
      </w:r>
      <w:r>
        <w:rPr>
          <w:rFonts w:eastAsia="仿宋_GB2312" w:hint="eastAsia"/>
          <w:sz w:val="32"/>
          <w:szCs w:val="32"/>
        </w:rPr>
        <w:t>（</w:t>
      </w:r>
      <w:r>
        <w:rPr>
          <w:rFonts w:eastAsia="仿宋_GB2312"/>
          <w:sz w:val="32"/>
          <w:szCs w:val="32"/>
        </w:rPr>
        <w:t>征求意见稿）》。</w:t>
      </w:r>
    </w:p>
    <w:p w:rsidR="00000000" w:rsidRDefault="001B4D5B">
      <w:pPr>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主要内容及相关考虑</w:t>
      </w:r>
    </w:p>
    <w:p w:rsidR="00000000" w:rsidRDefault="001B4D5B">
      <w:pPr>
        <w:snapToGrid w:val="0"/>
        <w:spacing w:line="560" w:lineRule="exact"/>
        <w:ind w:firstLineChars="200" w:firstLine="640"/>
        <w:rPr>
          <w:rFonts w:eastAsia="仿宋_GB2312"/>
          <w:sz w:val="32"/>
          <w:szCs w:val="32"/>
        </w:rPr>
      </w:pPr>
      <w:r>
        <w:rPr>
          <w:rFonts w:eastAsia="楷体_GB2312"/>
          <w:sz w:val="32"/>
          <w:szCs w:val="32"/>
        </w:rPr>
        <w:t>（一）关于化学原料药批准通知书的发放。</w:t>
      </w:r>
      <w:r>
        <w:rPr>
          <w:rFonts w:eastAsia="仿宋_GB2312"/>
          <w:sz w:val="32"/>
          <w:szCs w:val="32"/>
        </w:rPr>
        <w:t>根据《药品注册管理办法》要求，化学原料药关联审评通过的或者单独审评通过的，发给</w:t>
      </w:r>
      <w:r>
        <w:rPr>
          <w:rFonts w:eastAsia="仿宋_GB2312" w:hint="eastAsia"/>
          <w:sz w:val="32"/>
          <w:szCs w:val="32"/>
        </w:rPr>
        <w:t>化学</w:t>
      </w:r>
      <w:r>
        <w:rPr>
          <w:rFonts w:eastAsia="仿宋_GB2312"/>
          <w:sz w:val="32"/>
          <w:szCs w:val="32"/>
        </w:rPr>
        <w:t>原料药批准通知书及核准后的生产工艺、质量标准和标签。</w:t>
      </w:r>
      <w:r>
        <w:rPr>
          <w:rFonts w:eastAsia="仿宋_GB2312" w:hint="eastAsia"/>
          <w:sz w:val="32"/>
          <w:szCs w:val="32"/>
        </w:rPr>
        <w:t>为贯彻落实</w:t>
      </w:r>
      <w:r>
        <w:rPr>
          <w:rFonts w:eastAsia="仿宋_GB2312"/>
          <w:sz w:val="32"/>
          <w:szCs w:val="32"/>
        </w:rPr>
        <w:t>《药品注册管理办法》</w:t>
      </w:r>
      <w:r>
        <w:rPr>
          <w:rFonts w:eastAsia="仿宋_GB2312" w:hint="eastAsia"/>
          <w:sz w:val="32"/>
          <w:szCs w:val="32"/>
        </w:rPr>
        <w:t>，征求意见稿细化明确了批准通知书的发放要求。</w:t>
      </w:r>
      <w:r>
        <w:rPr>
          <w:rFonts w:eastAsia="仿宋_GB2312"/>
          <w:sz w:val="32"/>
          <w:szCs w:val="32"/>
        </w:rPr>
        <w:t>一是对于已有批准文号</w:t>
      </w:r>
      <w:r>
        <w:rPr>
          <w:rFonts w:eastAsia="仿宋_GB2312" w:hint="eastAsia"/>
          <w:sz w:val="32"/>
          <w:szCs w:val="32"/>
        </w:rPr>
        <w:t>（包括进口注册证号）</w:t>
      </w:r>
      <w:r>
        <w:rPr>
          <w:rFonts w:eastAsia="仿宋_GB2312"/>
          <w:sz w:val="32"/>
          <w:szCs w:val="32"/>
        </w:rPr>
        <w:t>的</w:t>
      </w:r>
      <w:r>
        <w:rPr>
          <w:rFonts w:eastAsia="仿宋_GB2312" w:hint="eastAsia"/>
          <w:sz w:val="32"/>
          <w:szCs w:val="32"/>
        </w:rPr>
        <w:t>化学</w:t>
      </w:r>
      <w:r>
        <w:rPr>
          <w:rFonts w:eastAsia="仿宋_GB2312"/>
          <w:sz w:val="32"/>
          <w:szCs w:val="32"/>
        </w:rPr>
        <w:t>原料药，企业已获得批准证明文件，不再发给批准通知书。二是</w:t>
      </w:r>
      <w:r>
        <w:rPr>
          <w:rFonts w:eastAsia="仿宋_GB2312" w:hint="eastAsia"/>
          <w:sz w:val="32"/>
          <w:szCs w:val="32"/>
        </w:rPr>
        <w:t>化学</w:t>
      </w:r>
      <w:r>
        <w:rPr>
          <w:rFonts w:eastAsia="仿宋_GB2312"/>
          <w:sz w:val="32"/>
          <w:szCs w:val="32"/>
        </w:rPr>
        <w:t>原料药</w:t>
      </w:r>
      <w:r>
        <w:rPr>
          <w:rFonts w:eastAsia="仿宋_GB2312" w:hint="eastAsia"/>
          <w:sz w:val="32"/>
          <w:szCs w:val="32"/>
        </w:rPr>
        <w:t>按药品管理，注册监管周期与药品一致，</w:t>
      </w:r>
      <w:r>
        <w:rPr>
          <w:rFonts w:eastAsia="仿宋_GB2312" w:hint="eastAsia"/>
          <w:sz w:val="32"/>
          <w:szCs w:val="32"/>
        </w:rPr>
        <w:t>化学</w:t>
      </w:r>
      <w:r>
        <w:rPr>
          <w:rFonts w:eastAsia="仿宋_GB2312" w:hint="eastAsia"/>
          <w:sz w:val="32"/>
          <w:szCs w:val="32"/>
        </w:rPr>
        <w:t>原料药</w:t>
      </w:r>
      <w:r>
        <w:rPr>
          <w:rFonts w:eastAsia="仿宋_GB2312"/>
          <w:sz w:val="32"/>
          <w:szCs w:val="32"/>
        </w:rPr>
        <w:t>批准通知书中将载</w:t>
      </w:r>
      <w:r>
        <w:rPr>
          <w:rFonts w:eastAsia="仿宋_GB2312"/>
          <w:sz w:val="32"/>
          <w:szCs w:val="32"/>
        </w:rPr>
        <w:t>明有效期</w:t>
      </w:r>
      <w:r>
        <w:rPr>
          <w:rFonts w:eastAsia="仿宋_GB2312"/>
          <w:sz w:val="32"/>
          <w:szCs w:val="32"/>
        </w:rPr>
        <w:t>5</w:t>
      </w:r>
      <w:r>
        <w:rPr>
          <w:rFonts w:eastAsia="仿宋_GB2312"/>
          <w:sz w:val="32"/>
          <w:szCs w:val="32"/>
        </w:rPr>
        <w:t>年，自批准之日起算</w:t>
      </w:r>
      <w:r>
        <w:rPr>
          <w:rFonts w:eastAsia="仿宋_GB2312"/>
          <w:sz w:val="32"/>
          <w:szCs w:val="32"/>
        </w:rPr>
        <w:t>。</w:t>
      </w:r>
    </w:p>
    <w:p w:rsidR="00000000" w:rsidRDefault="001B4D5B">
      <w:pPr>
        <w:snapToGrid w:val="0"/>
        <w:spacing w:line="560" w:lineRule="exact"/>
        <w:ind w:firstLineChars="200" w:firstLine="640"/>
        <w:rPr>
          <w:rFonts w:eastAsia="仿宋_GB2312"/>
          <w:sz w:val="32"/>
          <w:szCs w:val="32"/>
        </w:rPr>
      </w:pPr>
      <w:r>
        <w:rPr>
          <w:rFonts w:eastAsia="仿宋_GB2312"/>
          <w:sz w:val="32"/>
          <w:szCs w:val="32"/>
        </w:rPr>
        <w:t>该批准通知书为</w:t>
      </w:r>
      <w:r>
        <w:rPr>
          <w:rFonts w:eastAsia="仿宋_GB2312" w:hint="eastAsia"/>
          <w:sz w:val="32"/>
          <w:szCs w:val="32"/>
        </w:rPr>
        <w:t>化学</w:t>
      </w:r>
      <w:r>
        <w:rPr>
          <w:rFonts w:eastAsia="仿宋_GB2312"/>
          <w:sz w:val="32"/>
          <w:szCs w:val="32"/>
        </w:rPr>
        <w:t>原料药批准证明文件，与</w:t>
      </w:r>
      <w:r>
        <w:rPr>
          <w:rFonts w:eastAsia="仿宋_GB2312" w:hint="eastAsia"/>
          <w:sz w:val="32"/>
          <w:szCs w:val="32"/>
        </w:rPr>
        <w:t>关联审评审批政策实施前</w:t>
      </w:r>
      <w:r>
        <w:rPr>
          <w:rFonts w:eastAsia="仿宋_GB2312"/>
          <w:sz w:val="32"/>
          <w:szCs w:val="32"/>
        </w:rPr>
        <w:t>发放的</w:t>
      </w:r>
      <w:r>
        <w:rPr>
          <w:rFonts w:eastAsia="仿宋_GB2312" w:hint="eastAsia"/>
          <w:sz w:val="32"/>
          <w:szCs w:val="32"/>
        </w:rPr>
        <w:t>化学</w:t>
      </w:r>
      <w:r>
        <w:rPr>
          <w:rFonts w:eastAsia="仿宋_GB2312"/>
          <w:sz w:val="32"/>
          <w:szCs w:val="32"/>
        </w:rPr>
        <w:t>原料药批件具有同等的效力。</w:t>
      </w:r>
    </w:p>
    <w:p w:rsidR="00000000" w:rsidRDefault="001B4D5B">
      <w:pPr>
        <w:snapToGrid w:val="0"/>
        <w:spacing w:line="560" w:lineRule="exact"/>
        <w:ind w:firstLineChars="200" w:firstLine="640"/>
        <w:rPr>
          <w:rFonts w:eastAsia="仿宋_GB2312" w:hint="eastAsia"/>
          <w:sz w:val="32"/>
          <w:szCs w:val="32"/>
        </w:rPr>
      </w:pPr>
      <w:r>
        <w:rPr>
          <w:rFonts w:ascii="楷体_GB2312" w:eastAsia="楷体_GB2312" w:hAnsi="楷体_GB2312" w:cs="楷体_GB2312" w:hint="eastAsia"/>
          <w:sz w:val="32"/>
          <w:szCs w:val="32"/>
        </w:rPr>
        <w:t>（二）关于过渡期的设置。</w:t>
      </w:r>
      <w:r>
        <w:rPr>
          <w:rFonts w:eastAsia="仿宋_GB2312" w:hint="eastAsia"/>
          <w:sz w:val="32"/>
          <w:szCs w:val="32"/>
        </w:rPr>
        <w:t>化学</w:t>
      </w:r>
      <w:r>
        <w:rPr>
          <w:rFonts w:eastAsia="仿宋_GB2312"/>
          <w:sz w:val="32"/>
          <w:szCs w:val="32"/>
        </w:rPr>
        <w:t>原</w:t>
      </w:r>
      <w:r>
        <w:rPr>
          <w:rFonts w:eastAsia="仿宋_GB2312" w:hint="eastAsia"/>
          <w:sz w:val="32"/>
          <w:szCs w:val="32"/>
        </w:rPr>
        <w:t>料</w:t>
      </w:r>
      <w:r>
        <w:rPr>
          <w:rFonts w:eastAsia="仿宋_GB2312" w:hint="eastAsia"/>
          <w:sz w:val="32"/>
          <w:szCs w:val="32"/>
        </w:rPr>
        <w:t>药</w:t>
      </w:r>
      <w:r>
        <w:rPr>
          <w:rFonts w:eastAsia="仿宋_GB2312" w:hint="eastAsia"/>
          <w:sz w:val="32"/>
          <w:szCs w:val="32"/>
        </w:rPr>
        <w:t>按</w:t>
      </w:r>
      <w:r>
        <w:rPr>
          <w:rFonts w:eastAsia="仿宋_GB2312"/>
          <w:sz w:val="32"/>
          <w:szCs w:val="32"/>
        </w:rPr>
        <w:t>照</w:t>
      </w:r>
      <w:r>
        <w:rPr>
          <w:rFonts w:eastAsia="仿宋_GB2312" w:hint="eastAsia"/>
          <w:sz w:val="32"/>
          <w:szCs w:val="32"/>
        </w:rPr>
        <w:t>药品管理</w:t>
      </w:r>
      <w:r>
        <w:rPr>
          <w:rFonts w:eastAsia="仿宋_GB2312" w:hint="eastAsia"/>
          <w:sz w:val="32"/>
          <w:szCs w:val="32"/>
        </w:rPr>
        <w:t>，其再注册工作应遵循药品再注册的一般工作要求。在具体实施方式上，考虑到目前</w:t>
      </w:r>
      <w:r>
        <w:rPr>
          <w:rFonts w:eastAsia="仿宋_GB2312" w:hint="eastAsia"/>
          <w:sz w:val="32"/>
          <w:szCs w:val="32"/>
        </w:rPr>
        <w:t>化学</w:t>
      </w:r>
      <w:r>
        <w:rPr>
          <w:rFonts w:eastAsia="仿宋_GB2312" w:hint="eastAsia"/>
          <w:sz w:val="32"/>
          <w:szCs w:val="32"/>
        </w:rPr>
        <w:t>原料药</w:t>
      </w:r>
      <w:r>
        <w:rPr>
          <w:rFonts w:eastAsia="仿宋_GB2312" w:hint="eastAsia"/>
          <w:sz w:val="32"/>
          <w:szCs w:val="32"/>
        </w:rPr>
        <w:t>批准证明文件剩余有效期情况不一的实际情况，为了确保工作平稳开展，预留登记人准备申报资料的时间以及再注册审评审批时间，给予</w:t>
      </w:r>
      <w:r>
        <w:rPr>
          <w:rFonts w:eastAsia="仿宋_GB2312" w:hint="eastAsia"/>
          <w:sz w:val="32"/>
          <w:szCs w:val="32"/>
        </w:rPr>
        <w:t>1</w:t>
      </w:r>
      <w:r>
        <w:rPr>
          <w:rFonts w:eastAsia="仿宋_GB2312" w:hint="eastAsia"/>
          <w:sz w:val="32"/>
          <w:szCs w:val="32"/>
        </w:rPr>
        <w:t>年的过渡期。</w:t>
      </w:r>
    </w:p>
    <w:p w:rsidR="00000000" w:rsidRDefault="001B4D5B">
      <w:pPr>
        <w:snapToGrid w:val="0"/>
        <w:spacing w:line="560" w:lineRule="exact"/>
        <w:ind w:firstLineChars="200" w:firstLine="640"/>
        <w:rPr>
          <w:rFonts w:eastAsia="仿宋_GB2312" w:hint="eastAsia"/>
          <w:sz w:val="32"/>
          <w:szCs w:val="32"/>
          <w:lang w:bidi="ar"/>
        </w:rPr>
      </w:pPr>
      <w:r>
        <w:rPr>
          <w:rFonts w:ascii="楷体_GB2312" w:eastAsia="楷体_GB2312" w:hAnsi="楷体_GB2312" w:cs="楷体_GB2312" w:hint="eastAsia"/>
          <w:sz w:val="32"/>
          <w:szCs w:val="32"/>
        </w:rPr>
        <w:t>（三）关于再注册的分类处理。</w:t>
      </w:r>
      <w:r>
        <w:rPr>
          <w:rFonts w:eastAsia="仿宋_GB2312" w:hint="eastAsia"/>
          <w:sz w:val="32"/>
          <w:szCs w:val="32"/>
        </w:rPr>
        <w:t>根据已在</w:t>
      </w:r>
      <w:r>
        <w:rPr>
          <w:rFonts w:eastAsia="仿宋_GB2312" w:hint="eastAsia"/>
          <w:sz w:val="32"/>
          <w:szCs w:val="32"/>
        </w:rPr>
        <w:t>化学原料药信息</w:t>
      </w:r>
      <w:r>
        <w:rPr>
          <w:rFonts w:eastAsia="仿宋_GB2312" w:hint="eastAsia"/>
          <w:sz w:val="32"/>
          <w:szCs w:val="32"/>
        </w:rPr>
        <w:t>平台</w:t>
      </w:r>
      <w:r>
        <w:rPr>
          <w:rFonts w:eastAsia="仿宋_GB2312" w:hint="eastAsia"/>
          <w:sz w:val="32"/>
          <w:szCs w:val="32"/>
        </w:rPr>
        <w:t>登记的化学原料药批准证明文件剩余有效期的情况进行分类处理：一</w:t>
      </w:r>
      <w:r>
        <w:rPr>
          <w:rFonts w:eastAsia="仿宋_GB2312" w:hint="eastAsia"/>
          <w:sz w:val="32"/>
          <w:szCs w:val="32"/>
        </w:rPr>
        <w:t>是剩余有效期在</w:t>
      </w:r>
      <w:r>
        <w:rPr>
          <w:rFonts w:eastAsia="仿宋_GB2312" w:hint="eastAsia"/>
          <w:sz w:val="32"/>
          <w:szCs w:val="32"/>
        </w:rPr>
        <w:t>6</w:t>
      </w:r>
      <w:r>
        <w:rPr>
          <w:rFonts w:eastAsia="仿宋_GB2312" w:hint="eastAsia"/>
          <w:sz w:val="32"/>
          <w:szCs w:val="32"/>
        </w:rPr>
        <w:t>个月以上的，</w:t>
      </w:r>
      <w:r>
        <w:rPr>
          <w:rFonts w:eastAsia="仿宋_GB2312" w:hint="eastAsia"/>
          <w:sz w:val="32"/>
          <w:szCs w:val="32"/>
          <w:lang w:bidi="ar"/>
        </w:rPr>
        <w:t>登记人在</w:t>
      </w:r>
      <w:r>
        <w:rPr>
          <w:rFonts w:eastAsia="仿宋_GB2312" w:hint="eastAsia"/>
          <w:sz w:val="32"/>
          <w:szCs w:val="32"/>
        </w:rPr>
        <w:t>批准文号</w:t>
      </w:r>
      <w:r>
        <w:rPr>
          <w:rFonts w:eastAsia="仿宋_GB2312" w:hint="eastAsia"/>
          <w:sz w:val="32"/>
          <w:szCs w:val="32"/>
          <w:lang w:bidi="ar"/>
        </w:rPr>
        <w:t>或批</w:t>
      </w:r>
      <w:r>
        <w:rPr>
          <w:rFonts w:eastAsia="仿宋_GB2312" w:hint="eastAsia"/>
          <w:sz w:val="32"/>
          <w:szCs w:val="32"/>
          <w:lang w:bidi="ar"/>
        </w:rPr>
        <w:lastRenderedPageBreak/>
        <w:t>准通知书有效期届满前</w:t>
      </w:r>
      <w:r>
        <w:rPr>
          <w:rFonts w:eastAsia="仿宋_GB2312" w:hint="eastAsia"/>
          <w:sz w:val="32"/>
          <w:szCs w:val="32"/>
          <w:lang w:bidi="ar"/>
        </w:rPr>
        <w:t>6</w:t>
      </w:r>
      <w:r>
        <w:rPr>
          <w:rFonts w:eastAsia="仿宋_GB2312" w:hint="eastAsia"/>
          <w:sz w:val="32"/>
          <w:szCs w:val="32"/>
          <w:lang w:bidi="ar"/>
        </w:rPr>
        <w:t>个月申请再注册；剩余有效期不满</w:t>
      </w:r>
      <w:r>
        <w:rPr>
          <w:rFonts w:eastAsia="仿宋_GB2312" w:hint="eastAsia"/>
          <w:sz w:val="32"/>
          <w:szCs w:val="32"/>
          <w:lang w:bidi="ar"/>
        </w:rPr>
        <w:t>6</w:t>
      </w:r>
      <w:r>
        <w:rPr>
          <w:rFonts w:eastAsia="仿宋_GB2312" w:hint="eastAsia"/>
          <w:sz w:val="32"/>
          <w:szCs w:val="32"/>
          <w:lang w:bidi="ar"/>
        </w:rPr>
        <w:t>个月及已过期的，统一给予</w:t>
      </w:r>
      <w:r>
        <w:rPr>
          <w:rFonts w:eastAsia="仿宋_GB2312" w:hint="eastAsia"/>
          <w:sz w:val="32"/>
          <w:szCs w:val="32"/>
          <w:lang w:bidi="ar"/>
        </w:rPr>
        <w:t>1</w:t>
      </w:r>
      <w:r>
        <w:rPr>
          <w:rFonts w:eastAsia="仿宋_GB2312" w:hint="eastAsia"/>
          <w:sz w:val="32"/>
          <w:szCs w:val="32"/>
          <w:lang w:bidi="ar"/>
        </w:rPr>
        <w:t>年过渡期，登记人应在过渡期内提出再注册申请；二是过渡期内，</w:t>
      </w:r>
      <w:r>
        <w:rPr>
          <w:rFonts w:eastAsia="仿宋_GB2312" w:hint="eastAsia"/>
          <w:sz w:val="32"/>
          <w:szCs w:val="32"/>
        </w:rPr>
        <w:t>化学</w:t>
      </w:r>
      <w:r>
        <w:rPr>
          <w:rFonts w:eastAsia="仿宋_GB2312" w:hint="eastAsia"/>
          <w:sz w:val="32"/>
          <w:szCs w:val="32"/>
          <w:lang w:bidi="ar"/>
        </w:rPr>
        <w:t>原料药仍保持标识为</w:t>
      </w:r>
      <w:r>
        <w:rPr>
          <w:rFonts w:eastAsia="仿宋_GB2312" w:hint="eastAsia"/>
          <w:sz w:val="32"/>
          <w:szCs w:val="32"/>
          <w:lang w:bidi="ar"/>
        </w:rPr>
        <w:t>A</w:t>
      </w:r>
      <w:r>
        <w:rPr>
          <w:rFonts w:eastAsia="仿宋_GB2312" w:hint="eastAsia"/>
          <w:sz w:val="32"/>
          <w:szCs w:val="32"/>
          <w:lang w:bidi="ar"/>
        </w:rPr>
        <w:t>，登记人有变更需求的，可以对变更开展研究，进行补充申请或备案；三是过渡期满后，根据登记人申报再注册情况以及再注册审批结论实施分类处理。</w:t>
      </w:r>
    </w:p>
    <w:p w:rsidR="00000000" w:rsidRDefault="001B4D5B">
      <w:pPr>
        <w:snapToGrid w:val="0"/>
        <w:spacing w:line="560" w:lineRule="exact"/>
        <w:ind w:firstLineChars="200" w:firstLine="640"/>
        <w:rPr>
          <w:rFonts w:eastAsia="仿宋_GB2312"/>
          <w:sz w:val="32"/>
          <w:szCs w:val="32"/>
          <w:lang w:bidi="ar"/>
        </w:rPr>
      </w:pPr>
      <w:r>
        <w:rPr>
          <w:rFonts w:eastAsia="楷体_GB2312"/>
          <w:sz w:val="32"/>
          <w:szCs w:val="32"/>
          <w:lang w:bidi="ar"/>
        </w:rPr>
        <w:t>（四）关于登记号注销。</w:t>
      </w:r>
      <w:r>
        <w:rPr>
          <w:rFonts w:eastAsia="仿宋_GB2312" w:hint="eastAsia"/>
          <w:sz w:val="32"/>
          <w:szCs w:val="32"/>
          <w:lang w:bidi="ar"/>
        </w:rPr>
        <w:t>工作实践中，部分登记人因企业自身策略决定，提出注销登记号的需求，另外根据《药品注册管理办法》要求，省级药品监管部门或药审中心对药品再注册申请进行</w:t>
      </w:r>
      <w:r>
        <w:rPr>
          <w:rFonts w:eastAsia="仿宋_GB2312" w:hint="eastAsia"/>
          <w:sz w:val="32"/>
          <w:szCs w:val="32"/>
          <w:lang w:bidi="ar"/>
        </w:rPr>
        <w:t>审查，不符合规定的，不予再注册，并报请国家药监局注销药品注册证书。因此，有必要明确登记号注销的相关要求。征求意见稿中，分别对依申请注销、不予再注册导致的注销进行了细化明确。</w:t>
      </w:r>
    </w:p>
    <w:p w:rsidR="001B4D5B" w:rsidRDefault="001B4D5B">
      <w:pPr>
        <w:rPr>
          <w:rFonts w:ascii="仿宋_GB2312" w:eastAsia="仿宋_GB2312" w:hint="eastAsia"/>
          <w:sz w:val="28"/>
          <w:szCs w:val="28"/>
        </w:rPr>
      </w:pPr>
    </w:p>
    <w:sectPr w:rsidR="001B4D5B" w:rsidSect="00D63A67">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D5B" w:rsidRDefault="001B4D5B">
      <w:r>
        <w:separator/>
      </w:r>
    </w:p>
  </w:endnote>
  <w:endnote w:type="continuationSeparator" w:id="0">
    <w:p w:rsidR="001B4D5B" w:rsidRDefault="001B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4D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927EB">
    <w:pPr>
      <w:pStyle w:val="a5"/>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57785" cy="131445"/>
              <wp:effectExtent l="0" t="2540" r="3175"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B4D5B">
                          <w:pPr>
                            <w:pStyle w:val="a5"/>
                          </w:pPr>
                          <w:r>
                            <w:fldChar w:fldCharType="begin"/>
                          </w:r>
                          <w:r>
                            <w:instrText xml:space="preserve"> PAGE  \* MERGEFORMAT </w:instrText>
                          </w:r>
                          <w:r>
                            <w:fldChar w:fldCharType="separate"/>
                          </w:r>
                          <w:r w:rsidR="00D63A67">
                            <w:rPr>
                              <w:noProof/>
                            </w:rPr>
                            <w:t>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46.65pt;margin-top:0;width:4.55pt;height:10.3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" filled="f" stroked="f">
              <v:textbox style="mso-fit-shape-to-text:t" inset="0,0,0,0">
                <w:txbxContent>
                  <w:p w:rsidR="00000000" w:rsidRDefault="001B4D5B">
                    <w:pPr>
                      <w:pStyle w:val="a5"/>
                    </w:pPr>
                    <w:r>
                      <w:fldChar w:fldCharType="begin"/>
                    </w:r>
                    <w:r>
                      <w:instrText xml:space="preserve"> PAGE  \* MERGEFORMAT </w:instrText>
                    </w:r>
                    <w:r>
                      <w:fldChar w:fldCharType="separate"/>
                    </w:r>
                    <w:r w:rsidR="00D63A67">
                      <w:rPr>
                        <w:noProof/>
                      </w:rPr>
                      <w:t>3</w:t>
                    </w:r>
                    <w:r>
                      <w:fldChar w:fldCharType="end"/>
                    </w:r>
                  </w:p>
                </w:txbxContent>
              </v:textbox>
              <w10:wrap anchorx="margin"/>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14935" cy="284480"/>
              <wp:effectExtent l="0" t="2540" r="3175"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1B4D5B">
                          <w:pPr>
                            <w:pStyle w:val="a5"/>
                          </w:pPr>
                        </w:p>
                        <w:p w:rsidR="00000000" w:rsidRDefault="001B4D5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5" o:spid="_x0000_s1027" type="#_x0000_t202" style="position:absolute;margin-left:-42.15pt;margin-top:0;width:9.05pt;height:22.4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" filled="f" stroked="f">
              <v:textbox style="mso-fit-shape-to-text:t" inset="0,0,0,0">
                <w:txbxContent>
                  <w:p w:rsidR="00000000" w:rsidRDefault="001B4D5B">
                    <w:pPr>
                      <w:pStyle w:val="a5"/>
                    </w:pPr>
                  </w:p>
                  <w:p w:rsidR="00000000" w:rsidRDefault="001B4D5B"/>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D5B" w:rsidRDefault="001B4D5B">
      <w:r>
        <w:separator/>
      </w:r>
    </w:p>
  </w:footnote>
  <w:footnote w:type="continuationSeparator" w:id="0">
    <w:p w:rsidR="001B4D5B" w:rsidRDefault="001B4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E7C31BF"/>
    <w:multiLevelType w:val="singleLevel"/>
    <w:tmpl w:val="FE7C31BF"/>
    <w:lvl w:ilvl="0">
      <w:start w:val="3"/>
      <w:numFmt w:val="chineseCounting"/>
      <w:suff w:val="nothing"/>
      <w:lvlText w:val="（%1）"/>
      <w:lvlJc w:val="left"/>
      <w:rPr>
        <w:rFonts w:hint="eastAsia"/>
      </w:rPr>
    </w:lvl>
  </w:abstractNum>
  <w:abstractNum w:abstractNumId="1" w15:restartNumberingAfterBreak="0">
    <w:nsid w:val="FFFCD36B"/>
    <w:multiLevelType w:val="singleLevel"/>
    <w:tmpl w:val="FFFCD36B"/>
    <w:lvl w:ilvl="0">
      <w:start w:val="1"/>
      <w:numFmt w:val="chineseCounting"/>
      <w:suff w:val="nothing"/>
      <w:lvlText w:val="%1、"/>
      <w:lvlJc w:val="left"/>
      <w:pPr>
        <w:ind w:left="627" w:firstLine="0"/>
      </w:pPr>
      <w:rPr>
        <w:rFonts w:hint="eastAsia"/>
      </w:rPr>
    </w:lvl>
  </w:abstractNum>
  <w:abstractNum w:abstractNumId="2" w15:restartNumberingAfterBreak="0">
    <w:nsid w:val="3D5F4D26"/>
    <w:multiLevelType w:val="singleLevel"/>
    <w:tmpl w:val="3D5F4D26"/>
    <w:lvl w:ilvl="0">
      <w:start w:val="1"/>
      <w:numFmt w:val="chineseCounting"/>
      <w:suff w:val="nothing"/>
      <w:lvlText w:val="%1、"/>
      <w:lvlJc w:val="left"/>
      <w:pPr>
        <w:ind w:left="64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9"/>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B4D5B"/>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0140"/>
    <w:rsid w:val="003F5153"/>
    <w:rsid w:val="00400BB6"/>
    <w:rsid w:val="00406655"/>
    <w:rsid w:val="00410428"/>
    <w:rsid w:val="00443ED4"/>
    <w:rsid w:val="0045249E"/>
    <w:rsid w:val="00453B18"/>
    <w:rsid w:val="00454EAC"/>
    <w:rsid w:val="004603D5"/>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54F98"/>
    <w:rsid w:val="00766D9A"/>
    <w:rsid w:val="007A3E48"/>
    <w:rsid w:val="007B051B"/>
    <w:rsid w:val="007C3B60"/>
    <w:rsid w:val="007C77DD"/>
    <w:rsid w:val="007C7949"/>
    <w:rsid w:val="00810BF8"/>
    <w:rsid w:val="00834B83"/>
    <w:rsid w:val="00837E72"/>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927EB"/>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85A3C"/>
    <w:rsid w:val="00CB042A"/>
    <w:rsid w:val="00CB2F44"/>
    <w:rsid w:val="00CB79BE"/>
    <w:rsid w:val="00CD0FA7"/>
    <w:rsid w:val="00CD13DB"/>
    <w:rsid w:val="00CF61DC"/>
    <w:rsid w:val="00D1160E"/>
    <w:rsid w:val="00D1401C"/>
    <w:rsid w:val="00D1561F"/>
    <w:rsid w:val="00D16D6D"/>
    <w:rsid w:val="00D27F0A"/>
    <w:rsid w:val="00D330E7"/>
    <w:rsid w:val="00D367D7"/>
    <w:rsid w:val="00D45436"/>
    <w:rsid w:val="00D63096"/>
    <w:rsid w:val="00D63A67"/>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2072"/>
    <w:rsid w:val="00FF3698"/>
    <w:rsid w:val="09993055"/>
    <w:rsid w:val="0DBF9EFB"/>
    <w:rsid w:val="18EB6F36"/>
    <w:rsid w:val="1F6FA7A9"/>
    <w:rsid w:val="24A3698D"/>
    <w:rsid w:val="26D734E3"/>
    <w:rsid w:val="276F5245"/>
    <w:rsid w:val="2D2BBFDE"/>
    <w:rsid w:val="2D507037"/>
    <w:rsid w:val="2FEE79CD"/>
    <w:rsid w:val="304D6E7A"/>
    <w:rsid w:val="311F20B3"/>
    <w:rsid w:val="33296A10"/>
    <w:rsid w:val="334D7CFE"/>
    <w:rsid w:val="353F923B"/>
    <w:rsid w:val="37D715EC"/>
    <w:rsid w:val="3B6F77ED"/>
    <w:rsid w:val="3C4A0A88"/>
    <w:rsid w:val="3E3F9973"/>
    <w:rsid w:val="41043BD5"/>
    <w:rsid w:val="4FFF43EF"/>
    <w:rsid w:val="57CE6FC3"/>
    <w:rsid w:val="5AFD3201"/>
    <w:rsid w:val="5B97877E"/>
    <w:rsid w:val="5BFFD9B9"/>
    <w:rsid w:val="5FB7634D"/>
    <w:rsid w:val="62760CB9"/>
    <w:rsid w:val="63ED66E8"/>
    <w:rsid w:val="6B041D7E"/>
    <w:rsid w:val="6B1E0488"/>
    <w:rsid w:val="6C95179E"/>
    <w:rsid w:val="6ED415F7"/>
    <w:rsid w:val="6EFFE7D5"/>
    <w:rsid w:val="70BD51BA"/>
    <w:rsid w:val="73E74199"/>
    <w:rsid w:val="7476C642"/>
    <w:rsid w:val="75FFCD86"/>
    <w:rsid w:val="76CFDE54"/>
    <w:rsid w:val="777B3696"/>
    <w:rsid w:val="777F62EE"/>
    <w:rsid w:val="778061B1"/>
    <w:rsid w:val="77B79D95"/>
    <w:rsid w:val="77FF8F3A"/>
    <w:rsid w:val="795F6985"/>
    <w:rsid w:val="7B4E21E4"/>
    <w:rsid w:val="7C491389"/>
    <w:rsid w:val="7DFFBF1E"/>
    <w:rsid w:val="7E44C52C"/>
    <w:rsid w:val="7ECF5570"/>
    <w:rsid w:val="7F7F58A8"/>
    <w:rsid w:val="7F9B8F02"/>
    <w:rsid w:val="7FBF609A"/>
    <w:rsid w:val="8A507A52"/>
    <w:rsid w:val="96C6989D"/>
    <w:rsid w:val="9B3F1C96"/>
    <w:rsid w:val="9B5F7CF9"/>
    <w:rsid w:val="9BFF9547"/>
    <w:rsid w:val="9F6F8374"/>
    <w:rsid w:val="B3EF2883"/>
    <w:rsid w:val="B7F3456E"/>
    <w:rsid w:val="BCFE1AE5"/>
    <w:rsid w:val="BFFE0ED3"/>
    <w:rsid w:val="CE7F7698"/>
    <w:rsid w:val="CF0523F6"/>
    <w:rsid w:val="D2CFC26B"/>
    <w:rsid w:val="D7788DD3"/>
    <w:rsid w:val="D7BD64DE"/>
    <w:rsid w:val="DE56A092"/>
    <w:rsid w:val="E9655A30"/>
    <w:rsid w:val="EDF7C749"/>
    <w:rsid w:val="EF3E61D6"/>
    <w:rsid w:val="EFABAE9E"/>
    <w:rsid w:val="EFDFAB7D"/>
    <w:rsid w:val="F1FECAF9"/>
    <w:rsid w:val="F3F5671A"/>
    <w:rsid w:val="F4EF3DE8"/>
    <w:rsid w:val="F7BF040A"/>
    <w:rsid w:val="F7EA466D"/>
    <w:rsid w:val="FBEB2008"/>
    <w:rsid w:val="FBEB566F"/>
    <w:rsid w:val="FBEDFE3E"/>
    <w:rsid w:val="FBF528C8"/>
    <w:rsid w:val="FCB7EC14"/>
    <w:rsid w:val="FCBF63D8"/>
    <w:rsid w:val="FCDF1822"/>
    <w:rsid w:val="FD7EAD90"/>
    <w:rsid w:val="FDE744B0"/>
    <w:rsid w:val="FDE99DAE"/>
    <w:rsid w:val="FEB63D91"/>
    <w:rsid w:val="FF7698FF"/>
    <w:rsid w:val="FFAB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A803EDF-BCA3-4D0D-8C1C-1B4C9D0D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1187</Characters>
  <Application>Microsoft Office Word</Application>
  <DocSecurity>0</DocSecurity>
  <Lines>9</Lines>
  <Paragraphs>2</Paragraphs>
  <ScaleCrop>false</ScaleCrop>
  <Company>Xtzj.Com</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2022-11-04T16:16:00Z</cp:lastPrinted>
  <dcterms:created xsi:type="dcterms:W3CDTF">2022-11-04T09:17:00Z</dcterms:created>
  <dcterms:modified xsi:type="dcterms:W3CDTF">2022-11-04T09:17:00Z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