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CC7" w:rsidRPr="00ED399B" w:rsidRDefault="00EF5CC7" w:rsidP="005B51D4">
      <w:pPr>
        <w:pStyle w:val="a3"/>
        <w:tabs>
          <w:tab w:val="left" w:pos="0"/>
        </w:tabs>
        <w:spacing w:line="540" w:lineRule="exact"/>
        <w:ind w:firstLineChars="0" w:firstLine="0"/>
        <w:rPr>
          <w:rFonts w:eastAsia="黑体"/>
          <w:color w:val="000000" w:themeColor="text1"/>
          <w:sz w:val="32"/>
          <w:szCs w:val="32"/>
        </w:rPr>
      </w:pPr>
      <w:r w:rsidRPr="00F610F8">
        <w:rPr>
          <w:rFonts w:ascii="黑体" w:eastAsia="黑体" w:hAnsi="黑体" w:cs="黑体" w:hint="eastAsia"/>
          <w:color w:val="000000" w:themeColor="text1"/>
          <w:sz w:val="32"/>
          <w:szCs w:val="32"/>
        </w:rPr>
        <w:t>附件</w:t>
      </w:r>
      <w:r w:rsidR="00143D81" w:rsidRPr="00ED399B">
        <w:rPr>
          <w:rFonts w:eastAsia="黑体"/>
          <w:color w:val="000000" w:themeColor="text1"/>
          <w:sz w:val="32"/>
          <w:szCs w:val="32"/>
        </w:rPr>
        <w:t>2</w:t>
      </w:r>
    </w:p>
    <w:p w:rsidR="00A6140C" w:rsidRDefault="00EF5CC7" w:rsidP="00E21431">
      <w:pPr>
        <w:snapToGrid w:val="0"/>
        <w:spacing w:beforeLines="100" w:before="312" w:afterLines="100" w:after="312" w:line="640" w:lineRule="exact"/>
        <w:jc w:val="center"/>
        <w:rPr>
          <w:rFonts w:eastAsia="方正小标宋简体"/>
          <w:sz w:val="44"/>
          <w:szCs w:val="44"/>
        </w:rPr>
      </w:pPr>
      <w:r w:rsidRPr="00BC45E4">
        <w:rPr>
          <w:rFonts w:eastAsia="方正小标宋简体"/>
          <w:sz w:val="44"/>
          <w:szCs w:val="44"/>
        </w:rPr>
        <w:t>关于实施《</w:t>
      </w:r>
      <w:r w:rsidR="0074654A" w:rsidRPr="00BC45E4">
        <w:rPr>
          <w:rFonts w:eastAsia="方正小标宋简体" w:hint="eastAsia"/>
          <w:sz w:val="44"/>
          <w:szCs w:val="44"/>
        </w:rPr>
        <w:t>非处方药适应症范围确定原则》</w:t>
      </w:r>
    </w:p>
    <w:p w:rsidR="00EF5CC7" w:rsidRPr="00BC45E4" w:rsidRDefault="008A1AEA" w:rsidP="00E21431">
      <w:pPr>
        <w:snapToGrid w:val="0"/>
        <w:spacing w:beforeLines="100" w:before="312" w:afterLines="100" w:after="312" w:line="640" w:lineRule="exact"/>
        <w:jc w:val="center"/>
        <w:rPr>
          <w:rFonts w:eastAsia="方正小标宋简体"/>
          <w:sz w:val="44"/>
          <w:szCs w:val="44"/>
        </w:rPr>
      </w:pPr>
      <w:bookmarkStart w:id="0" w:name="_GoBack"/>
      <w:bookmarkEnd w:id="0"/>
      <w:r w:rsidRPr="00BC45E4">
        <w:rPr>
          <w:rFonts w:eastAsia="方正小标宋简体" w:hint="eastAsia"/>
          <w:sz w:val="44"/>
          <w:szCs w:val="44"/>
        </w:rPr>
        <w:t>（修订稿）</w:t>
      </w:r>
      <w:r w:rsidR="00EF5CC7" w:rsidRPr="00BC45E4">
        <w:rPr>
          <w:rFonts w:eastAsia="方正小标宋简体"/>
          <w:sz w:val="44"/>
          <w:szCs w:val="44"/>
        </w:rPr>
        <w:t>有关事宜的说明</w:t>
      </w:r>
    </w:p>
    <w:p w:rsidR="00E10127" w:rsidRPr="00F610F8" w:rsidRDefault="00EF5CC7" w:rsidP="00F610F8">
      <w:pPr>
        <w:spacing w:line="540" w:lineRule="exact"/>
        <w:ind w:firstLineChars="200" w:firstLine="640"/>
        <w:rPr>
          <w:rFonts w:eastAsia="仿宋"/>
          <w:sz w:val="32"/>
          <w:szCs w:val="32"/>
        </w:rPr>
      </w:pPr>
      <w:r w:rsidRPr="00F610F8">
        <w:rPr>
          <w:rFonts w:eastAsia="仿宋"/>
          <w:sz w:val="32"/>
          <w:szCs w:val="32"/>
        </w:rPr>
        <w:t>为做好《</w:t>
      </w:r>
      <w:r w:rsidR="00E10127" w:rsidRPr="00F610F8">
        <w:rPr>
          <w:rFonts w:eastAsia="仿宋"/>
          <w:sz w:val="32"/>
          <w:szCs w:val="32"/>
        </w:rPr>
        <w:t>非处方药适应症范围确定原则</w:t>
      </w:r>
      <w:r w:rsidRPr="00F610F8">
        <w:rPr>
          <w:rFonts w:eastAsia="仿宋"/>
          <w:sz w:val="32"/>
          <w:szCs w:val="32"/>
        </w:rPr>
        <w:t>》</w:t>
      </w:r>
      <w:r w:rsidR="00CA0C9E" w:rsidRPr="00F610F8">
        <w:rPr>
          <w:rFonts w:eastAsia="仿宋"/>
          <w:sz w:val="32"/>
          <w:szCs w:val="32"/>
        </w:rPr>
        <w:t>（修订稿）</w:t>
      </w:r>
      <w:r w:rsidR="000B14B7" w:rsidRPr="00F610F8">
        <w:rPr>
          <w:rFonts w:eastAsia="仿宋"/>
          <w:sz w:val="32"/>
          <w:szCs w:val="32"/>
        </w:rPr>
        <w:t>发布后的</w:t>
      </w:r>
      <w:r w:rsidRPr="00F610F8">
        <w:rPr>
          <w:rFonts w:eastAsia="仿宋"/>
          <w:sz w:val="32"/>
          <w:szCs w:val="32"/>
        </w:rPr>
        <w:t>实施工作，</w:t>
      </w:r>
      <w:r w:rsidR="000B14B7" w:rsidRPr="00F610F8">
        <w:rPr>
          <w:rFonts w:eastAsia="仿宋"/>
          <w:sz w:val="32"/>
          <w:szCs w:val="32"/>
        </w:rPr>
        <w:t>进一步规范和指导药品上市许可持有人或者进口药品上市许可持有人指定的代理人（以下称申请人）对其持有或</w:t>
      </w:r>
      <w:r w:rsidR="00CD6EA1" w:rsidRPr="00F610F8">
        <w:rPr>
          <w:rFonts w:eastAsia="仿宋"/>
          <w:sz w:val="32"/>
          <w:szCs w:val="32"/>
        </w:rPr>
        <w:t>代理的处方药转换为非处方药申请工作</w:t>
      </w:r>
      <w:r w:rsidR="000B14B7" w:rsidRPr="00F610F8">
        <w:rPr>
          <w:rFonts w:eastAsia="仿宋"/>
          <w:sz w:val="32"/>
          <w:szCs w:val="32"/>
        </w:rPr>
        <w:t>，</w:t>
      </w:r>
      <w:r w:rsidRPr="00F610F8">
        <w:rPr>
          <w:rFonts w:eastAsia="仿宋"/>
          <w:sz w:val="32"/>
          <w:szCs w:val="32"/>
        </w:rPr>
        <w:t>现将有关事宜说明如下：</w:t>
      </w:r>
    </w:p>
    <w:p w:rsidR="00D52C7B" w:rsidRPr="00F610F8" w:rsidRDefault="00EF5CC7" w:rsidP="00F610F8">
      <w:pPr>
        <w:spacing w:line="540" w:lineRule="exact"/>
        <w:ind w:firstLine="648"/>
        <w:rPr>
          <w:rFonts w:eastAsia="仿宋"/>
          <w:sz w:val="32"/>
          <w:szCs w:val="32"/>
        </w:rPr>
      </w:pPr>
      <w:r w:rsidRPr="00F610F8">
        <w:rPr>
          <w:rFonts w:eastAsia="仿宋"/>
          <w:sz w:val="32"/>
          <w:szCs w:val="32"/>
        </w:rPr>
        <w:t>一、</w:t>
      </w:r>
      <w:r w:rsidR="00D52C7B" w:rsidRPr="00F610F8">
        <w:rPr>
          <w:rFonts w:eastAsia="仿宋"/>
          <w:color w:val="000000"/>
          <w:sz w:val="32"/>
          <w:szCs w:val="32"/>
        </w:rPr>
        <w:t>为适应药品分类管理新形势和新的药品监管体系，结合目前</w:t>
      </w:r>
      <w:r w:rsidR="009E6491">
        <w:rPr>
          <w:rFonts w:eastAsia="仿宋" w:hint="eastAsia"/>
          <w:color w:val="000000"/>
          <w:sz w:val="32"/>
          <w:szCs w:val="32"/>
        </w:rPr>
        <w:t>处方药转换为</w:t>
      </w:r>
      <w:r w:rsidR="00D52C7B" w:rsidRPr="00F610F8">
        <w:rPr>
          <w:rFonts w:eastAsia="仿宋"/>
          <w:color w:val="000000"/>
          <w:sz w:val="32"/>
          <w:szCs w:val="32"/>
        </w:rPr>
        <w:t>非处方药评价工作实际，根据《中华人民共和国药品管理法》《药品注册管理办法》</w:t>
      </w:r>
      <w:r w:rsidR="009E6491">
        <w:rPr>
          <w:rFonts w:eastAsia="仿宋" w:hint="eastAsia"/>
          <w:color w:val="000000"/>
          <w:sz w:val="32"/>
          <w:szCs w:val="32"/>
        </w:rPr>
        <w:t>等</w:t>
      </w:r>
      <w:r w:rsidR="00D52C7B" w:rsidRPr="00F610F8">
        <w:rPr>
          <w:rFonts w:eastAsia="仿宋"/>
          <w:color w:val="000000"/>
          <w:sz w:val="32"/>
          <w:szCs w:val="32"/>
        </w:rPr>
        <w:t>相关文件，</w:t>
      </w:r>
      <w:r w:rsidR="004A5680" w:rsidRPr="00F610F8">
        <w:rPr>
          <w:rFonts w:eastAsia="仿宋"/>
          <w:sz w:val="32"/>
          <w:szCs w:val="32"/>
        </w:rPr>
        <w:t>在国家药品监督管理局的部署下，</w:t>
      </w:r>
      <w:r w:rsidR="00D52C7B" w:rsidRPr="00F610F8">
        <w:rPr>
          <w:rFonts w:eastAsia="仿宋"/>
          <w:sz w:val="32"/>
          <w:szCs w:val="32"/>
        </w:rPr>
        <w:t>评价中心组织</w:t>
      </w:r>
      <w:r w:rsidR="00174A45" w:rsidRPr="00F610F8">
        <w:rPr>
          <w:rFonts w:eastAsia="仿宋"/>
          <w:sz w:val="32"/>
          <w:szCs w:val="32"/>
        </w:rPr>
        <w:t>修订</w:t>
      </w:r>
      <w:r w:rsidR="00D52C7B" w:rsidRPr="00F610F8">
        <w:rPr>
          <w:rFonts w:eastAsia="仿宋"/>
          <w:sz w:val="32"/>
          <w:szCs w:val="32"/>
        </w:rPr>
        <w:t>了</w:t>
      </w:r>
      <w:r w:rsidR="00174A45" w:rsidRPr="00F610F8">
        <w:rPr>
          <w:rFonts w:eastAsia="仿宋"/>
          <w:sz w:val="32"/>
          <w:szCs w:val="32"/>
        </w:rPr>
        <w:t>《</w:t>
      </w:r>
      <w:r w:rsidR="00C856CF" w:rsidRPr="00F610F8">
        <w:rPr>
          <w:rFonts w:eastAsia="仿宋"/>
          <w:sz w:val="32"/>
          <w:szCs w:val="32"/>
        </w:rPr>
        <w:t>非处方药适应症范围确定原则</w:t>
      </w:r>
      <w:r w:rsidR="00174A45" w:rsidRPr="00F610F8">
        <w:rPr>
          <w:rFonts w:eastAsia="仿宋"/>
          <w:sz w:val="32"/>
          <w:szCs w:val="32"/>
        </w:rPr>
        <w:t>》，</w:t>
      </w:r>
      <w:r w:rsidR="00D52C7B" w:rsidRPr="00F610F8">
        <w:rPr>
          <w:rFonts w:eastAsia="仿宋"/>
          <w:color w:val="000000"/>
          <w:sz w:val="32"/>
          <w:szCs w:val="32"/>
        </w:rPr>
        <w:t>以进一步指导申请人</w:t>
      </w:r>
      <w:r w:rsidR="00BB74E3">
        <w:rPr>
          <w:rFonts w:eastAsia="仿宋" w:hint="eastAsia"/>
          <w:color w:val="000000"/>
          <w:sz w:val="32"/>
          <w:szCs w:val="32"/>
        </w:rPr>
        <w:t>开展</w:t>
      </w:r>
      <w:r w:rsidR="009E6491">
        <w:rPr>
          <w:rFonts w:eastAsia="仿宋" w:hint="eastAsia"/>
          <w:color w:val="000000"/>
          <w:sz w:val="32"/>
          <w:szCs w:val="32"/>
        </w:rPr>
        <w:t>处方药转换为</w:t>
      </w:r>
      <w:r w:rsidR="00D52C7B" w:rsidRPr="00F610F8">
        <w:rPr>
          <w:rFonts w:eastAsia="仿宋"/>
          <w:color w:val="000000"/>
          <w:sz w:val="32"/>
          <w:szCs w:val="32"/>
        </w:rPr>
        <w:t>非处方药申请工作，</w:t>
      </w:r>
      <w:bookmarkStart w:id="1" w:name="OLE_LINK8"/>
      <w:bookmarkStart w:id="2" w:name="OLE_LINK9"/>
      <w:r w:rsidR="00D52C7B" w:rsidRPr="00F610F8">
        <w:rPr>
          <w:rFonts w:eastAsia="仿宋"/>
          <w:color w:val="000000"/>
          <w:sz w:val="32"/>
          <w:szCs w:val="32"/>
        </w:rPr>
        <w:t>使其更具有可操作性</w:t>
      </w:r>
      <w:r w:rsidR="000E10CA" w:rsidRPr="00F610F8">
        <w:rPr>
          <w:rFonts w:eastAsia="仿宋"/>
          <w:color w:val="000000"/>
          <w:sz w:val="32"/>
          <w:szCs w:val="32"/>
        </w:rPr>
        <w:t>，</w:t>
      </w:r>
      <w:r w:rsidR="00E97311" w:rsidRPr="00F610F8">
        <w:rPr>
          <w:rFonts w:eastAsia="仿宋"/>
          <w:color w:val="000000"/>
          <w:sz w:val="32"/>
          <w:szCs w:val="32"/>
        </w:rPr>
        <w:t>有</w:t>
      </w:r>
      <w:r w:rsidR="008F5DDC" w:rsidRPr="00F610F8">
        <w:rPr>
          <w:rFonts w:eastAsia="仿宋"/>
          <w:color w:val="000000"/>
          <w:sz w:val="32"/>
          <w:szCs w:val="32"/>
        </w:rPr>
        <w:t>利于</w:t>
      </w:r>
      <w:r w:rsidR="00E97311" w:rsidRPr="00F610F8">
        <w:rPr>
          <w:rFonts w:eastAsia="仿宋"/>
          <w:color w:val="000000"/>
          <w:sz w:val="32"/>
          <w:szCs w:val="32"/>
        </w:rPr>
        <w:t>进一步</w:t>
      </w:r>
      <w:r w:rsidR="000E10CA" w:rsidRPr="00F610F8">
        <w:rPr>
          <w:rFonts w:eastAsia="仿宋"/>
          <w:color w:val="000000"/>
          <w:sz w:val="32"/>
          <w:szCs w:val="32"/>
        </w:rPr>
        <w:t>保障</w:t>
      </w:r>
      <w:r w:rsidR="000E10CA" w:rsidRPr="00F610F8">
        <w:rPr>
          <w:rFonts w:eastAsia="仿宋"/>
          <w:sz w:val="32"/>
          <w:szCs w:val="32"/>
        </w:rPr>
        <w:t>消费者使用非处方药的安全</w:t>
      </w:r>
      <w:r w:rsidR="00E97311" w:rsidRPr="00F610F8">
        <w:rPr>
          <w:rFonts w:eastAsia="仿宋"/>
          <w:sz w:val="32"/>
          <w:szCs w:val="32"/>
        </w:rPr>
        <w:t>性</w:t>
      </w:r>
      <w:r w:rsidR="000E10CA" w:rsidRPr="00F610F8">
        <w:rPr>
          <w:rFonts w:eastAsia="仿宋"/>
          <w:sz w:val="32"/>
          <w:szCs w:val="32"/>
        </w:rPr>
        <w:t>。</w:t>
      </w:r>
      <w:bookmarkEnd w:id="1"/>
      <w:bookmarkEnd w:id="2"/>
    </w:p>
    <w:p w:rsidR="00664D8B" w:rsidRPr="00F610F8" w:rsidRDefault="00664D8B" w:rsidP="00F610F8">
      <w:pPr>
        <w:spacing w:line="540" w:lineRule="exact"/>
        <w:ind w:firstLine="648"/>
        <w:rPr>
          <w:rFonts w:eastAsia="仿宋"/>
          <w:sz w:val="32"/>
          <w:szCs w:val="32"/>
        </w:rPr>
      </w:pPr>
      <w:r w:rsidRPr="00F610F8">
        <w:rPr>
          <w:rFonts w:eastAsia="仿宋"/>
          <w:sz w:val="32"/>
          <w:szCs w:val="32"/>
        </w:rPr>
        <w:t xml:space="preserve"> </w:t>
      </w:r>
      <w:r w:rsidR="00EF5CC7" w:rsidRPr="00F610F8">
        <w:rPr>
          <w:rFonts w:eastAsia="仿宋"/>
          <w:sz w:val="32"/>
          <w:szCs w:val="32"/>
        </w:rPr>
        <w:t>二、</w:t>
      </w:r>
      <w:r w:rsidRPr="00F610F8">
        <w:rPr>
          <w:rFonts w:eastAsia="仿宋"/>
          <w:sz w:val="32"/>
          <w:szCs w:val="32"/>
        </w:rPr>
        <w:t>《非处方药适应症范围确定原则》</w:t>
      </w:r>
      <w:r w:rsidR="00CA0C9E" w:rsidRPr="00F610F8">
        <w:rPr>
          <w:rFonts w:eastAsia="仿宋"/>
          <w:sz w:val="32"/>
          <w:szCs w:val="32"/>
        </w:rPr>
        <w:t>（修订稿）</w:t>
      </w:r>
      <w:r w:rsidRPr="00F610F8">
        <w:rPr>
          <w:rFonts w:eastAsia="仿宋"/>
          <w:sz w:val="32"/>
          <w:szCs w:val="32"/>
        </w:rPr>
        <w:t>是</w:t>
      </w:r>
      <w:bookmarkStart w:id="3" w:name="OLE_LINK6"/>
      <w:bookmarkStart w:id="4" w:name="OLE_LINK7"/>
      <w:r w:rsidRPr="00F610F8">
        <w:rPr>
          <w:rFonts w:eastAsia="仿宋"/>
          <w:sz w:val="32"/>
          <w:szCs w:val="32"/>
        </w:rPr>
        <w:t>在</w:t>
      </w:r>
      <w:r w:rsidRPr="00F610F8">
        <w:rPr>
          <w:rFonts w:eastAsia="仿宋"/>
          <w:color w:val="000000"/>
          <w:sz w:val="32"/>
          <w:szCs w:val="32"/>
        </w:rPr>
        <w:t>《国家食品药品监督管理局办公室关于印发处方药转换为非处方药评价指导原则（试行）等</w:t>
      </w:r>
      <w:r w:rsidRPr="00F610F8">
        <w:rPr>
          <w:rFonts w:eastAsia="仿宋"/>
          <w:color w:val="000000"/>
          <w:sz w:val="32"/>
          <w:szCs w:val="32"/>
        </w:rPr>
        <w:t>6</w:t>
      </w:r>
      <w:r w:rsidRPr="00F610F8">
        <w:rPr>
          <w:rFonts w:eastAsia="仿宋"/>
          <w:color w:val="000000"/>
          <w:sz w:val="32"/>
          <w:szCs w:val="32"/>
        </w:rPr>
        <w:t>个技术文件的通知》（</w:t>
      </w:r>
      <w:bookmarkStart w:id="5" w:name="OLE_LINK4"/>
      <w:r w:rsidRPr="00F610F8">
        <w:rPr>
          <w:rFonts w:eastAsia="仿宋"/>
          <w:color w:val="000000"/>
          <w:sz w:val="32"/>
          <w:szCs w:val="32"/>
        </w:rPr>
        <w:t>食药监办注</w:t>
      </w:r>
      <w:r w:rsidR="00E21431">
        <w:rPr>
          <w:rFonts w:eastAsia="仿宋"/>
          <w:color w:val="000000"/>
          <w:sz w:val="32"/>
          <w:szCs w:val="32"/>
        </w:rPr>
        <w:t>〔</w:t>
      </w:r>
      <w:r w:rsidRPr="00F610F8">
        <w:rPr>
          <w:rFonts w:eastAsia="仿宋"/>
          <w:color w:val="000000"/>
          <w:sz w:val="32"/>
          <w:szCs w:val="32"/>
        </w:rPr>
        <w:t>2012</w:t>
      </w:r>
      <w:r w:rsidR="00E21431">
        <w:rPr>
          <w:rFonts w:eastAsia="仿宋"/>
          <w:color w:val="000000"/>
          <w:sz w:val="32"/>
          <w:szCs w:val="32"/>
        </w:rPr>
        <w:t>〕</w:t>
      </w:r>
      <w:r w:rsidRPr="00F610F8">
        <w:rPr>
          <w:rFonts w:eastAsia="仿宋"/>
          <w:color w:val="000000"/>
          <w:sz w:val="32"/>
          <w:szCs w:val="32"/>
        </w:rPr>
        <w:t>137</w:t>
      </w:r>
      <w:r w:rsidRPr="00F610F8">
        <w:rPr>
          <w:rFonts w:eastAsia="仿宋"/>
          <w:color w:val="000000"/>
          <w:sz w:val="32"/>
          <w:szCs w:val="32"/>
        </w:rPr>
        <w:t>号</w:t>
      </w:r>
      <w:bookmarkEnd w:id="5"/>
      <w:r w:rsidRPr="00F610F8">
        <w:rPr>
          <w:rFonts w:eastAsia="仿宋"/>
          <w:color w:val="000000"/>
          <w:sz w:val="32"/>
          <w:szCs w:val="32"/>
        </w:rPr>
        <w:t>）附件</w:t>
      </w:r>
      <w:r w:rsidRPr="00F610F8">
        <w:rPr>
          <w:rFonts w:eastAsia="仿宋"/>
          <w:color w:val="000000"/>
          <w:sz w:val="32"/>
          <w:szCs w:val="32"/>
        </w:rPr>
        <w:t>2</w:t>
      </w:r>
      <w:r w:rsidRPr="00F610F8">
        <w:rPr>
          <w:rFonts w:eastAsia="仿宋"/>
          <w:sz w:val="32"/>
          <w:szCs w:val="32"/>
        </w:rPr>
        <w:t>《非处方药适应症范围确定原则</w:t>
      </w:r>
      <w:r w:rsidRPr="00F610F8">
        <w:rPr>
          <w:rFonts w:eastAsia="仿宋"/>
          <w:color w:val="000000"/>
          <w:sz w:val="32"/>
          <w:szCs w:val="32"/>
        </w:rPr>
        <w:t>》基础上，结合</w:t>
      </w:r>
      <w:r w:rsidR="00BB74E3">
        <w:rPr>
          <w:rFonts w:eastAsia="仿宋" w:hint="eastAsia"/>
          <w:color w:val="000000"/>
          <w:sz w:val="32"/>
          <w:szCs w:val="32"/>
        </w:rPr>
        <w:t>处方药转换为</w:t>
      </w:r>
      <w:r w:rsidRPr="00F610F8">
        <w:rPr>
          <w:rFonts w:eastAsia="仿宋"/>
          <w:color w:val="000000"/>
          <w:sz w:val="32"/>
          <w:szCs w:val="32"/>
        </w:rPr>
        <w:t>非处方</w:t>
      </w:r>
      <w:r w:rsidR="00BB74E3">
        <w:rPr>
          <w:rFonts w:eastAsia="仿宋" w:hint="eastAsia"/>
          <w:color w:val="000000"/>
          <w:sz w:val="32"/>
          <w:szCs w:val="32"/>
        </w:rPr>
        <w:t>药</w:t>
      </w:r>
      <w:r w:rsidRPr="00F610F8">
        <w:rPr>
          <w:rFonts w:eastAsia="仿宋"/>
          <w:color w:val="000000"/>
          <w:sz w:val="32"/>
          <w:szCs w:val="32"/>
        </w:rPr>
        <w:t>评价实际工作经验，调整、优化相关内容形成。</w:t>
      </w:r>
      <w:bookmarkEnd w:id="3"/>
      <w:bookmarkEnd w:id="4"/>
    </w:p>
    <w:p w:rsidR="00EF5CC7" w:rsidRPr="00F610F8" w:rsidRDefault="00664D8B" w:rsidP="00F610F8">
      <w:pPr>
        <w:spacing w:line="540" w:lineRule="exact"/>
        <w:ind w:firstLine="648"/>
        <w:rPr>
          <w:rFonts w:eastAsia="仿宋"/>
          <w:sz w:val="32"/>
          <w:szCs w:val="32"/>
        </w:rPr>
      </w:pPr>
      <w:r w:rsidRPr="00F610F8">
        <w:rPr>
          <w:rFonts w:eastAsia="仿宋"/>
          <w:sz w:val="32"/>
          <w:szCs w:val="32"/>
        </w:rPr>
        <w:t>三、</w:t>
      </w:r>
      <w:r w:rsidR="00EF5CC7" w:rsidRPr="00F610F8">
        <w:rPr>
          <w:rFonts w:eastAsia="仿宋"/>
          <w:sz w:val="32"/>
          <w:szCs w:val="32"/>
        </w:rPr>
        <w:t>《</w:t>
      </w:r>
      <w:r w:rsidRPr="00F610F8">
        <w:rPr>
          <w:rFonts w:eastAsia="仿宋"/>
          <w:sz w:val="32"/>
          <w:szCs w:val="32"/>
        </w:rPr>
        <w:t>非处方药</w:t>
      </w:r>
      <w:r w:rsidR="00F27240" w:rsidRPr="00F610F8">
        <w:rPr>
          <w:rFonts w:eastAsia="仿宋"/>
          <w:sz w:val="32"/>
          <w:szCs w:val="32"/>
        </w:rPr>
        <w:t>适应症范围确定原则</w:t>
      </w:r>
      <w:r w:rsidR="00EF5CC7" w:rsidRPr="00F610F8">
        <w:rPr>
          <w:rFonts w:eastAsia="仿宋"/>
          <w:sz w:val="32"/>
          <w:szCs w:val="32"/>
        </w:rPr>
        <w:t>》</w:t>
      </w:r>
      <w:r w:rsidR="00CA0C9E" w:rsidRPr="00F610F8">
        <w:rPr>
          <w:rFonts w:eastAsia="仿宋"/>
          <w:sz w:val="32"/>
          <w:szCs w:val="32"/>
        </w:rPr>
        <w:t>（修订稿）</w:t>
      </w:r>
      <w:r w:rsidRPr="00F610F8">
        <w:rPr>
          <w:rFonts w:eastAsia="仿宋"/>
          <w:sz w:val="32"/>
          <w:szCs w:val="32"/>
        </w:rPr>
        <w:t>包括</w:t>
      </w:r>
      <w:r w:rsidRPr="00F610F8">
        <w:rPr>
          <w:rFonts w:eastAsia="仿宋"/>
          <w:sz w:val="32"/>
          <w:szCs w:val="32"/>
        </w:rPr>
        <w:t>4</w:t>
      </w:r>
      <w:r w:rsidR="00D86398" w:rsidRPr="00F610F8">
        <w:rPr>
          <w:rFonts w:eastAsia="仿宋"/>
          <w:sz w:val="32"/>
          <w:szCs w:val="32"/>
        </w:rPr>
        <w:t>条</w:t>
      </w:r>
      <w:r w:rsidRPr="00F610F8">
        <w:rPr>
          <w:rFonts w:eastAsia="仿宋"/>
          <w:sz w:val="32"/>
          <w:szCs w:val="32"/>
        </w:rPr>
        <w:t>条款内容：</w:t>
      </w:r>
      <w:r w:rsidR="00F27240" w:rsidRPr="00F610F8">
        <w:rPr>
          <w:rFonts w:eastAsia="仿宋"/>
          <w:sz w:val="32"/>
          <w:szCs w:val="32"/>
        </w:rPr>
        <w:t>常见疾病和症状的确定原则</w:t>
      </w:r>
      <w:r w:rsidRPr="00F610F8">
        <w:rPr>
          <w:rFonts w:eastAsia="仿宋"/>
          <w:sz w:val="32"/>
          <w:szCs w:val="32"/>
        </w:rPr>
        <w:t>、复发性疾病的确定原则、</w:t>
      </w:r>
      <w:r w:rsidRPr="00F610F8">
        <w:rPr>
          <w:rFonts w:eastAsia="仿宋"/>
          <w:sz w:val="32"/>
          <w:szCs w:val="32"/>
        </w:rPr>
        <w:lastRenderedPageBreak/>
        <w:t>慢性病的确定原则及其他。</w:t>
      </w:r>
      <w:r w:rsidR="00282A3C" w:rsidRPr="00F610F8">
        <w:rPr>
          <w:rFonts w:eastAsia="仿宋"/>
          <w:sz w:val="32"/>
          <w:szCs w:val="32"/>
        </w:rPr>
        <w:t>其中，</w:t>
      </w:r>
      <w:r w:rsidR="00365CA5" w:rsidRPr="00F610F8">
        <w:rPr>
          <w:rFonts w:eastAsia="仿宋"/>
          <w:sz w:val="32"/>
          <w:szCs w:val="32"/>
        </w:rPr>
        <w:t>删除和增加的主要内容</w:t>
      </w:r>
      <w:r w:rsidR="00CF7D00" w:rsidRPr="00F610F8">
        <w:rPr>
          <w:rFonts w:eastAsia="仿宋"/>
          <w:sz w:val="32"/>
          <w:szCs w:val="32"/>
        </w:rPr>
        <w:t>包括：</w:t>
      </w:r>
      <w:r w:rsidR="00365CA5" w:rsidRPr="00F610F8">
        <w:rPr>
          <w:rFonts w:eastAsia="仿宋"/>
          <w:sz w:val="32"/>
          <w:szCs w:val="32"/>
        </w:rPr>
        <w:t>删除</w:t>
      </w:r>
      <w:r w:rsidR="00282A3C" w:rsidRPr="00F610F8">
        <w:rPr>
          <w:rFonts w:eastAsia="仿宋"/>
          <w:sz w:val="32"/>
          <w:szCs w:val="32"/>
        </w:rPr>
        <w:t>了</w:t>
      </w:r>
      <w:r w:rsidR="00365CA5" w:rsidRPr="00F610F8">
        <w:rPr>
          <w:rFonts w:eastAsia="仿宋"/>
          <w:sz w:val="32"/>
          <w:szCs w:val="32"/>
        </w:rPr>
        <w:t>原确定原则中</w:t>
      </w:r>
      <w:r w:rsidR="00365CA5" w:rsidRPr="00E21431">
        <w:rPr>
          <w:rFonts w:ascii="仿宋" w:eastAsia="仿宋" w:hAnsi="仿宋"/>
          <w:sz w:val="32"/>
          <w:szCs w:val="32"/>
        </w:rPr>
        <w:t>“发生率较高”、“用药期间，自觉症状应有明显改善”的描述；</w:t>
      </w:r>
      <w:r w:rsidR="00282A3C" w:rsidRPr="00E21431">
        <w:rPr>
          <w:rFonts w:ascii="仿宋" w:eastAsia="仿宋" w:hAnsi="仿宋"/>
          <w:sz w:val="32"/>
          <w:szCs w:val="32"/>
        </w:rPr>
        <w:t>增加了</w:t>
      </w:r>
      <w:r w:rsidR="00282A3C" w:rsidRPr="00E21431" w:rsidDel="00282A3C">
        <w:rPr>
          <w:rFonts w:ascii="仿宋" w:eastAsia="仿宋" w:hAnsi="仿宋"/>
          <w:sz w:val="32"/>
          <w:szCs w:val="32"/>
        </w:rPr>
        <w:t xml:space="preserve"> </w:t>
      </w:r>
      <w:r w:rsidR="00365CA5" w:rsidRPr="00E21431">
        <w:rPr>
          <w:rFonts w:ascii="仿宋" w:eastAsia="仿宋" w:hAnsi="仿宋"/>
          <w:sz w:val="32"/>
          <w:szCs w:val="32"/>
        </w:rPr>
        <w:t>“其他适合自我认知、自我判断、自我药疗、自我监护的情形”。</w:t>
      </w:r>
      <w:r w:rsidR="00EF5CC7" w:rsidRPr="00E21431">
        <w:rPr>
          <w:rFonts w:ascii="仿宋" w:eastAsia="仿宋" w:hAnsi="仿宋"/>
          <w:sz w:val="32"/>
          <w:szCs w:val="32"/>
        </w:rPr>
        <w:t xml:space="preserve"> </w:t>
      </w:r>
      <w:r w:rsidR="00EF5CC7" w:rsidRPr="00F610F8">
        <w:rPr>
          <w:rFonts w:eastAsia="仿宋"/>
          <w:sz w:val="32"/>
          <w:szCs w:val="32"/>
        </w:rPr>
        <w:t xml:space="preserve"> </w:t>
      </w:r>
    </w:p>
    <w:p w:rsidR="009922E7" w:rsidRPr="00F610F8" w:rsidRDefault="00EF5CC7" w:rsidP="00F610F8">
      <w:pPr>
        <w:spacing w:line="540" w:lineRule="exact"/>
        <w:rPr>
          <w:rFonts w:eastAsia="仿宋"/>
        </w:rPr>
      </w:pPr>
      <w:r w:rsidRPr="00F610F8">
        <w:rPr>
          <w:rFonts w:eastAsia="仿宋"/>
          <w:sz w:val="32"/>
          <w:szCs w:val="32"/>
        </w:rPr>
        <w:t xml:space="preserve">    </w:t>
      </w:r>
      <w:r w:rsidR="000236CC" w:rsidRPr="00F610F8">
        <w:rPr>
          <w:rFonts w:eastAsia="仿宋"/>
          <w:color w:val="000000"/>
          <w:sz w:val="32"/>
          <w:szCs w:val="32"/>
        </w:rPr>
        <w:t>本指导原则发布后，按照新发布文件实施。</w:t>
      </w:r>
    </w:p>
    <w:sectPr w:rsidR="009922E7" w:rsidRPr="00F610F8" w:rsidSect="0020167A">
      <w:footerReference w:type="even" r:id="rId6"/>
      <w:footerReference w:type="default" r:id="rId7"/>
      <w:pgSz w:w="11906" w:h="16838"/>
      <w:pgMar w:top="1928" w:right="1531" w:bottom="1814" w:left="1531" w:header="851" w:footer="992" w:gutter="0"/>
      <w:pgNumType w:fmt="numberInDash"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E41" w:rsidRDefault="00554E41">
      <w:r>
        <w:separator/>
      </w:r>
    </w:p>
  </w:endnote>
  <w:endnote w:type="continuationSeparator" w:id="0">
    <w:p w:rsidR="00554E41" w:rsidRDefault="00554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5253074"/>
      <w:docPartObj>
        <w:docPartGallery w:val="Page Numbers (Bottom of Page)"/>
        <w:docPartUnique/>
      </w:docPartObj>
    </w:sdtPr>
    <w:sdtEndPr/>
    <w:sdtContent>
      <w:p w:rsidR="001A13E1" w:rsidRDefault="001A13E1">
        <w:pPr>
          <w:pStyle w:val="a4"/>
        </w:pPr>
        <w:r>
          <w:fldChar w:fldCharType="begin"/>
        </w:r>
        <w:r>
          <w:instrText>PAGE   \* MERGEFORMAT</w:instrText>
        </w:r>
        <w:r>
          <w:fldChar w:fldCharType="separate"/>
        </w:r>
        <w:r w:rsidR="00A6140C" w:rsidRPr="00A6140C">
          <w:rPr>
            <w:rFonts w:ascii="宋体" w:hAnsi="宋体"/>
            <w:noProof/>
            <w:sz w:val="28"/>
            <w:szCs w:val="28"/>
            <w:lang w:val="zh-CN"/>
          </w:rPr>
          <w:t>-</w:t>
        </w:r>
        <w:r w:rsidR="00A6140C" w:rsidRPr="00A6140C">
          <w:rPr>
            <w:rFonts w:ascii="宋体" w:hAnsi="宋体"/>
            <w:noProof/>
            <w:sz w:val="28"/>
            <w:szCs w:val="28"/>
          </w:rPr>
          <w:t xml:space="preserve"> 2 -</w:t>
        </w:r>
        <w:r>
          <w:fldChar w:fldCharType="end"/>
        </w:r>
      </w:p>
    </w:sdtContent>
  </w:sdt>
  <w:p w:rsidR="001A13E1" w:rsidRDefault="001A13E1">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5935670"/>
      <w:docPartObj>
        <w:docPartGallery w:val="Page Numbers (Bottom of Page)"/>
        <w:docPartUnique/>
      </w:docPartObj>
    </w:sdtPr>
    <w:sdtEndPr>
      <w:rPr>
        <w:rFonts w:ascii="宋体" w:hAnsi="宋体"/>
        <w:sz w:val="28"/>
        <w:szCs w:val="28"/>
      </w:rPr>
    </w:sdtEndPr>
    <w:sdtContent>
      <w:p w:rsidR="001A13E1" w:rsidRPr="001A13E1" w:rsidRDefault="001A13E1">
        <w:pPr>
          <w:pStyle w:val="a4"/>
          <w:jc w:val="right"/>
          <w:rPr>
            <w:rFonts w:ascii="宋体" w:hAnsi="宋体"/>
            <w:sz w:val="28"/>
            <w:szCs w:val="28"/>
          </w:rPr>
        </w:pPr>
        <w:r w:rsidRPr="001A13E1">
          <w:rPr>
            <w:rFonts w:ascii="宋体" w:hAnsi="宋体"/>
            <w:sz w:val="28"/>
            <w:szCs w:val="28"/>
          </w:rPr>
          <w:fldChar w:fldCharType="begin"/>
        </w:r>
        <w:r w:rsidRPr="001A13E1">
          <w:rPr>
            <w:rFonts w:ascii="宋体" w:hAnsi="宋体"/>
            <w:sz w:val="28"/>
            <w:szCs w:val="28"/>
          </w:rPr>
          <w:instrText>PAGE   \* MERGEFORMAT</w:instrText>
        </w:r>
        <w:r w:rsidRPr="001A13E1">
          <w:rPr>
            <w:rFonts w:ascii="宋体" w:hAnsi="宋体"/>
            <w:sz w:val="28"/>
            <w:szCs w:val="28"/>
          </w:rPr>
          <w:fldChar w:fldCharType="separate"/>
        </w:r>
        <w:r w:rsidR="00A6140C" w:rsidRPr="00A6140C">
          <w:rPr>
            <w:rFonts w:ascii="宋体" w:hAnsi="宋体"/>
            <w:noProof/>
            <w:sz w:val="28"/>
            <w:szCs w:val="28"/>
            <w:lang w:val="zh-CN"/>
          </w:rPr>
          <w:t>-</w:t>
        </w:r>
        <w:r w:rsidR="00A6140C">
          <w:rPr>
            <w:rFonts w:ascii="宋体" w:hAnsi="宋体"/>
            <w:noProof/>
            <w:sz w:val="28"/>
            <w:szCs w:val="28"/>
          </w:rPr>
          <w:t xml:space="preserve"> 1 -</w:t>
        </w:r>
        <w:r w:rsidRPr="001A13E1">
          <w:rPr>
            <w:rFonts w:ascii="宋体" w:hAnsi="宋体"/>
            <w:sz w:val="28"/>
            <w:szCs w:val="28"/>
          </w:rPr>
          <w:fldChar w:fldCharType="end"/>
        </w:r>
      </w:p>
    </w:sdtContent>
  </w:sdt>
  <w:p w:rsidR="00A9785C" w:rsidRDefault="00554E4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E41" w:rsidRDefault="00554E41">
      <w:r>
        <w:separator/>
      </w:r>
    </w:p>
  </w:footnote>
  <w:footnote w:type="continuationSeparator" w:id="0">
    <w:p w:rsidR="00554E41" w:rsidRDefault="00554E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CC7"/>
    <w:rsid w:val="000236CC"/>
    <w:rsid w:val="000718F2"/>
    <w:rsid w:val="000B14B7"/>
    <w:rsid w:val="000D7EBF"/>
    <w:rsid w:val="000E10CA"/>
    <w:rsid w:val="00132C43"/>
    <w:rsid w:val="00143D81"/>
    <w:rsid w:val="00174A45"/>
    <w:rsid w:val="001A13E1"/>
    <w:rsid w:val="001C0926"/>
    <w:rsid w:val="0020167A"/>
    <w:rsid w:val="00247537"/>
    <w:rsid w:val="00251239"/>
    <w:rsid w:val="00282A3C"/>
    <w:rsid w:val="002B5100"/>
    <w:rsid w:val="0033778D"/>
    <w:rsid w:val="0035686D"/>
    <w:rsid w:val="00361A67"/>
    <w:rsid w:val="00365CA5"/>
    <w:rsid w:val="003C311A"/>
    <w:rsid w:val="00442915"/>
    <w:rsid w:val="00463787"/>
    <w:rsid w:val="004A5680"/>
    <w:rsid w:val="004D4A99"/>
    <w:rsid w:val="00503CBA"/>
    <w:rsid w:val="00521E21"/>
    <w:rsid w:val="00522DE2"/>
    <w:rsid w:val="0055492F"/>
    <w:rsid w:val="00554E41"/>
    <w:rsid w:val="005B51D4"/>
    <w:rsid w:val="00613225"/>
    <w:rsid w:val="00664D8B"/>
    <w:rsid w:val="006D6962"/>
    <w:rsid w:val="007432F3"/>
    <w:rsid w:val="0074654A"/>
    <w:rsid w:val="00755CB5"/>
    <w:rsid w:val="0079354E"/>
    <w:rsid w:val="007A5C0F"/>
    <w:rsid w:val="007E30E6"/>
    <w:rsid w:val="007E73F0"/>
    <w:rsid w:val="007F7658"/>
    <w:rsid w:val="008108EF"/>
    <w:rsid w:val="00815E6D"/>
    <w:rsid w:val="00870488"/>
    <w:rsid w:val="008A1AEA"/>
    <w:rsid w:val="008F5DDC"/>
    <w:rsid w:val="0093471C"/>
    <w:rsid w:val="00977C9A"/>
    <w:rsid w:val="009922E7"/>
    <w:rsid w:val="009A0A56"/>
    <w:rsid w:val="009E6491"/>
    <w:rsid w:val="00A6140C"/>
    <w:rsid w:val="00AC5345"/>
    <w:rsid w:val="00BA4E22"/>
    <w:rsid w:val="00BB74E3"/>
    <w:rsid w:val="00BC45E4"/>
    <w:rsid w:val="00BF21DE"/>
    <w:rsid w:val="00C27AB0"/>
    <w:rsid w:val="00C426A8"/>
    <w:rsid w:val="00C4530C"/>
    <w:rsid w:val="00C5693F"/>
    <w:rsid w:val="00C84B39"/>
    <w:rsid w:val="00C856CF"/>
    <w:rsid w:val="00CA0C9E"/>
    <w:rsid w:val="00CA4CD6"/>
    <w:rsid w:val="00CD6EA1"/>
    <w:rsid w:val="00CF31EA"/>
    <w:rsid w:val="00CF7D00"/>
    <w:rsid w:val="00D0178A"/>
    <w:rsid w:val="00D20283"/>
    <w:rsid w:val="00D52C7B"/>
    <w:rsid w:val="00D86398"/>
    <w:rsid w:val="00DC1779"/>
    <w:rsid w:val="00DD4017"/>
    <w:rsid w:val="00E10127"/>
    <w:rsid w:val="00E21431"/>
    <w:rsid w:val="00E41F42"/>
    <w:rsid w:val="00E452A8"/>
    <w:rsid w:val="00E579BB"/>
    <w:rsid w:val="00E60C22"/>
    <w:rsid w:val="00E828DB"/>
    <w:rsid w:val="00E84F89"/>
    <w:rsid w:val="00E97311"/>
    <w:rsid w:val="00ED399B"/>
    <w:rsid w:val="00ED597A"/>
    <w:rsid w:val="00EF5CC7"/>
    <w:rsid w:val="00F27240"/>
    <w:rsid w:val="00F61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01B59"/>
  <w15:docId w15:val="{8A581F8E-9852-4DC2-B00C-9668634C7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CC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EF5CC7"/>
    <w:pPr>
      <w:ind w:firstLineChars="200" w:firstLine="420"/>
    </w:pPr>
  </w:style>
  <w:style w:type="paragraph" w:styleId="a4">
    <w:name w:val="footer"/>
    <w:basedOn w:val="a"/>
    <w:link w:val="a5"/>
    <w:uiPriority w:val="99"/>
    <w:qFormat/>
    <w:rsid w:val="00EF5CC7"/>
    <w:pPr>
      <w:tabs>
        <w:tab w:val="center" w:pos="4153"/>
        <w:tab w:val="right" w:pos="8306"/>
      </w:tabs>
      <w:snapToGrid w:val="0"/>
      <w:jc w:val="left"/>
    </w:pPr>
    <w:rPr>
      <w:sz w:val="18"/>
      <w:szCs w:val="18"/>
    </w:rPr>
  </w:style>
  <w:style w:type="character" w:customStyle="1" w:styleId="a5">
    <w:name w:val="页脚 字符"/>
    <w:basedOn w:val="a0"/>
    <w:link w:val="a4"/>
    <w:uiPriority w:val="99"/>
    <w:rsid w:val="00EF5CC7"/>
    <w:rPr>
      <w:rFonts w:ascii="Times New Roman" w:eastAsia="宋体" w:hAnsi="Times New Roman" w:cs="Times New Roman"/>
      <w:sz w:val="18"/>
      <w:szCs w:val="18"/>
    </w:rPr>
  </w:style>
  <w:style w:type="paragraph" w:styleId="a6">
    <w:name w:val="header"/>
    <w:basedOn w:val="a"/>
    <w:link w:val="a7"/>
    <w:uiPriority w:val="99"/>
    <w:unhideWhenUsed/>
    <w:rsid w:val="00977C9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977C9A"/>
    <w:rPr>
      <w:rFonts w:ascii="Times New Roman" w:eastAsia="宋体" w:hAnsi="Times New Roman" w:cs="Times New Roman"/>
      <w:sz w:val="18"/>
      <w:szCs w:val="18"/>
    </w:rPr>
  </w:style>
  <w:style w:type="paragraph" w:styleId="a8">
    <w:name w:val="Balloon Text"/>
    <w:basedOn w:val="a"/>
    <w:link w:val="a9"/>
    <w:uiPriority w:val="99"/>
    <w:semiHidden/>
    <w:unhideWhenUsed/>
    <w:rsid w:val="00D52C7B"/>
    <w:rPr>
      <w:sz w:val="18"/>
      <w:szCs w:val="18"/>
    </w:rPr>
  </w:style>
  <w:style w:type="character" w:customStyle="1" w:styleId="a9">
    <w:name w:val="批注框文本 字符"/>
    <w:basedOn w:val="a0"/>
    <w:link w:val="a8"/>
    <w:uiPriority w:val="99"/>
    <w:semiHidden/>
    <w:rsid w:val="00D52C7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97</Words>
  <Characters>556</Characters>
  <Application>Microsoft Office Word</Application>
  <DocSecurity>0</DocSecurity>
  <Lines>4</Lines>
  <Paragraphs>1</Paragraphs>
  <ScaleCrop>false</ScaleCrop>
  <Company>神州网信技术有限公司</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肖爱丽</dc:creator>
  <cp:keywords/>
  <dc:description/>
  <cp:lastModifiedBy>肖爱丽</cp:lastModifiedBy>
  <cp:revision>74</cp:revision>
  <dcterms:created xsi:type="dcterms:W3CDTF">2025-05-28T01:39:00Z</dcterms:created>
  <dcterms:modified xsi:type="dcterms:W3CDTF">2025-08-08T02:33:00Z</dcterms:modified>
</cp:coreProperties>
</file>