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5B" w:rsidRDefault="00267FD0">
      <w:pPr>
        <w:keepNext/>
        <w:keepLines/>
        <w:spacing w:line="300" w:lineRule="auto"/>
        <w:jc w:val="left"/>
        <w:outlineLvl w:val="0"/>
        <w:rPr>
          <w:rFonts w:eastAsia="方正小标宋简体"/>
          <w:iCs/>
          <w:kern w:val="0"/>
          <w:sz w:val="24"/>
        </w:rPr>
      </w:pPr>
      <w:bookmarkStart w:id="0" w:name="_Toc436647222"/>
      <w:bookmarkStart w:id="1" w:name="_Toc436648566"/>
      <w:bookmarkStart w:id="2" w:name="_Toc91681949"/>
      <w:bookmarkStart w:id="3" w:name="_Toc410385819"/>
      <w:bookmarkStart w:id="4" w:name="_GoBack"/>
      <w:bookmarkEnd w:id="4"/>
      <w:r>
        <w:rPr>
          <w:rFonts w:eastAsia="方正小标宋简体" w:hint="eastAsia"/>
          <w:iCs/>
          <w:kern w:val="0"/>
          <w:sz w:val="24"/>
        </w:rPr>
        <w:t>附件</w:t>
      </w:r>
      <w:r>
        <w:rPr>
          <w:rFonts w:eastAsia="方正小标宋简体"/>
          <w:iCs/>
          <w:kern w:val="0"/>
          <w:sz w:val="24"/>
        </w:rPr>
        <w:t xml:space="preserve"> </w:t>
      </w:r>
      <w:bookmarkEnd w:id="0"/>
      <w:bookmarkEnd w:id="1"/>
      <w:bookmarkEnd w:id="2"/>
      <w:bookmarkEnd w:id="3"/>
      <w:r w:rsidR="00E61431">
        <w:rPr>
          <w:rFonts w:eastAsia="方正小标宋简体" w:hint="eastAsia"/>
          <w:iCs/>
          <w:kern w:val="0"/>
          <w:sz w:val="24"/>
        </w:rPr>
        <w:t>2</w:t>
      </w:r>
    </w:p>
    <w:p w:rsidR="000E5B5B" w:rsidRPr="005A5BA6" w:rsidRDefault="002356DB" w:rsidP="005A5BA6">
      <w:pPr>
        <w:widowControl/>
        <w:snapToGrid w:val="0"/>
        <w:spacing w:beforeLines="50" w:before="156" w:afterLines="50" w:after="156" w:line="300" w:lineRule="auto"/>
        <w:jc w:val="center"/>
        <w:outlineLvl w:val="0"/>
        <w:rPr>
          <w:rFonts w:ascii="黑体" w:eastAsia="黑体" w:hAnsi="黑体"/>
          <w:bCs/>
          <w:snapToGrid w:val="0"/>
          <w:color w:val="000000"/>
          <w:kern w:val="0"/>
          <w:sz w:val="32"/>
          <w:szCs w:val="32"/>
        </w:rPr>
      </w:pPr>
      <w:r w:rsidRPr="002356DB">
        <w:rPr>
          <w:rFonts w:ascii="黑体" w:eastAsia="黑体" w:hAnsi="黑体" w:hint="eastAsia"/>
          <w:bCs/>
          <w:snapToGrid w:val="0"/>
          <w:color w:val="000000"/>
          <w:kern w:val="0"/>
          <w:sz w:val="32"/>
          <w:szCs w:val="32"/>
        </w:rPr>
        <w:t>化妆品毒理学试验方法样品前处理通则</w:t>
      </w:r>
    </w:p>
    <w:p w:rsidR="000E5B5B" w:rsidRDefault="00267FD0" w:rsidP="00EA7A34">
      <w:pPr>
        <w:snapToGrid w:val="0"/>
        <w:spacing w:beforeLines="50" w:before="156" w:afterLines="50" w:after="156" w:line="300" w:lineRule="auto"/>
        <w:jc w:val="center"/>
        <w:rPr>
          <w:rFonts w:eastAsia="黑体"/>
          <w:color w:val="000000" w:themeColor="text1"/>
          <w:szCs w:val="21"/>
        </w:rPr>
      </w:pPr>
      <w:r>
        <w:rPr>
          <w:rFonts w:eastAsia="黑体"/>
          <w:color w:val="000000" w:themeColor="text1"/>
          <w:szCs w:val="21"/>
        </w:rPr>
        <w:t xml:space="preserve">General </w:t>
      </w:r>
      <w:r w:rsidR="00582D12">
        <w:rPr>
          <w:rFonts w:eastAsia="黑体" w:hint="eastAsia"/>
          <w:color w:val="000000" w:themeColor="text1"/>
          <w:szCs w:val="21"/>
        </w:rPr>
        <w:t>R</w:t>
      </w:r>
      <w:r w:rsidR="00582D12">
        <w:rPr>
          <w:rFonts w:eastAsia="黑体"/>
          <w:color w:val="000000" w:themeColor="text1"/>
          <w:szCs w:val="21"/>
        </w:rPr>
        <w:t xml:space="preserve">ule </w:t>
      </w:r>
      <w:r>
        <w:rPr>
          <w:rFonts w:eastAsia="黑体"/>
          <w:color w:val="000000" w:themeColor="text1"/>
          <w:szCs w:val="21"/>
        </w:rPr>
        <w:t xml:space="preserve">for </w:t>
      </w:r>
      <w:r w:rsidR="00582D12">
        <w:rPr>
          <w:rFonts w:eastAsia="黑体" w:hint="eastAsia"/>
          <w:color w:val="000000" w:themeColor="text1"/>
          <w:szCs w:val="21"/>
        </w:rPr>
        <w:t>P</w:t>
      </w:r>
      <w:r w:rsidR="00582D12">
        <w:rPr>
          <w:rFonts w:eastAsia="黑体"/>
          <w:color w:val="000000" w:themeColor="text1"/>
          <w:szCs w:val="21"/>
        </w:rPr>
        <w:t xml:space="preserve">retreatment </w:t>
      </w:r>
      <w:r>
        <w:rPr>
          <w:rFonts w:eastAsia="黑体"/>
          <w:color w:val="000000" w:themeColor="text1"/>
          <w:szCs w:val="21"/>
        </w:rPr>
        <w:t xml:space="preserve">of </w:t>
      </w:r>
      <w:r w:rsidR="00582D12">
        <w:rPr>
          <w:rFonts w:eastAsia="黑体" w:hint="eastAsia"/>
          <w:color w:val="000000" w:themeColor="text1"/>
          <w:szCs w:val="21"/>
        </w:rPr>
        <w:t>C</w:t>
      </w:r>
      <w:r w:rsidR="00582D12">
        <w:rPr>
          <w:rFonts w:eastAsia="黑体"/>
          <w:color w:val="000000" w:themeColor="text1"/>
          <w:szCs w:val="21"/>
        </w:rPr>
        <w:t xml:space="preserve">osmetic </w:t>
      </w:r>
      <w:r>
        <w:rPr>
          <w:rFonts w:eastAsia="黑体"/>
          <w:color w:val="000000" w:themeColor="text1"/>
          <w:szCs w:val="21"/>
        </w:rPr>
        <w:t xml:space="preserve">in </w:t>
      </w:r>
      <w:r w:rsidR="00582D12">
        <w:rPr>
          <w:rFonts w:eastAsia="黑体" w:hint="eastAsia"/>
          <w:color w:val="000000" w:themeColor="text1"/>
          <w:szCs w:val="21"/>
        </w:rPr>
        <w:t>T</w:t>
      </w:r>
      <w:r w:rsidR="00582D12">
        <w:rPr>
          <w:rFonts w:eastAsia="黑体"/>
          <w:color w:val="000000" w:themeColor="text1"/>
          <w:szCs w:val="21"/>
        </w:rPr>
        <w:t xml:space="preserve">oxicological </w:t>
      </w:r>
      <w:r w:rsidR="00582D12">
        <w:rPr>
          <w:rFonts w:eastAsia="黑体" w:hint="eastAsia"/>
          <w:color w:val="000000" w:themeColor="text1"/>
          <w:szCs w:val="21"/>
        </w:rPr>
        <w:t>E</w:t>
      </w:r>
      <w:r w:rsidR="00582D12">
        <w:rPr>
          <w:rFonts w:eastAsia="黑体"/>
          <w:color w:val="000000" w:themeColor="text1"/>
          <w:szCs w:val="21"/>
        </w:rPr>
        <w:t>xperiments</w:t>
      </w:r>
    </w:p>
    <w:p w:rsidR="000E5B5B" w:rsidRDefault="00267FD0" w:rsidP="00EA7A34">
      <w:pPr>
        <w:snapToGrid w:val="0"/>
        <w:spacing w:beforeLines="50" w:before="156" w:afterLines="50" w:after="156" w:line="300" w:lineRule="auto"/>
        <w:rPr>
          <w:rFonts w:ascii="黑体" w:eastAsia="黑体" w:hAnsi="黑体"/>
          <w:color w:val="000000" w:themeColor="text1"/>
          <w:szCs w:val="21"/>
        </w:rPr>
      </w:pPr>
      <w:r>
        <w:rPr>
          <w:rFonts w:eastAsia="黑体"/>
          <w:color w:val="000000" w:themeColor="text1"/>
          <w:szCs w:val="21"/>
        </w:rPr>
        <w:t>1</w:t>
      </w:r>
      <w:r w:rsidR="00267B8A">
        <w:rPr>
          <w:rFonts w:ascii="黑体" w:eastAsia="黑体" w:hAnsi="黑体" w:hint="eastAsia"/>
          <w:color w:val="000000" w:themeColor="text1"/>
          <w:szCs w:val="21"/>
        </w:rPr>
        <w:t xml:space="preserve">  </w:t>
      </w:r>
      <w:r>
        <w:rPr>
          <w:rFonts w:ascii="黑体" w:eastAsia="黑体" w:hAnsi="黑体" w:hint="eastAsia"/>
          <w:color w:val="000000" w:themeColor="text1"/>
          <w:szCs w:val="21"/>
        </w:rPr>
        <w:t>范围</w:t>
      </w:r>
    </w:p>
    <w:p w:rsidR="000E5B5B" w:rsidRDefault="00267FD0">
      <w:pPr>
        <w:snapToGrid w:val="0"/>
        <w:spacing w:line="300" w:lineRule="auto"/>
        <w:ind w:firstLineChars="200" w:firstLine="420"/>
        <w:rPr>
          <w:color w:val="000000" w:themeColor="text1"/>
          <w:szCs w:val="21"/>
        </w:rPr>
      </w:pPr>
      <w:r>
        <w:rPr>
          <w:color w:val="000000" w:themeColor="text1"/>
          <w:szCs w:val="21"/>
        </w:rPr>
        <w:t>本规范规定了</w:t>
      </w:r>
      <w:r>
        <w:rPr>
          <w:rFonts w:hint="eastAsia"/>
          <w:color w:val="000000" w:themeColor="text1"/>
          <w:szCs w:val="21"/>
        </w:rPr>
        <w:t>化妆品</w:t>
      </w:r>
      <w:r>
        <w:rPr>
          <w:color w:val="000000" w:themeColor="text1"/>
          <w:szCs w:val="21"/>
        </w:rPr>
        <w:t>毒理学试验样品前处理的基本原则、要求和方法。</w:t>
      </w:r>
    </w:p>
    <w:p w:rsidR="000E5B5B" w:rsidRDefault="00267FD0">
      <w:pPr>
        <w:snapToGrid w:val="0"/>
        <w:spacing w:line="300" w:lineRule="auto"/>
        <w:ind w:firstLineChars="200" w:firstLine="420"/>
        <w:rPr>
          <w:color w:val="000000" w:themeColor="text1"/>
          <w:szCs w:val="21"/>
        </w:rPr>
      </w:pPr>
      <w:r>
        <w:rPr>
          <w:color w:val="000000" w:themeColor="text1"/>
          <w:szCs w:val="21"/>
        </w:rPr>
        <w:t>本规范适用于化妆品原料</w:t>
      </w:r>
      <w:r>
        <w:rPr>
          <w:rFonts w:hint="eastAsia"/>
          <w:color w:val="000000" w:themeColor="text1"/>
          <w:szCs w:val="21"/>
        </w:rPr>
        <w:t>和</w:t>
      </w:r>
      <w:r>
        <w:rPr>
          <w:color w:val="000000" w:themeColor="text1"/>
          <w:szCs w:val="21"/>
        </w:rPr>
        <w:t>产品的毒理学试验检测。</w:t>
      </w:r>
    </w:p>
    <w:p w:rsidR="000E5B5B" w:rsidRDefault="00267FD0" w:rsidP="00EA7A34">
      <w:pPr>
        <w:snapToGrid w:val="0"/>
        <w:spacing w:beforeLines="50" w:before="156" w:afterLines="50" w:after="156" w:line="300" w:lineRule="auto"/>
        <w:rPr>
          <w:rFonts w:ascii="黑体" w:eastAsia="黑体" w:hAnsi="黑体"/>
          <w:color w:val="000000" w:themeColor="text1"/>
          <w:szCs w:val="21"/>
        </w:rPr>
      </w:pPr>
      <w:r>
        <w:rPr>
          <w:rFonts w:eastAsia="黑体"/>
          <w:color w:val="000000" w:themeColor="text1"/>
          <w:szCs w:val="21"/>
        </w:rPr>
        <w:t>2</w:t>
      </w:r>
      <w:r>
        <w:rPr>
          <w:rFonts w:eastAsia="黑体" w:hint="eastAsia"/>
          <w:color w:val="000000" w:themeColor="text1"/>
          <w:szCs w:val="21"/>
        </w:rPr>
        <w:t xml:space="preserve"> </w:t>
      </w:r>
      <w:r w:rsidR="00267B8A">
        <w:rPr>
          <w:rFonts w:eastAsia="黑体" w:hint="eastAsia"/>
          <w:color w:val="000000" w:themeColor="text1"/>
          <w:szCs w:val="21"/>
        </w:rPr>
        <w:t xml:space="preserve"> </w:t>
      </w:r>
      <w:r>
        <w:rPr>
          <w:rFonts w:ascii="黑体" w:eastAsia="黑体" w:hAnsi="黑体"/>
          <w:color w:val="000000" w:themeColor="text1"/>
          <w:szCs w:val="21"/>
        </w:rPr>
        <w:t>试验目的</w:t>
      </w:r>
    </w:p>
    <w:p w:rsidR="000E5B5B" w:rsidRDefault="00267FD0">
      <w:pPr>
        <w:snapToGrid w:val="0"/>
        <w:spacing w:line="300" w:lineRule="auto"/>
        <w:ind w:firstLineChars="200" w:firstLine="420"/>
        <w:rPr>
          <w:color w:val="000000" w:themeColor="text1"/>
          <w:szCs w:val="21"/>
        </w:rPr>
      </w:pPr>
      <w:r>
        <w:rPr>
          <w:color w:val="000000" w:themeColor="text1"/>
          <w:szCs w:val="21"/>
        </w:rPr>
        <w:t>在毒理学试验开始之前，首先应对样品进行前处理操作，通过样品前处理可以增加受试物与试验体系（包括实验动物、细胞、细菌等）的接触，增加样品吸收率，使样品性状更利于试验操作，保证毒理学试验的科学性和严谨性。</w:t>
      </w:r>
    </w:p>
    <w:p w:rsidR="000E5B5B" w:rsidRDefault="00267FD0" w:rsidP="00BB026E">
      <w:pPr>
        <w:snapToGrid w:val="0"/>
        <w:spacing w:beforeLines="50" w:before="156" w:afterLines="50" w:after="156" w:line="300" w:lineRule="auto"/>
        <w:rPr>
          <w:rFonts w:ascii="黑体" w:eastAsia="黑体" w:hAnsi="黑体"/>
          <w:color w:val="000000" w:themeColor="text1"/>
          <w:szCs w:val="21"/>
        </w:rPr>
      </w:pPr>
      <w:r>
        <w:rPr>
          <w:rFonts w:eastAsia="黑体"/>
          <w:color w:val="000000" w:themeColor="text1"/>
          <w:szCs w:val="21"/>
        </w:rPr>
        <w:t>3</w:t>
      </w:r>
      <w:r>
        <w:rPr>
          <w:rFonts w:ascii="黑体" w:eastAsia="黑体" w:hAnsi="黑体"/>
          <w:color w:val="000000" w:themeColor="text1"/>
          <w:szCs w:val="21"/>
        </w:rPr>
        <w:t xml:space="preserve"> </w:t>
      </w:r>
      <w:r w:rsidR="00267B8A">
        <w:rPr>
          <w:rFonts w:ascii="黑体" w:eastAsia="黑体" w:hAnsi="黑体" w:hint="eastAsia"/>
          <w:color w:val="000000" w:themeColor="text1"/>
          <w:szCs w:val="21"/>
        </w:rPr>
        <w:t xml:space="preserve"> </w:t>
      </w:r>
      <w:r>
        <w:rPr>
          <w:rFonts w:ascii="黑体" w:eastAsia="黑体" w:hAnsi="黑体"/>
          <w:color w:val="000000" w:themeColor="text1"/>
          <w:szCs w:val="21"/>
        </w:rPr>
        <w:t>定义</w:t>
      </w:r>
    </w:p>
    <w:p w:rsidR="000E5B5B" w:rsidRDefault="00267FD0">
      <w:pPr>
        <w:snapToGrid w:val="0"/>
        <w:spacing w:beforeLines="50" w:before="156" w:afterLines="50" w:after="156" w:line="300" w:lineRule="auto"/>
        <w:rPr>
          <w:color w:val="000000" w:themeColor="text1"/>
          <w:szCs w:val="21"/>
        </w:rPr>
      </w:pPr>
      <w:r>
        <w:rPr>
          <w:color w:val="000000" w:themeColor="text1"/>
          <w:szCs w:val="21"/>
        </w:rPr>
        <w:t>3.1</w:t>
      </w:r>
      <w:r w:rsidR="00267B8A">
        <w:rPr>
          <w:rFonts w:hint="eastAsia"/>
          <w:color w:val="000000" w:themeColor="text1"/>
          <w:szCs w:val="21"/>
        </w:rPr>
        <w:t xml:space="preserve">  </w:t>
      </w:r>
      <w:r>
        <w:rPr>
          <w:color w:val="000000" w:themeColor="text1"/>
          <w:szCs w:val="21"/>
        </w:rPr>
        <w:t>前处理</w:t>
      </w:r>
    </w:p>
    <w:p w:rsidR="000E5B5B" w:rsidRDefault="00267FD0">
      <w:pPr>
        <w:snapToGrid w:val="0"/>
        <w:spacing w:line="300" w:lineRule="auto"/>
        <w:ind w:firstLineChars="200" w:firstLine="420"/>
        <w:rPr>
          <w:color w:val="000000" w:themeColor="text1"/>
          <w:szCs w:val="21"/>
        </w:rPr>
      </w:pPr>
      <w:r>
        <w:rPr>
          <w:color w:val="000000" w:themeColor="text1"/>
          <w:szCs w:val="21"/>
        </w:rPr>
        <w:t>指在毒理学试验开始前，对受试样品进行溶解、研磨、混匀、赋形、剂量分组、合理保存等一系列的准备性操作。</w:t>
      </w:r>
    </w:p>
    <w:p w:rsidR="000E5B5B" w:rsidRDefault="00267FD0" w:rsidP="00EA7A34">
      <w:pPr>
        <w:snapToGrid w:val="0"/>
        <w:spacing w:beforeLines="50" w:before="156" w:afterLines="50" w:after="156" w:line="300" w:lineRule="auto"/>
        <w:rPr>
          <w:color w:val="000000" w:themeColor="text1"/>
          <w:szCs w:val="21"/>
        </w:rPr>
      </w:pPr>
      <w:r>
        <w:rPr>
          <w:rFonts w:eastAsia="黑体"/>
          <w:color w:val="000000" w:themeColor="text1"/>
          <w:szCs w:val="21"/>
        </w:rPr>
        <w:t>4</w:t>
      </w:r>
      <w:r>
        <w:rPr>
          <w:rFonts w:ascii="黑体" w:eastAsia="黑体" w:hAnsi="黑体"/>
          <w:color w:val="000000" w:themeColor="text1"/>
          <w:szCs w:val="21"/>
        </w:rPr>
        <w:t xml:space="preserve"> </w:t>
      </w:r>
      <w:r w:rsidR="00267B8A">
        <w:rPr>
          <w:rFonts w:ascii="黑体" w:eastAsia="黑体" w:hAnsi="黑体" w:hint="eastAsia"/>
          <w:color w:val="000000" w:themeColor="text1"/>
          <w:szCs w:val="21"/>
        </w:rPr>
        <w:t xml:space="preserve"> </w:t>
      </w:r>
      <w:r>
        <w:rPr>
          <w:rFonts w:ascii="黑体" w:eastAsia="黑体" w:hAnsi="黑体"/>
          <w:color w:val="000000" w:themeColor="text1"/>
          <w:szCs w:val="21"/>
        </w:rPr>
        <w:t>前处理的基本原则</w:t>
      </w:r>
    </w:p>
    <w:p w:rsidR="000E5B5B" w:rsidRDefault="00267FD0">
      <w:pPr>
        <w:snapToGrid w:val="0"/>
        <w:spacing w:line="300" w:lineRule="auto"/>
        <w:ind w:firstLineChars="200" w:firstLine="420"/>
        <w:rPr>
          <w:color w:val="000000" w:themeColor="text1"/>
          <w:sz w:val="24"/>
        </w:rPr>
      </w:pPr>
      <w:r>
        <w:rPr>
          <w:color w:val="000000" w:themeColor="text1"/>
          <w:szCs w:val="21"/>
        </w:rPr>
        <w:t>化妆品原料</w:t>
      </w:r>
      <w:r>
        <w:rPr>
          <w:rFonts w:hint="eastAsia"/>
          <w:color w:val="000000" w:themeColor="text1"/>
          <w:szCs w:val="21"/>
        </w:rPr>
        <w:t>和</w:t>
      </w:r>
      <w:r>
        <w:rPr>
          <w:color w:val="000000" w:themeColor="text1"/>
          <w:szCs w:val="21"/>
        </w:rPr>
        <w:t>产品的前处理方式需要综合考虑样品的理化性质和毒理学试验方案。对于化妆品原料而言，应根据受试物的理化特性和染毒方式确定前处理方法。对于化妆品产品而言，则主要考虑化妆品产品的物理性状和实际应用中的使用方法。</w:t>
      </w:r>
      <w:r>
        <w:rPr>
          <w:rFonts w:hint="eastAsia"/>
          <w:color w:val="000000" w:themeColor="text1"/>
          <w:szCs w:val="21"/>
        </w:rPr>
        <w:t>化妆品原料和产品的样品前处理均需遵守现用现配原则。</w:t>
      </w:r>
    </w:p>
    <w:p w:rsidR="000E5B5B" w:rsidRDefault="00267FD0">
      <w:pPr>
        <w:snapToGrid w:val="0"/>
        <w:spacing w:beforeLines="50" w:before="156" w:afterLines="50" w:after="156" w:line="300" w:lineRule="auto"/>
        <w:rPr>
          <w:rFonts w:eastAsia="黑体"/>
          <w:color w:val="000000" w:themeColor="text1"/>
          <w:szCs w:val="21"/>
        </w:rPr>
      </w:pPr>
      <w:r>
        <w:rPr>
          <w:rFonts w:eastAsia="黑体"/>
          <w:color w:val="000000" w:themeColor="text1"/>
          <w:szCs w:val="21"/>
        </w:rPr>
        <w:t>5</w:t>
      </w:r>
      <w:r w:rsidR="00267B8A">
        <w:rPr>
          <w:rFonts w:eastAsia="黑体" w:hint="eastAsia"/>
          <w:color w:val="000000" w:themeColor="text1"/>
          <w:szCs w:val="21"/>
        </w:rPr>
        <w:t xml:space="preserve">  </w:t>
      </w:r>
      <w:r>
        <w:rPr>
          <w:rFonts w:eastAsia="黑体"/>
          <w:color w:val="000000" w:themeColor="text1"/>
          <w:szCs w:val="21"/>
        </w:rPr>
        <w:t>前处理方法</w:t>
      </w:r>
    </w:p>
    <w:p w:rsidR="000E5B5B" w:rsidRDefault="00267FD0">
      <w:pPr>
        <w:snapToGrid w:val="0"/>
        <w:spacing w:line="300" w:lineRule="auto"/>
        <w:ind w:firstLineChars="200" w:firstLine="420"/>
        <w:rPr>
          <w:color w:val="000000" w:themeColor="text1"/>
          <w:szCs w:val="21"/>
        </w:rPr>
      </w:pPr>
      <w:r>
        <w:rPr>
          <w:color w:val="000000" w:themeColor="text1"/>
          <w:szCs w:val="21"/>
        </w:rPr>
        <w:t>根据毒理学试验的要求，需</w:t>
      </w:r>
      <w:r>
        <w:rPr>
          <w:rFonts w:hint="eastAsia"/>
          <w:color w:val="000000" w:themeColor="text1"/>
          <w:szCs w:val="21"/>
        </w:rPr>
        <w:t>要对样品</w:t>
      </w:r>
      <w:r>
        <w:rPr>
          <w:color w:val="000000" w:themeColor="text1"/>
          <w:szCs w:val="21"/>
        </w:rPr>
        <w:t>进行前处理</w:t>
      </w:r>
      <w:r>
        <w:rPr>
          <w:rFonts w:hint="eastAsia"/>
          <w:color w:val="000000" w:themeColor="text1"/>
          <w:szCs w:val="21"/>
        </w:rPr>
        <w:t>的准备工作</w:t>
      </w:r>
      <w:r>
        <w:rPr>
          <w:color w:val="000000" w:themeColor="text1"/>
          <w:szCs w:val="21"/>
        </w:rPr>
        <w:t>。受试物的处理不能改变其原有的毒理学性质。受试物进行不同试验时，应结合毒理学试验项目的染毒方式和受试物的理化性质进行相应的前处理工作。</w:t>
      </w:r>
    </w:p>
    <w:p w:rsidR="000E5B5B" w:rsidRDefault="00267FD0">
      <w:pPr>
        <w:snapToGrid w:val="0"/>
        <w:spacing w:beforeLines="50" w:before="156" w:afterLines="50" w:after="156" w:line="300" w:lineRule="auto"/>
        <w:rPr>
          <w:color w:val="000000" w:themeColor="text1"/>
          <w:szCs w:val="21"/>
        </w:rPr>
      </w:pPr>
      <w:r>
        <w:rPr>
          <w:rFonts w:hint="eastAsia"/>
          <w:color w:val="000000" w:themeColor="text1"/>
          <w:szCs w:val="21"/>
        </w:rPr>
        <w:t>5.1</w:t>
      </w:r>
      <w:r w:rsidR="00267B8A">
        <w:rPr>
          <w:rFonts w:hint="eastAsia"/>
          <w:color w:val="000000" w:themeColor="text1"/>
          <w:szCs w:val="21"/>
        </w:rPr>
        <w:t xml:space="preserve">  </w:t>
      </w:r>
      <w:r>
        <w:rPr>
          <w:color w:val="000000" w:themeColor="text1"/>
          <w:szCs w:val="21"/>
        </w:rPr>
        <w:t>溶剂的选择</w:t>
      </w:r>
    </w:p>
    <w:p w:rsidR="000E5B5B" w:rsidRDefault="00267FD0" w:rsidP="00EA7A34">
      <w:pPr>
        <w:widowControl/>
        <w:snapToGrid w:val="0"/>
        <w:spacing w:line="300" w:lineRule="auto"/>
        <w:ind w:firstLineChars="200" w:firstLine="420"/>
        <w:rPr>
          <w:rFonts w:eastAsia="仿宋_GB2312"/>
          <w:color w:val="000000" w:themeColor="text1"/>
          <w:sz w:val="24"/>
        </w:rPr>
      </w:pPr>
      <w:r>
        <w:rPr>
          <w:color w:val="000000" w:themeColor="text1"/>
          <w:szCs w:val="21"/>
        </w:rPr>
        <w:t>化妆品前处理应不改变样品的毒理学性质。当样品需要溶解时，应注意溶剂的选择，以保证样品充分溶解或混悬。</w:t>
      </w:r>
      <w:r>
        <w:rPr>
          <w:rFonts w:hint="eastAsia"/>
          <w:color w:val="000000" w:themeColor="text1"/>
          <w:szCs w:val="21"/>
        </w:rPr>
        <w:t>样品的前处理稀释倍数</w:t>
      </w:r>
      <w:r>
        <w:rPr>
          <w:color w:val="000000" w:themeColor="text1"/>
          <w:szCs w:val="21"/>
        </w:rPr>
        <w:t>应保证最终供试品浓度不低于实际使用浓度。</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t>溶剂的选择应充分了解其毒理特性。溶剂应无特殊刺激性或气味，本身应不产生毒性作用，与受试物各成分之间不发生化学反应，且保持其稳定性，如使用其他溶剂应说明理由。</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t>体外遗传毒性试验中，所选溶剂必须是非致突变物，且不能影响细胞或细菌存活以及</w:t>
      </w:r>
      <w:r>
        <w:rPr>
          <w:color w:val="000000" w:themeColor="text1"/>
          <w:szCs w:val="21"/>
        </w:rPr>
        <w:t>S9</w:t>
      </w:r>
      <w:r>
        <w:rPr>
          <w:color w:val="000000" w:themeColor="text1"/>
          <w:szCs w:val="21"/>
        </w:rPr>
        <w:t>的活性。</w:t>
      </w:r>
      <w:r>
        <w:rPr>
          <w:rFonts w:hint="eastAsia"/>
          <w:color w:val="000000" w:themeColor="text1"/>
          <w:szCs w:val="21"/>
        </w:rPr>
        <w:t>细菌回复突变试验</w:t>
      </w:r>
      <w:r>
        <w:rPr>
          <w:color w:val="000000" w:themeColor="text1"/>
          <w:szCs w:val="21"/>
        </w:rPr>
        <w:t>常用溶剂首选无菌蒸馏水，其次</w:t>
      </w:r>
      <w:r>
        <w:rPr>
          <w:color w:val="000000" w:themeColor="text1"/>
          <w:szCs w:val="21"/>
        </w:rPr>
        <w:t>DMSO</w:t>
      </w:r>
      <w:r>
        <w:rPr>
          <w:color w:val="000000" w:themeColor="text1"/>
          <w:szCs w:val="21"/>
        </w:rPr>
        <w:t>、四氢呋喃、丙酮等。细胞试验常用溶剂首选培养液（不含血清）或无菌蒸馏水，其次</w:t>
      </w:r>
      <w:r>
        <w:rPr>
          <w:color w:val="000000" w:themeColor="text1"/>
          <w:szCs w:val="21"/>
        </w:rPr>
        <w:t>DMSO</w:t>
      </w:r>
      <w:r>
        <w:rPr>
          <w:color w:val="000000" w:themeColor="text1"/>
          <w:szCs w:val="21"/>
        </w:rPr>
        <w:t>、丙酮、甘油等；</w:t>
      </w:r>
      <w:r>
        <w:rPr>
          <w:rFonts w:hint="eastAsia"/>
          <w:color w:val="000000" w:themeColor="text1"/>
          <w:szCs w:val="21"/>
        </w:rPr>
        <w:lastRenderedPageBreak/>
        <w:t>使用有机溶剂时，终浓度应符合具体试验项目的要求，一般而言，</w:t>
      </w:r>
      <w:r>
        <w:rPr>
          <w:rFonts w:hint="eastAsia"/>
          <w:color w:val="000000" w:themeColor="text1"/>
          <w:szCs w:val="21"/>
        </w:rPr>
        <w:t>DMSO</w:t>
      </w:r>
      <w:r>
        <w:rPr>
          <w:rFonts w:hint="eastAsia"/>
          <w:color w:val="000000" w:themeColor="text1"/>
          <w:szCs w:val="21"/>
        </w:rPr>
        <w:t>使用终浓度不应大于</w:t>
      </w:r>
      <w:r>
        <w:rPr>
          <w:rFonts w:hint="eastAsia"/>
          <w:color w:val="000000" w:themeColor="text1"/>
          <w:szCs w:val="21"/>
        </w:rPr>
        <w:t>0.5%</w:t>
      </w:r>
      <w:r>
        <w:rPr>
          <w:rFonts w:hint="eastAsia"/>
          <w:color w:val="000000" w:themeColor="text1"/>
          <w:szCs w:val="21"/>
        </w:rPr>
        <w:t>，丙酮和甘油使用终浓度不应大于</w:t>
      </w:r>
      <w:r>
        <w:rPr>
          <w:rFonts w:hint="eastAsia"/>
          <w:color w:val="000000" w:themeColor="text1"/>
          <w:szCs w:val="21"/>
        </w:rPr>
        <w:t>1%</w:t>
      </w:r>
      <w:r>
        <w:rPr>
          <w:rFonts w:hint="eastAsia"/>
          <w:color w:val="000000" w:themeColor="text1"/>
          <w:szCs w:val="21"/>
        </w:rPr>
        <w:t>。</w:t>
      </w:r>
    </w:p>
    <w:p w:rsidR="000E5B5B" w:rsidRDefault="00267FD0">
      <w:pPr>
        <w:snapToGrid w:val="0"/>
        <w:spacing w:beforeLines="50" w:before="156" w:afterLines="50" w:after="156" w:line="300" w:lineRule="auto"/>
        <w:rPr>
          <w:color w:val="000000" w:themeColor="text1"/>
          <w:szCs w:val="21"/>
        </w:rPr>
      </w:pPr>
      <w:r>
        <w:rPr>
          <w:color w:val="000000" w:themeColor="text1"/>
          <w:szCs w:val="21"/>
        </w:rPr>
        <w:t>5.</w:t>
      </w:r>
      <w:r>
        <w:rPr>
          <w:rFonts w:hint="eastAsia"/>
          <w:color w:val="000000" w:themeColor="text1"/>
          <w:szCs w:val="21"/>
        </w:rPr>
        <w:t>2</w:t>
      </w:r>
      <w:r w:rsidR="00267B8A">
        <w:rPr>
          <w:rFonts w:hint="eastAsia"/>
          <w:color w:val="000000" w:themeColor="text1"/>
          <w:szCs w:val="21"/>
        </w:rPr>
        <w:t xml:space="preserve">  </w:t>
      </w:r>
      <w:r>
        <w:rPr>
          <w:color w:val="000000" w:themeColor="text1"/>
          <w:szCs w:val="21"/>
        </w:rPr>
        <w:t>化妆品原料</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化妆品原料的前处理方法主要取决于样品的物理形态和染毒方式，具体如下：</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.1</w:t>
      </w:r>
      <w:r w:rsidR="00267B8A">
        <w:rPr>
          <w:rFonts w:hint="eastAsia"/>
          <w:color w:val="000000" w:themeColor="text1"/>
          <w:szCs w:val="21"/>
        </w:rPr>
        <w:t xml:space="preserve">  </w:t>
      </w:r>
      <w:r>
        <w:rPr>
          <w:color w:val="000000" w:themeColor="text1"/>
          <w:szCs w:val="21"/>
        </w:rPr>
        <w:t>液态</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准备器材：一次性注射器（</w:t>
      </w:r>
      <w:r>
        <w:rPr>
          <w:color w:val="000000" w:themeColor="text1"/>
          <w:szCs w:val="21"/>
        </w:rPr>
        <w:t>2</w:t>
      </w:r>
      <w:r>
        <w:rPr>
          <w:rFonts w:hint="eastAsia"/>
          <w:color w:val="000000" w:themeColor="text1"/>
          <w:szCs w:val="21"/>
        </w:rPr>
        <w:t xml:space="preserve"> </w:t>
      </w:r>
      <w:r>
        <w:rPr>
          <w:color w:val="000000" w:themeColor="text1"/>
          <w:szCs w:val="21"/>
        </w:rPr>
        <w:t>mL-5</w:t>
      </w:r>
      <w:r>
        <w:rPr>
          <w:rFonts w:hint="eastAsia"/>
          <w:color w:val="000000" w:themeColor="text1"/>
          <w:szCs w:val="21"/>
        </w:rPr>
        <w:t xml:space="preserve"> </w:t>
      </w:r>
      <w:r>
        <w:rPr>
          <w:color w:val="000000" w:themeColor="text1"/>
          <w:szCs w:val="21"/>
        </w:rPr>
        <w:t>mL</w:t>
      </w:r>
      <w:r>
        <w:rPr>
          <w:color w:val="000000" w:themeColor="text1"/>
          <w:szCs w:val="21"/>
        </w:rPr>
        <w:t>），</w:t>
      </w:r>
      <w:r>
        <w:rPr>
          <w:rFonts w:hint="eastAsia"/>
          <w:color w:val="000000" w:themeColor="text1"/>
          <w:szCs w:val="21"/>
        </w:rPr>
        <w:t>无菌离心管（</w:t>
      </w:r>
      <w:r>
        <w:rPr>
          <w:rFonts w:hint="eastAsia"/>
          <w:color w:val="000000" w:themeColor="text1"/>
          <w:szCs w:val="21"/>
        </w:rPr>
        <w:t>15 mL/50 mL</w:t>
      </w:r>
      <w:r>
        <w:rPr>
          <w:rFonts w:hint="eastAsia"/>
          <w:color w:val="000000" w:themeColor="text1"/>
          <w:szCs w:val="21"/>
        </w:rPr>
        <w:t>），移液枪（</w:t>
      </w:r>
      <w:r>
        <w:rPr>
          <w:rFonts w:hint="eastAsia"/>
          <w:color w:val="000000" w:themeColor="text1"/>
          <w:szCs w:val="21"/>
        </w:rPr>
        <w:t>0.1 µL-5 mL</w:t>
      </w:r>
      <w:r>
        <w:rPr>
          <w:rFonts w:hint="eastAsia"/>
          <w:color w:val="000000" w:themeColor="text1"/>
          <w:szCs w:val="21"/>
        </w:rPr>
        <w:t>），</w:t>
      </w:r>
      <w:r>
        <w:rPr>
          <w:color w:val="000000" w:themeColor="text1"/>
          <w:szCs w:val="21"/>
        </w:rPr>
        <w:t>量筒（</w:t>
      </w:r>
      <w:r>
        <w:rPr>
          <w:color w:val="000000" w:themeColor="text1"/>
          <w:szCs w:val="21"/>
        </w:rPr>
        <w:t>10</w:t>
      </w:r>
      <w:r>
        <w:rPr>
          <w:rFonts w:hint="eastAsia"/>
          <w:color w:val="000000" w:themeColor="text1"/>
          <w:szCs w:val="21"/>
        </w:rPr>
        <w:t xml:space="preserve"> </w:t>
      </w:r>
      <w:r>
        <w:rPr>
          <w:color w:val="000000" w:themeColor="text1"/>
          <w:szCs w:val="21"/>
        </w:rPr>
        <w:t>mL</w:t>
      </w:r>
      <w:r>
        <w:rPr>
          <w:color w:val="000000" w:themeColor="text1"/>
          <w:szCs w:val="21"/>
        </w:rPr>
        <w:t>），烧杯，</w:t>
      </w:r>
      <w:r>
        <w:rPr>
          <w:rFonts w:hint="eastAsia"/>
          <w:color w:val="000000" w:themeColor="text1"/>
          <w:szCs w:val="21"/>
        </w:rPr>
        <w:t>旋涡混匀仪，水相</w:t>
      </w:r>
      <w:r>
        <w:rPr>
          <w:rFonts w:hint="eastAsia"/>
          <w:color w:val="000000" w:themeColor="text1"/>
          <w:szCs w:val="21"/>
        </w:rPr>
        <w:t>/</w:t>
      </w:r>
      <w:r>
        <w:rPr>
          <w:rFonts w:hint="eastAsia"/>
          <w:color w:val="000000" w:themeColor="text1"/>
          <w:szCs w:val="21"/>
        </w:rPr>
        <w:t>有机相滤器（</w:t>
      </w:r>
      <w:r>
        <w:rPr>
          <w:rFonts w:hint="eastAsia"/>
          <w:color w:val="000000" w:themeColor="text1"/>
          <w:szCs w:val="21"/>
        </w:rPr>
        <w:t>0.22 µm/0.45 µm</w:t>
      </w:r>
      <w:r>
        <w:rPr>
          <w:rFonts w:hint="eastAsia"/>
          <w:color w:val="000000" w:themeColor="text1"/>
          <w:szCs w:val="21"/>
        </w:rPr>
        <w:t>），溶剂</w:t>
      </w:r>
      <w:r>
        <w:rPr>
          <w:color w:val="000000" w:themeColor="text1"/>
          <w:szCs w:val="21"/>
        </w:rPr>
        <w:t>等。</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取样：根据毒理学试验项目、染毒方式以及样品原液性质计算各剂量组稀释倍数，然后用一次性注射器或</w:t>
      </w:r>
      <w:r>
        <w:rPr>
          <w:rFonts w:hint="eastAsia"/>
          <w:color w:val="000000" w:themeColor="text1"/>
          <w:szCs w:val="21"/>
        </w:rPr>
        <w:t>移液枪</w:t>
      </w:r>
      <w:r>
        <w:rPr>
          <w:color w:val="000000" w:themeColor="text1"/>
          <w:szCs w:val="21"/>
        </w:rPr>
        <w:t>量取相应体积的样品原液，加入</w:t>
      </w:r>
      <w:r>
        <w:rPr>
          <w:rFonts w:hint="eastAsia"/>
          <w:color w:val="000000" w:themeColor="text1"/>
          <w:szCs w:val="21"/>
        </w:rPr>
        <w:t>适宜</w:t>
      </w:r>
      <w:r>
        <w:rPr>
          <w:color w:val="000000" w:themeColor="text1"/>
          <w:szCs w:val="21"/>
        </w:rPr>
        <w:t>溶剂中，并</w:t>
      </w:r>
      <w:r>
        <w:rPr>
          <w:rFonts w:hint="eastAsia"/>
          <w:color w:val="000000" w:themeColor="text1"/>
          <w:szCs w:val="21"/>
        </w:rPr>
        <w:t>充分</w:t>
      </w:r>
      <w:r>
        <w:rPr>
          <w:color w:val="000000" w:themeColor="text1"/>
          <w:szCs w:val="21"/>
        </w:rPr>
        <w:t>混匀。也可应用等比例稀释法。若样品原液为多介质分层液体，应上下摇晃，使其充分混匀后，再做稀释分组。若毒理学试验项目未明确要求剂量分组时，可使用一次性注射器或</w:t>
      </w:r>
      <w:r>
        <w:rPr>
          <w:rFonts w:hint="eastAsia"/>
          <w:color w:val="000000" w:themeColor="text1"/>
          <w:szCs w:val="21"/>
        </w:rPr>
        <w:t>移液枪直接</w:t>
      </w:r>
      <w:r>
        <w:rPr>
          <w:color w:val="000000" w:themeColor="text1"/>
          <w:szCs w:val="21"/>
        </w:rPr>
        <w:t>量取样品原液。</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储存：将配置好的供试液密封，防止杂质污染，根据样品原液的储存方式选择室温或冷藏暂放</w:t>
      </w:r>
      <w:r>
        <w:rPr>
          <w:rFonts w:hint="eastAsia"/>
          <w:color w:val="000000" w:themeColor="text1"/>
          <w:szCs w:val="21"/>
        </w:rPr>
        <w:t>或避光</w:t>
      </w:r>
      <w:r>
        <w:rPr>
          <w:color w:val="000000" w:themeColor="text1"/>
          <w:szCs w:val="21"/>
        </w:rPr>
        <w:t>。样品配制应适量，遵守现用现配的原则，防止样品在储存过程中发生变质或变性。</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 xml:space="preserve">.2 </w:t>
      </w:r>
      <w:r w:rsidR="00267B8A">
        <w:rPr>
          <w:rFonts w:hint="eastAsia"/>
          <w:color w:val="000000" w:themeColor="text1"/>
          <w:szCs w:val="21"/>
        </w:rPr>
        <w:t xml:space="preserve"> </w:t>
      </w:r>
      <w:r>
        <w:rPr>
          <w:color w:val="000000" w:themeColor="text1"/>
          <w:szCs w:val="21"/>
        </w:rPr>
        <w:t>固态</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准备器材：研钵，电子天平，称量纸，称量勺，量筒（</w:t>
      </w:r>
      <w:r>
        <w:rPr>
          <w:color w:val="000000" w:themeColor="text1"/>
          <w:szCs w:val="21"/>
        </w:rPr>
        <w:t>10</w:t>
      </w:r>
      <w:r>
        <w:rPr>
          <w:rFonts w:hint="eastAsia"/>
          <w:color w:val="000000" w:themeColor="text1"/>
          <w:szCs w:val="21"/>
        </w:rPr>
        <w:t xml:space="preserve"> </w:t>
      </w:r>
      <w:r>
        <w:rPr>
          <w:color w:val="000000" w:themeColor="text1"/>
          <w:szCs w:val="21"/>
        </w:rPr>
        <w:t>mL</w:t>
      </w:r>
      <w:r>
        <w:rPr>
          <w:color w:val="000000" w:themeColor="text1"/>
          <w:szCs w:val="21"/>
        </w:rPr>
        <w:t>），烧杯，</w:t>
      </w:r>
      <w:r>
        <w:rPr>
          <w:rFonts w:hint="eastAsia"/>
          <w:color w:val="000000" w:themeColor="text1"/>
          <w:szCs w:val="21"/>
        </w:rPr>
        <w:t>无菌离心管（</w:t>
      </w:r>
      <w:r>
        <w:rPr>
          <w:rFonts w:hint="eastAsia"/>
          <w:color w:val="000000" w:themeColor="text1"/>
          <w:szCs w:val="21"/>
        </w:rPr>
        <w:t>15 mL/50 mL</w:t>
      </w:r>
      <w:r>
        <w:rPr>
          <w:rFonts w:hint="eastAsia"/>
          <w:color w:val="000000" w:themeColor="text1"/>
          <w:szCs w:val="21"/>
        </w:rPr>
        <w:t>），旋涡混匀仪，水相</w:t>
      </w:r>
      <w:r>
        <w:rPr>
          <w:rFonts w:hint="eastAsia"/>
          <w:color w:val="000000" w:themeColor="text1"/>
          <w:szCs w:val="21"/>
        </w:rPr>
        <w:t>/</w:t>
      </w:r>
      <w:r>
        <w:rPr>
          <w:rFonts w:hint="eastAsia"/>
          <w:color w:val="000000" w:themeColor="text1"/>
          <w:szCs w:val="21"/>
        </w:rPr>
        <w:t>有机相滤器（</w:t>
      </w:r>
      <w:r>
        <w:rPr>
          <w:rFonts w:hint="eastAsia"/>
          <w:color w:val="000000" w:themeColor="text1"/>
          <w:szCs w:val="21"/>
        </w:rPr>
        <w:t>0.22 µm/0.45 µm</w:t>
      </w:r>
      <w:r>
        <w:rPr>
          <w:rFonts w:hint="eastAsia"/>
          <w:color w:val="000000" w:themeColor="text1"/>
          <w:szCs w:val="21"/>
        </w:rPr>
        <w:t>），移液枪（</w:t>
      </w:r>
      <w:r>
        <w:rPr>
          <w:rFonts w:hint="eastAsia"/>
          <w:color w:val="000000" w:themeColor="text1"/>
          <w:szCs w:val="21"/>
        </w:rPr>
        <w:t>0.1 µL-5 mL</w:t>
      </w:r>
      <w:r>
        <w:rPr>
          <w:rFonts w:hint="eastAsia"/>
          <w:color w:val="000000" w:themeColor="text1"/>
          <w:szCs w:val="21"/>
        </w:rPr>
        <w:t>）</w:t>
      </w:r>
      <w:r>
        <w:rPr>
          <w:color w:val="000000" w:themeColor="text1"/>
          <w:szCs w:val="21"/>
        </w:rPr>
        <w:t>，</w:t>
      </w:r>
      <w:r>
        <w:rPr>
          <w:rFonts w:hint="eastAsia"/>
          <w:color w:val="000000" w:themeColor="text1"/>
          <w:szCs w:val="21"/>
        </w:rPr>
        <w:t>溶剂</w:t>
      </w:r>
      <w:r>
        <w:rPr>
          <w:color w:val="000000" w:themeColor="text1"/>
          <w:szCs w:val="21"/>
        </w:rPr>
        <w:t>等。</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取样：首先根据样品物理性状，考虑是否需要研磨，若样品原样为细粉状，则无需研磨；否则，应先使用研钵，将块状、膏状等固体性状，充分研磨成细粉状或糊状。然后根据毒理学试验项目、染毒方式以及样品</w:t>
      </w:r>
      <w:r>
        <w:rPr>
          <w:rFonts w:hint="eastAsia"/>
          <w:color w:val="000000" w:themeColor="text1"/>
          <w:szCs w:val="21"/>
        </w:rPr>
        <w:t>原样</w:t>
      </w:r>
      <w:r>
        <w:rPr>
          <w:color w:val="000000" w:themeColor="text1"/>
          <w:szCs w:val="21"/>
        </w:rPr>
        <w:t>性质计算各剂量组浓度，用电子天平称量相应重量的样品，加入适宜溶剂中，并</w:t>
      </w:r>
      <w:r>
        <w:rPr>
          <w:rFonts w:hint="eastAsia"/>
          <w:color w:val="000000" w:themeColor="text1"/>
          <w:szCs w:val="21"/>
        </w:rPr>
        <w:t>充分</w:t>
      </w:r>
      <w:r>
        <w:rPr>
          <w:color w:val="000000" w:themeColor="text1"/>
          <w:szCs w:val="21"/>
        </w:rPr>
        <w:t>混匀。若毒理学试验项目未明确要求分剂量组时，可</w:t>
      </w:r>
      <w:r>
        <w:rPr>
          <w:rFonts w:hint="eastAsia"/>
          <w:color w:val="000000" w:themeColor="text1"/>
          <w:szCs w:val="21"/>
        </w:rPr>
        <w:t>直接用</w:t>
      </w:r>
      <w:r>
        <w:rPr>
          <w:color w:val="000000" w:themeColor="text1"/>
          <w:szCs w:val="21"/>
        </w:rPr>
        <w:t>电子天平称量相应重量的样品；如果试验项目为经皮染毒时，可考虑用最小体积的溶剂将样品湿化</w:t>
      </w:r>
      <w:r>
        <w:rPr>
          <w:rFonts w:hint="eastAsia"/>
          <w:color w:val="000000" w:themeColor="text1"/>
          <w:szCs w:val="21"/>
        </w:rPr>
        <w:t>成无散落粉末且无多余溶剂的状态</w:t>
      </w:r>
      <w:r>
        <w:rPr>
          <w:color w:val="000000" w:themeColor="text1"/>
          <w:szCs w:val="21"/>
        </w:rPr>
        <w:t>，或在正式试验时，先湿化皮肤。</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储存：将配置好的供试液密封，防止杂质污染，根据样品原样的储存方式选择干燥通风的环境，室温或冷藏暂放</w:t>
      </w:r>
      <w:r>
        <w:rPr>
          <w:rFonts w:hint="eastAsia"/>
          <w:color w:val="000000" w:themeColor="text1"/>
          <w:szCs w:val="21"/>
        </w:rPr>
        <w:t>或避光</w:t>
      </w:r>
      <w:r>
        <w:rPr>
          <w:color w:val="000000" w:themeColor="text1"/>
          <w:szCs w:val="21"/>
        </w:rPr>
        <w:t>。样品配制应适量，遵守现用现配的原则，防止样品在储存过程中发生潮化或变质。</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w:t>
      </w:r>
      <w:r>
        <w:rPr>
          <w:rFonts w:hint="eastAsia"/>
          <w:color w:val="000000" w:themeColor="text1"/>
          <w:szCs w:val="21"/>
        </w:rPr>
        <w:t>3</w:t>
      </w:r>
      <w:r>
        <w:rPr>
          <w:color w:val="000000" w:themeColor="text1"/>
          <w:szCs w:val="21"/>
        </w:rPr>
        <w:t xml:space="preserve"> </w:t>
      </w:r>
      <w:r w:rsidR="00267B8A">
        <w:rPr>
          <w:rFonts w:hint="eastAsia"/>
          <w:color w:val="000000" w:themeColor="text1"/>
          <w:szCs w:val="21"/>
        </w:rPr>
        <w:t xml:space="preserve"> </w:t>
      </w:r>
      <w:r>
        <w:rPr>
          <w:rFonts w:hint="eastAsia"/>
          <w:color w:val="000000" w:themeColor="text1"/>
          <w:szCs w:val="21"/>
        </w:rPr>
        <w:t>难溶样品</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难以溶解于无机溶剂或有机溶剂的难溶样品，常见处理方法有（</w:t>
      </w:r>
      <w:r>
        <w:rPr>
          <w:rFonts w:hint="eastAsia"/>
          <w:color w:val="000000" w:themeColor="text1"/>
          <w:szCs w:val="21"/>
        </w:rPr>
        <w:t>1</w:t>
      </w:r>
      <w:r>
        <w:rPr>
          <w:rFonts w:hint="eastAsia"/>
          <w:color w:val="000000" w:themeColor="text1"/>
          <w:szCs w:val="21"/>
        </w:rPr>
        <w:t>）使用样品浸提液。根据样品理化性质选择适宜浸提介质、浸提比例、浸提温度、浸提时间和浸提方法，并提供相应说明。样品浸提液应对皮肤无毒副作用。（</w:t>
      </w:r>
      <w:r>
        <w:rPr>
          <w:rFonts w:hint="eastAsia"/>
          <w:color w:val="000000" w:themeColor="text1"/>
          <w:szCs w:val="21"/>
        </w:rPr>
        <w:t>2</w:t>
      </w:r>
      <w:r>
        <w:rPr>
          <w:rFonts w:hint="eastAsia"/>
          <w:color w:val="000000" w:themeColor="text1"/>
          <w:szCs w:val="21"/>
        </w:rPr>
        <w:t>）加入悬浮剂或赋形剂，使样品悬浮其中，形成分布均匀的悬浮混合物。悬浮剂或赋形剂应对皮肤无毒副作用、无色无味，且稳定性高。常见的悬浮剂及赋形剂有：玉米油、淀粉、明胶等。</w:t>
      </w:r>
    </w:p>
    <w:p w:rsidR="000E5B5B" w:rsidRDefault="00267FD0">
      <w:pPr>
        <w:snapToGrid w:val="0"/>
        <w:spacing w:beforeLines="50" w:before="156" w:afterLines="50" w:after="156" w:line="300" w:lineRule="auto"/>
        <w:rPr>
          <w:color w:val="000000" w:themeColor="text1"/>
          <w:szCs w:val="21"/>
        </w:rPr>
      </w:pPr>
      <w:r>
        <w:rPr>
          <w:color w:val="000000" w:themeColor="text1"/>
          <w:szCs w:val="21"/>
        </w:rPr>
        <w:t>5.</w:t>
      </w:r>
      <w:r>
        <w:rPr>
          <w:rFonts w:hint="eastAsia"/>
          <w:color w:val="000000" w:themeColor="text1"/>
          <w:szCs w:val="21"/>
        </w:rPr>
        <w:t>3</w:t>
      </w:r>
      <w:r w:rsidR="00267B8A">
        <w:rPr>
          <w:rFonts w:hint="eastAsia"/>
          <w:color w:val="000000" w:themeColor="text1"/>
          <w:szCs w:val="21"/>
        </w:rPr>
        <w:t xml:space="preserve">  </w:t>
      </w:r>
      <w:r>
        <w:rPr>
          <w:color w:val="000000" w:themeColor="text1"/>
          <w:szCs w:val="21"/>
        </w:rPr>
        <w:t>化妆品产品</w:t>
      </w:r>
    </w:p>
    <w:p w:rsidR="000E5B5B" w:rsidRDefault="00267FD0">
      <w:pPr>
        <w:snapToGrid w:val="0"/>
        <w:spacing w:line="300" w:lineRule="auto"/>
        <w:ind w:firstLineChars="200" w:firstLine="420"/>
        <w:rPr>
          <w:color w:val="000000" w:themeColor="text1"/>
          <w:szCs w:val="21"/>
        </w:rPr>
      </w:pPr>
      <w:r>
        <w:rPr>
          <w:color w:val="000000" w:themeColor="text1"/>
          <w:szCs w:val="21"/>
        </w:rPr>
        <w:t>化妆品产品进行毒理学试验的前处理工作时，主要根据</w:t>
      </w:r>
      <w:r>
        <w:rPr>
          <w:rFonts w:hint="eastAsia"/>
          <w:color w:val="000000" w:themeColor="text1"/>
          <w:szCs w:val="21"/>
        </w:rPr>
        <w:t>化妆品</w:t>
      </w:r>
      <w:r>
        <w:rPr>
          <w:color w:val="000000" w:themeColor="text1"/>
          <w:szCs w:val="21"/>
        </w:rPr>
        <w:t>产品剂型分类处理，</w:t>
      </w:r>
      <w:r>
        <w:rPr>
          <w:rFonts w:hint="eastAsia"/>
          <w:color w:val="000000" w:themeColor="text1"/>
          <w:szCs w:val="21"/>
        </w:rPr>
        <w:t>此</w:t>
      </w:r>
      <w:r>
        <w:rPr>
          <w:color w:val="000000" w:themeColor="text1"/>
          <w:szCs w:val="21"/>
        </w:rPr>
        <w:t>外，还需要考虑化妆品的实际使用方法等因素。</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.1</w:t>
      </w:r>
      <w:r w:rsidR="00267B8A">
        <w:rPr>
          <w:rFonts w:hint="eastAsia"/>
          <w:color w:val="000000" w:themeColor="text1"/>
          <w:szCs w:val="21"/>
        </w:rPr>
        <w:t xml:space="preserve">  </w:t>
      </w:r>
      <w:r>
        <w:rPr>
          <w:color w:val="000000" w:themeColor="text1"/>
          <w:szCs w:val="21"/>
        </w:rPr>
        <w:t>液体剂型化妆品产品</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lastRenderedPageBreak/>
        <w:t>化妆品</w:t>
      </w:r>
      <w:r>
        <w:rPr>
          <w:color w:val="000000" w:themeColor="text1"/>
          <w:szCs w:val="21"/>
        </w:rPr>
        <w:t>中的液体剂型（露、液、水、油、油水分离等），除膏、霜、蜜、脂以外的膏霜乳剂型（乳、乳液、奶、奶液等）、凝胶剂型（啫喱、胶等）等流动性的化妆品产品均可参照</w:t>
      </w: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处理。乳化类的液体产品稀释时，需根据产品特征选择</w:t>
      </w:r>
      <w:r>
        <w:rPr>
          <w:rFonts w:hint="eastAsia"/>
          <w:color w:val="000000" w:themeColor="text1"/>
          <w:szCs w:val="21"/>
        </w:rPr>
        <w:t>脂溶性或水溶性</w:t>
      </w:r>
      <w:r>
        <w:rPr>
          <w:color w:val="000000" w:themeColor="text1"/>
          <w:szCs w:val="21"/>
        </w:rPr>
        <w:t>溶剂。</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 xml:space="preserve">.2 </w:t>
      </w:r>
      <w:r w:rsidR="00267B8A">
        <w:rPr>
          <w:rFonts w:hint="eastAsia"/>
          <w:color w:val="000000" w:themeColor="text1"/>
          <w:szCs w:val="21"/>
        </w:rPr>
        <w:t xml:space="preserve"> </w:t>
      </w:r>
      <w:r>
        <w:rPr>
          <w:color w:val="000000" w:themeColor="text1"/>
          <w:szCs w:val="21"/>
        </w:rPr>
        <w:t>固体剂型化妆品产品</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化妆品</w:t>
      </w:r>
      <w:r>
        <w:rPr>
          <w:color w:val="000000" w:themeColor="text1"/>
          <w:szCs w:val="21"/>
        </w:rPr>
        <w:t>中膏霜乳类中的膏体、霜类</w:t>
      </w:r>
      <w:r>
        <w:rPr>
          <w:rFonts w:hint="eastAsia"/>
          <w:color w:val="000000" w:themeColor="text1"/>
          <w:szCs w:val="21"/>
        </w:rPr>
        <w:t>、</w:t>
      </w:r>
      <w:r>
        <w:rPr>
          <w:color w:val="000000" w:themeColor="text1"/>
          <w:szCs w:val="21"/>
        </w:rPr>
        <w:t>蜜、脂，</w:t>
      </w:r>
      <w:r>
        <w:rPr>
          <w:rFonts w:hint="eastAsia"/>
          <w:color w:val="000000" w:themeColor="text1"/>
          <w:szCs w:val="21"/>
        </w:rPr>
        <w:t>以及</w:t>
      </w:r>
      <w:r>
        <w:rPr>
          <w:color w:val="000000" w:themeColor="text1"/>
          <w:szCs w:val="21"/>
        </w:rPr>
        <w:t>粉剂剂型（散粉、颗粒等），块状剂型（块状粉、大块固体等），泥</w:t>
      </w:r>
      <w:r>
        <w:rPr>
          <w:rFonts w:hint="eastAsia"/>
          <w:color w:val="000000" w:themeColor="text1"/>
          <w:szCs w:val="21"/>
        </w:rPr>
        <w:t>状</w:t>
      </w:r>
      <w:r>
        <w:rPr>
          <w:color w:val="000000" w:themeColor="text1"/>
          <w:szCs w:val="21"/>
        </w:rPr>
        <w:t>剂型（泥状固体等），蜡基剂型（以蜡为主要基料的产品）等固体化妆品产品的前处理方式可参照</w:t>
      </w:r>
      <w:r>
        <w:rPr>
          <w:color w:val="000000" w:themeColor="text1"/>
          <w:szCs w:val="21"/>
        </w:rPr>
        <w:t>5.</w:t>
      </w:r>
      <w:r>
        <w:rPr>
          <w:rFonts w:hint="eastAsia"/>
          <w:color w:val="000000" w:themeColor="text1"/>
          <w:szCs w:val="21"/>
        </w:rPr>
        <w:t>2</w:t>
      </w:r>
      <w:r>
        <w:rPr>
          <w:color w:val="000000" w:themeColor="text1"/>
          <w:szCs w:val="21"/>
        </w:rPr>
        <w:t>.2</w:t>
      </w:r>
      <w:r>
        <w:rPr>
          <w:color w:val="000000" w:themeColor="text1"/>
          <w:szCs w:val="21"/>
        </w:rPr>
        <w:t>处理。</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.3</w:t>
      </w:r>
      <w:r w:rsidR="00267B8A">
        <w:rPr>
          <w:rFonts w:hint="eastAsia"/>
          <w:color w:val="000000" w:themeColor="text1"/>
          <w:szCs w:val="21"/>
        </w:rPr>
        <w:t xml:space="preserve">  </w:t>
      </w:r>
      <w:r>
        <w:rPr>
          <w:color w:val="000000" w:themeColor="text1"/>
          <w:szCs w:val="21"/>
        </w:rPr>
        <w:t>敷贴类化妆品产品</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化妆品</w:t>
      </w:r>
      <w:r>
        <w:rPr>
          <w:color w:val="000000" w:themeColor="text1"/>
          <w:szCs w:val="21"/>
        </w:rPr>
        <w:t>中贴、膜、含基材剂型（贴、膜、含配合化妆品使用的基材</w:t>
      </w:r>
      <w:r>
        <w:rPr>
          <w:rFonts w:hint="eastAsia"/>
          <w:color w:val="000000" w:themeColor="text1"/>
          <w:szCs w:val="21"/>
        </w:rPr>
        <w:t>类</w:t>
      </w:r>
      <w:r>
        <w:rPr>
          <w:color w:val="000000" w:themeColor="text1"/>
          <w:szCs w:val="21"/>
        </w:rPr>
        <w:t>）的化妆品产品前处理方法如下：</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准备器材：取剪刀，一次性注射器（</w:t>
      </w:r>
      <w:r>
        <w:rPr>
          <w:color w:val="000000" w:themeColor="text1"/>
          <w:szCs w:val="21"/>
        </w:rPr>
        <w:t>2</w:t>
      </w:r>
      <w:r>
        <w:rPr>
          <w:rFonts w:hint="eastAsia"/>
          <w:color w:val="000000" w:themeColor="text1"/>
          <w:szCs w:val="21"/>
        </w:rPr>
        <w:t xml:space="preserve"> </w:t>
      </w:r>
      <w:r>
        <w:rPr>
          <w:color w:val="000000" w:themeColor="text1"/>
          <w:szCs w:val="21"/>
        </w:rPr>
        <w:t>mL-5</w:t>
      </w:r>
      <w:r>
        <w:rPr>
          <w:rFonts w:hint="eastAsia"/>
          <w:color w:val="000000" w:themeColor="text1"/>
          <w:szCs w:val="21"/>
        </w:rPr>
        <w:t xml:space="preserve"> </w:t>
      </w:r>
      <w:r>
        <w:rPr>
          <w:color w:val="000000" w:themeColor="text1"/>
          <w:szCs w:val="21"/>
        </w:rPr>
        <w:t>mL</w:t>
      </w:r>
      <w:r>
        <w:rPr>
          <w:color w:val="000000" w:themeColor="text1"/>
          <w:szCs w:val="21"/>
        </w:rPr>
        <w:t>）</w:t>
      </w:r>
      <w:r>
        <w:rPr>
          <w:rFonts w:hint="eastAsia"/>
          <w:color w:val="000000" w:themeColor="text1"/>
          <w:szCs w:val="21"/>
        </w:rPr>
        <w:t>，移液枪（</w:t>
      </w:r>
      <w:r>
        <w:rPr>
          <w:rFonts w:hint="eastAsia"/>
          <w:color w:val="000000" w:themeColor="text1"/>
          <w:szCs w:val="21"/>
        </w:rPr>
        <w:t>0.1 µL-5 mL</w:t>
      </w:r>
      <w:r>
        <w:rPr>
          <w:rFonts w:hint="eastAsia"/>
          <w:color w:val="000000" w:themeColor="text1"/>
          <w:szCs w:val="21"/>
        </w:rPr>
        <w:t>），</w:t>
      </w:r>
      <w:r>
        <w:rPr>
          <w:color w:val="000000" w:themeColor="text1"/>
          <w:szCs w:val="21"/>
        </w:rPr>
        <w:t>量筒（</w:t>
      </w:r>
      <w:r>
        <w:rPr>
          <w:color w:val="000000" w:themeColor="text1"/>
          <w:szCs w:val="21"/>
        </w:rPr>
        <w:t>10</w:t>
      </w:r>
      <w:r>
        <w:rPr>
          <w:rFonts w:hint="eastAsia"/>
          <w:color w:val="000000" w:themeColor="text1"/>
          <w:szCs w:val="21"/>
        </w:rPr>
        <w:t xml:space="preserve"> </w:t>
      </w:r>
      <w:r>
        <w:rPr>
          <w:color w:val="000000" w:themeColor="text1"/>
          <w:szCs w:val="21"/>
        </w:rPr>
        <w:t>mL</w:t>
      </w:r>
      <w:r>
        <w:rPr>
          <w:color w:val="000000" w:themeColor="text1"/>
          <w:szCs w:val="21"/>
        </w:rPr>
        <w:t>），</w:t>
      </w:r>
      <w:r>
        <w:rPr>
          <w:rFonts w:hint="eastAsia"/>
          <w:color w:val="000000" w:themeColor="text1"/>
          <w:szCs w:val="21"/>
        </w:rPr>
        <w:t>溶剂等</w:t>
      </w:r>
      <w:r>
        <w:rPr>
          <w:color w:val="000000" w:themeColor="text1"/>
          <w:szCs w:val="21"/>
        </w:rPr>
        <w:t>。</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取样：根据毒理学试验项目和产品的使用方式，如若经皮接触，先用剪刀将样品裁剪成适宜的</w:t>
      </w:r>
      <w:r>
        <w:rPr>
          <w:rFonts w:hint="eastAsia"/>
          <w:color w:val="000000" w:themeColor="text1"/>
          <w:szCs w:val="21"/>
        </w:rPr>
        <w:t>形</w:t>
      </w:r>
      <w:r>
        <w:rPr>
          <w:color w:val="000000" w:themeColor="text1"/>
          <w:szCs w:val="21"/>
        </w:rPr>
        <w:t>状（如</w:t>
      </w:r>
      <w:r>
        <w:rPr>
          <w:color w:val="000000" w:themeColor="text1"/>
          <w:szCs w:val="21"/>
        </w:rPr>
        <w:t>2.5</w:t>
      </w:r>
      <w:r w:rsidR="000522BD">
        <w:rPr>
          <w:rFonts w:hint="eastAsia"/>
          <w:color w:val="000000" w:themeColor="text1"/>
          <w:szCs w:val="21"/>
        </w:rPr>
        <w:t>×</w:t>
      </w:r>
      <w:r>
        <w:rPr>
          <w:color w:val="000000" w:themeColor="text1"/>
          <w:szCs w:val="21"/>
        </w:rPr>
        <w:t>2.5</w:t>
      </w:r>
      <w:r>
        <w:rPr>
          <w:rFonts w:hint="eastAsia"/>
          <w:color w:val="000000" w:themeColor="text1"/>
          <w:szCs w:val="21"/>
        </w:rPr>
        <w:t xml:space="preserve"> </w:t>
      </w:r>
      <w:r>
        <w:rPr>
          <w:color w:val="000000" w:themeColor="text1"/>
          <w:szCs w:val="21"/>
        </w:rPr>
        <w:t>cm</w:t>
      </w:r>
      <w:r>
        <w:rPr>
          <w:color w:val="000000" w:themeColor="text1"/>
          <w:szCs w:val="21"/>
        </w:rPr>
        <w:t>的方块），比如含基质材料的面膜类；当原产品形状不足尺寸时，可叠加多个直到满足</w:t>
      </w:r>
      <w:r>
        <w:rPr>
          <w:rFonts w:hint="eastAsia"/>
          <w:color w:val="000000" w:themeColor="text1"/>
          <w:szCs w:val="21"/>
        </w:rPr>
        <w:t>形状</w:t>
      </w:r>
      <w:r>
        <w:rPr>
          <w:color w:val="000000" w:themeColor="text1"/>
          <w:szCs w:val="21"/>
        </w:rPr>
        <w:t>要求，比如痘痘贴类；如若经眼睛接触，可将样品液从产品袋中挤出，然后按照</w:t>
      </w: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处理。</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储存：将配置好的供试液密封，防止杂质污染，根据样品的储存方式选择室温或冷藏暂放</w:t>
      </w:r>
      <w:r>
        <w:rPr>
          <w:rFonts w:hint="eastAsia"/>
          <w:color w:val="000000" w:themeColor="text1"/>
          <w:szCs w:val="21"/>
        </w:rPr>
        <w:t>或避光</w:t>
      </w:r>
      <w:r>
        <w:rPr>
          <w:color w:val="000000" w:themeColor="text1"/>
          <w:szCs w:val="21"/>
        </w:rPr>
        <w:t>。</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.4</w:t>
      </w:r>
      <w:r w:rsidR="00267B8A">
        <w:rPr>
          <w:rFonts w:hint="eastAsia"/>
          <w:color w:val="000000" w:themeColor="text1"/>
          <w:szCs w:val="21"/>
        </w:rPr>
        <w:t xml:space="preserve">  </w:t>
      </w:r>
      <w:r>
        <w:rPr>
          <w:color w:val="000000" w:themeColor="text1"/>
          <w:szCs w:val="21"/>
        </w:rPr>
        <w:t>按配比使用的化妆品产品</w:t>
      </w:r>
    </w:p>
    <w:p w:rsidR="000E5B5B" w:rsidRDefault="00267FD0">
      <w:pPr>
        <w:snapToGrid w:val="0"/>
        <w:spacing w:line="300" w:lineRule="auto"/>
        <w:ind w:firstLineChars="200" w:firstLine="420"/>
        <w:rPr>
          <w:color w:val="000000" w:themeColor="text1"/>
          <w:szCs w:val="21"/>
        </w:rPr>
      </w:pPr>
      <w:r>
        <w:rPr>
          <w:color w:val="000000" w:themeColor="text1"/>
          <w:szCs w:val="21"/>
        </w:rPr>
        <w:t>染发剂等按比例配制使用的化妆品，其前处理工作应与产品实际使用方法保持一致，具体如下：</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准备器材：一次性注射器（</w:t>
      </w:r>
      <w:r>
        <w:rPr>
          <w:color w:val="000000" w:themeColor="text1"/>
          <w:szCs w:val="21"/>
        </w:rPr>
        <w:t>2</w:t>
      </w:r>
      <w:r>
        <w:rPr>
          <w:rFonts w:hint="eastAsia"/>
          <w:color w:val="000000" w:themeColor="text1"/>
          <w:szCs w:val="21"/>
        </w:rPr>
        <w:t xml:space="preserve"> </w:t>
      </w:r>
      <w:r>
        <w:rPr>
          <w:color w:val="000000" w:themeColor="text1"/>
          <w:szCs w:val="21"/>
        </w:rPr>
        <w:t>mL-5</w:t>
      </w:r>
      <w:r>
        <w:rPr>
          <w:rFonts w:hint="eastAsia"/>
          <w:color w:val="000000" w:themeColor="text1"/>
          <w:szCs w:val="21"/>
        </w:rPr>
        <w:t xml:space="preserve"> </w:t>
      </w:r>
      <w:r>
        <w:rPr>
          <w:color w:val="000000" w:themeColor="text1"/>
          <w:szCs w:val="21"/>
        </w:rPr>
        <w:t>mL</w:t>
      </w:r>
      <w:r>
        <w:rPr>
          <w:color w:val="000000" w:themeColor="text1"/>
          <w:szCs w:val="21"/>
        </w:rPr>
        <w:t>）</w:t>
      </w:r>
      <w:r>
        <w:rPr>
          <w:rFonts w:hint="eastAsia"/>
          <w:color w:val="000000" w:themeColor="text1"/>
          <w:szCs w:val="21"/>
        </w:rPr>
        <w:t>，移液枪（</w:t>
      </w:r>
      <w:r>
        <w:rPr>
          <w:rFonts w:hint="eastAsia"/>
          <w:color w:val="000000" w:themeColor="text1"/>
          <w:szCs w:val="21"/>
        </w:rPr>
        <w:t>0.1 µL-5 mL</w:t>
      </w:r>
      <w:r>
        <w:rPr>
          <w:rFonts w:hint="eastAsia"/>
          <w:color w:val="000000" w:themeColor="text1"/>
          <w:szCs w:val="21"/>
        </w:rPr>
        <w:t>），</w:t>
      </w:r>
      <w:r>
        <w:rPr>
          <w:color w:val="000000" w:themeColor="text1"/>
          <w:szCs w:val="21"/>
        </w:rPr>
        <w:t>量筒（</w:t>
      </w:r>
      <w:r>
        <w:rPr>
          <w:color w:val="000000" w:themeColor="text1"/>
          <w:szCs w:val="21"/>
        </w:rPr>
        <w:t>10</w:t>
      </w:r>
      <w:r>
        <w:rPr>
          <w:rFonts w:hint="eastAsia"/>
          <w:color w:val="000000" w:themeColor="text1"/>
          <w:szCs w:val="21"/>
        </w:rPr>
        <w:t xml:space="preserve"> </w:t>
      </w:r>
      <w:r>
        <w:rPr>
          <w:color w:val="000000" w:themeColor="text1"/>
          <w:szCs w:val="21"/>
        </w:rPr>
        <w:t>mL</w:t>
      </w:r>
      <w:r>
        <w:rPr>
          <w:color w:val="000000" w:themeColor="text1"/>
          <w:szCs w:val="21"/>
        </w:rPr>
        <w:t>），电子天平，</w:t>
      </w:r>
      <w:r>
        <w:rPr>
          <w:rFonts w:hint="eastAsia"/>
          <w:color w:val="000000" w:themeColor="text1"/>
          <w:szCs w:val="21"/>
        </w:rPr>
        <w:t>旋涡混匀仪</w:t>
      </w:r>
      <w:r>
        <w:rPr>
          <w:color w:val="000000" w:themeColor="text1"/>
          <w:szCs w:val="21"/>
        </w:rPr>
        <w:t>等。</w:t>
      </w:r>
    </w:p>
    <w:p w:rsidR="000E5B5B" w:rsidRDefault="00267FD0">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取样：根据化妆品产品的使用说明，用电子天平或一次性注射器</w:t>
      </w:r>
      <w:r>
        <w:rPr>
          <w:rFonts w:hint="eastAsia"/>
          <w:color w:val="000000" w:themeColor="text1"/>
          <w:szCs w:val="21"/>
        </w:rPr>
        <w:t>或移液枪</w:t>
      </w:r>
      <w:r>
        <w:rPr>
          <w:color w:val="000000" w:themeColor="text1"/>
          <w:szCs w:val="21"/>
        </w:rPr>
        <w:t>定量取相应质量的各组分样品，</w:t>
      </w:r>
      <w:r>
        <w:rPr>
          <w:rFonts w:hint="eastAsia"/>
          <w:color w:val="000000" w:themeColor="text1"/>
          <w:szCs w:val="21"/>
        </w:rPr>
        <w:t>然后充分</w:t>
      </w:r>
      <w:r>
        <w:rPr>
          <w:color w:val="000000" w:themeColor="text1"/>
          <w:szCs w:val="21"/>
        </w:rPr>
        <w:t>均匀。</w:t>
      </w:r>
    </w:p>
    <w:p w:rsidR="000E5B5B" w:rsidRDefault="00267FD0">
      <w:pPr>
        <w:snapToGrid w:val="0"/>
        <w:spacing w:line="300" w:lineRule="auto"/>
        <w:ind w:firstLineChars="200" w:firstLine="420"/>
        <w:rPr>
          <w:rFonts w:eastAsia="仿宋_GB2312"/>
          <w:color w:val="000000" w:themeColor="text1"/>
          <w:sz w:val="24"/>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储存：将配置好的供试液密封，防止杂质污染，根据样品的储存方式选择室温或冷藏暂放</w:t>
      </w:r>
      <w:r>
        <w:rPr>
          <w:rFonts w:hint="eastAsia"/>
          <w:color w:val="000000" w:themeColor="text1"/>
          <w:szCs w:val="21"/>
        </w:rPr>
        <w:t>或避光</w:t>
      </w:r>
      <w:r>
        <w:rPr>
          <w:color w:val="000000" w:themeColor="text1"/>
          <w:szCs w:val="21"/>
        </w:rPr>
        <w:t>。此类化妆品产品应严格遵守现用现配原则。</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.5</w:t>
      </w:r>
      <w:r w:rsidR="00267B8A">
        <w:rPr>
          <w:rFonts w:hint="eastAsia"/>
          <w:color w:val="000000" w:themeColor="text1"/>
          <w:szCs w:val="21"/>
        </w:rPr>
        <w:t xml:space="preserve">  </w:t>
      </w:r>
      <w:r>
        <w:rPr>
          <w:color w:val="000000" w:themeColor="text1"/>
          <w:szCs w:val="21"/>
        </w:rPr>
        <w:t>气雾剂剂型</w:t>
      </w:r>
      <w:r>
        <w:rPr>
          <w:rFonts w:hint="eastAsia"/>
          <w:color w:val="000000" w:themeColor="text1"/>
          <w:szCs w:val="21"/>
        </w:rPr>
        <w:t>及</w:t>
      </w:r>
      <w:r>
        <w:rPr>
          <w:color w:val="000000" w:themeColor="text1"/>
          <w:szCs w:val="21"/>
        </w:rPr>
        <w:t>喷雾剂剂型化妆品产品</w:t>
      </w:r>
    </w:p>
    <w:p w:rsidR="000E5B5B" w:rsidRDefault="00267FD0" w:rsidP="00EA7A34">
      <w:pPr>
        <w:widowControl/>
        <w:snapToGrid w:val="0"/>
        <w:spacing w:line="300" w:lineRule="auto"/>
        <w:ind w:firstLineChars="200" w:firstLine="420"/>
        <w:rPr>
          <w:color w:val="000000" w:themeColor="text1"/>
          <w:szCs w:val="21"/>
        </w:rPr>
      </w:pPr>
      <w:r>
        <w:rPr>
          <w:rFonts w:hint="eastAsia"/>
          <w:color w:val="000000" w:themeColor="text1"/>
          <w:szCs w:val="21"/>
        </w:rPr>
        <w:t>化妆品</w:t>
      </w:r>
      <w:r>
        <w:rPr>
          <w:color w:val="000000" w:themeColor="text1"/>
          <w:szCs w:val="21"/>
        </w:rPr>
        <w:t>中气雾剂剂型（含推进剂）</w:t>
      </w:r>
      <w:r>
        <w:rPr>
          <w:rFonts w:hint="eastAsia"/>
          <w:color w:val="000000" w:themeColor="text1"/>
          <w:szCs w:val="21"/>
        </w:rPr>
        <w:t>及喷雾剂剂型</w:t>
      </w:r>
      <w:r>
        <w:rPr>
          <w:color w:val="000000" w:themeColor="text1"/>
          <w:szCs w:val="21"/>
        </w:rPr>
        <w:t>的化妆品前处理如下：</w:t>
      </w:r>
    </w:p>
    <w:p w:rsidR="000E5B5B" w:rsidRDefault="00267FD0" w:rsidP="00EA7A34">
      <w:pPr>
        <w:widowControl/>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准备器材：烧杯，一次性注射器（</w:t>
      </w:r>
      <w:r>
        <w:rPr>
          <w:color w:val="000000" w:themeColor="text1"/>
          <w:szCs w:val="21"/>
        </w:rPr>
        <w:t>2</w:t>
      </w:r>
      <w:r>
        <w:rPr>
          <w:rFonts w:hint="eastAsia"/>
          <w:color w:val="000000" w:themeColor="text1"/>
          <w:szCs w:val="21"/>
        </w:rPr>
        <w:t xml:space="preserve"> </w:t>
      </w:r>
      <w:r>
        <w:rPr>
          <w:color w:val="000000" w:themeColor="text1"/>
          <w:szCs w:val="21"/>
        </w:rPr>
        <w:t>mL-5</w:t>
      </w:r>
      <w:r>
        <w:rPr>
          <w:rFonts w:hint="eastAsia"/>
          <w:color w:val="000000" w:themeColor="text1"/>
          <w:szCs w:val="21"/>
        </w:rPr>
        <w:t xml:space="preserve"> </w:t>
      </w:r>
      <w:r>
        <w:rPr>
          <w:color w:val="000000" w:themeColor="text1"/>
          <w:szCs w:val="21"/>
        </w:rPr>
        <w:t>mL</w:t>
      </w:r>
      <w:r>
        <w:rPr>
          <w:color w:val="000000" w:themeColor="text1"/>
          <w:szCs w:val="21"/>
        </w:rPr>
        <w:t>）</w:t>
      </w:r>
      <w:r>
        <w:rPr>
          <w:rFonts w:hint="eastAsia"/>
          <w:color w:val="000000" w:themeColor="text1"/>
          <w:szCs w:val="21"/>
        </w:rPr>
        <w:t>，移液枪（</w:t>
      </w:r>
      <w:r>
        <w:rPr>
          <w:rFonts w:hint="eastAsia"/>
          <w:color w:val="000000" w:themeColor="text1"/>
          <w:szCs w:val="21"/>
        </w:rPr>
        <w:t>0.1 µL-5 mL</w:t>
      </w:r>
      <w:r>
        <w:rPr>
          <w:rFonts w:hint="eastAsia"/>
          <w:color w:val="000000" w:themeColor="text1"/>
          <w:szCs w:val="21"/>
        </w:rPr>
        <w:t>）</w:t>
      </w:r>
      <w:r>
        <w:rPr>
          <w:color w:val="000000" w:themeColor="text1"/>
          <w:szCs w:val="21"/>
        </w:rPr>
        <w:t>等。</w:t>
      </w:r>
    </w:p>
    <w:p w:rsidR="000E5B5B" w:rsidRDefault="00267FD0" w:rsidP="00EA7A34">
      <w:pPr>
        <w:widowControl/>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w:t>
      </w:r>
      <w:r>
        <w:rPr>
          <w:rFonts w:hint="eastAsia"/>
          <w:color w:val="000000" w:themeColor="text1"/>
          <w:szCs w:val="21"/>
        </w:rPr>
        <w:t>一般情况下，首先</w:t>
      </w:r>
      <w:r>
        <w:rPr>
          <w:color w:val="000000" w:themeColor="text1"/>
          <w:szCs w:val="21"/>
        </w:rPr>
        <w:t>将样品喷至烧杯容器中，收集其液体，再按照</w:t>
      </w: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处理。</w:t>
      </w:r>
      <w:r>
        <w:rPr>
          <w:rFonts w:hint="eastAsia"/>
          <w:color w:val="000000" w:themeColor="text1"/>
          <w:szCs w:val="21"/>
        </w:rPr>
        <w:t>若样品</w:t>
      </w:r>
      <w:r>
        <w:rPr>
          <w:color w:val="000000" w:themeColor="text1"/>
          <w:szCs w:val="21"/>
        </w:rPr>
        <w:t>因为蒸发而无法收集时，可</w:t>
      </w:r>
      <w:r>
        <w:rPr>
          <w:rFonts w:hint="eastAsia"/>
          <w:color w:val="000000" w:themeColor="text1"/>
          <w:szCs w:val="21"/>
        </w:rPr>
        <w:t>模拟产品的实际使用方法，</w:t>
      </w:r>
      <w:r>
        <w:rPr>
          <w:color w:val="000000" w:themeColor="text1"/>
          <w:szCs w:val="21"/>
        </w:rPr>
        <w:t>直接</w:t>
      </w:r>
      <w:r>
        <w:rPr>
          <w:rFonts w:hint="eastAsia"/>
          <w:color w:val="000000" w:themeColor="text1"/>
          <w:szCs w:val="21"/>
        </w:rPr>
        <w:t>将</w:t>
      </w:r>
      <w:r>
        <w:rPr>
          <w:color w:val="000000" w:themeColor="text1"/>
          <w:szCs w:val="21"/>
        </w:rPr>
        <w:t>产品在受试动物正前方</w:t>
      </w:r>
      <w:r>
        <w:rPr>
          <w:color w:val="000000" w:themeColor="text1"/>
          <w:szCs w:val="21"/>
        </w:rPr>
        <w:t>10</w:t>
      </w:r>
      <w:r>
        <w:rPr>
          <w:rFonts w:hint="eastAsia"/>
          <w:color w:val="000000" w:themeColor="text1"/>
          <w:szCs w:val="21"/>
        </w:rPr>
        <w:t xml:space="preserve"> </w:t>
      </w:r>
      <w:r>
        <w:rPr>
          <w:color w:val="000000" w:themeColor="text1"/>
          <w:szCs w:val="21"/>
        </w:rPr>
        <w:t>cm</w:t>
      </w:r>
      <w:r>
        <w:rPr>
          <w:color w:val="000000" w:themeColor="text1"/>
          <w:szCs w:val="21"/>
        </w:rPr>
        <w:t>处喷射，此距离可根据喷雾压力及内容物做出适度调整。</w:t>
      </w:r>
    </w:p>
    <w:p w:rsidR="000E5B5B" w:rsidRDefault="00267FD0" w:rsidP="00EA7A34">
      <w:pPr>
        <w:widowControl/>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储存：将配置好的供试液密封，防止杂质污染或挥发，根据样品原液的储存方式选择室温或冷藏暂放</w:t>
      </w:r>
      <w:r>
        <w:rPr>
          <w:rFonts w:hint="eastAsia"/>
          <w:color w:val="000000" w:themeColor="text1"/>
          <w:szCs w:val="21"/>
        </w:rPr>
        <w:t>或避光</w:t>
      </w:r>
      <w:r>
        <w:rPr>
          <w:color w:val="000000" w:themeColor="text1"/>
          <w:szCs w:val="21"/>
        </w:rPr>
        <w:t>。</w:t>
      </w:r>
    </w:p>
    <w:p w:rsidR="000E5B5B" w:rsidRDefault="00267FD0">
      <w:pPr>
        <w:snapToGrid w:val="0"/>
        <w:spacing w:line="300" w:lineRule="auto"/>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w:t>
      </w:r>
      <w:r>
        <w:rPr>
          <w:rFonts w:hint="eastAsia"/>
          <w:color w:val="000000" w:themeColor="text1"/>
          <w:szCs w:val="21"/>
        </w:rPr>
        <w:t>6</w:t>
      </w:r>
      <w:r w:rsidR="00267B8A">
        <w:rPr>
          <w:rFonts w:hint="eastAsia"/>
          <w:color w:val="000000" w:themeColor="text1"/>
          <w:szCs w:val="21"/>
        </w:rPr>
        <w:t xml:space="preserve">  </w:t>
      </w:r>
      <w:r>
        <w:rPr>
          <w:color w:val="000000" w:themeColor="text1"/>
          <w:szCs w:val="21"/>
        </w:rPr>
        <w:t>具有特殊使用方法的化妆品产品</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t>若产品备注有特殊使用方法，如需要加热、溶解等操作，如冻干粉</w:t>
      </w:r>
      <w:r>
        <w:rPr>
          <w:rFonts w:hint="eastAsia"/>
          <w:color w:val="000000" w:themeColor="text1"/>
          <w:szCs w:val="21"/>
        </w:rPr>
        <w:t>、浴盐</w:t>
      </w:r>
      <w:r>
        <w:rPr>
          <w:color w:val="000000" w:themeColor="text1"/>
          <w:szCs w:val="21"/>
        </w:rPr>
        <w:t>等，应在前处理时，按照样品的实际使用方法，尽可能保持受试物在实际使用中的形态。此类化妆品产品的配制应注意现用现配的原则。</w:t>
      </w:r>
    </w:p>
    <w:p w:rsidR="000E5B5B" w:rsidRDefault="00267FD0">
      <w:pPr>
        <w:snapToGrid w:val="0"/>
        <w:spacing w:beforeLines="50" w:before="156" w:afterLines="50" w:after="156" w:line="300" w:lineRule="auto"/>
        <w:rPr>
          <w:color w:val="000000" w:themeColor="text1"/>
          <w:szCs w:val="21"/>
        </w:rPr>
      </w:pPr>
      <w:r>
        <w:rPr>
          <w:color w:val="000000" w:themeColor="text1"/>
          <w:szCs w:val="21"/>
        </w:rPr>
        <w:t>5.</w:t>
      </w:r>
      <w:r>
        <w:rPr>
          <w:rFonts w:hint="eastAsia"/>
          <w:color w:val="000000" w:themeColor="text1"/>
          <w:szCs w:val="21"/>
        </w:rPr>
        <w:t>4</w:t>
      </w:r>
      <w:r w:rsidR="00267B8A">
        <w:rPr>
          <w:rFonts w:hint="eastAsia"/>
          <w:color w:val="000000" w:themeColor="text1"/>
          <w:szCs w:val="21"/>
        </w:rPr>
        <w:t xml:space="preserve">  </w:t>
      </w:r>
      <w:r>
        <w:rPr>
          <w:color w:val="000000" w:themeColor="text1"/>
          <w:szCs w:val="21"/>
        </w:rPr>
        <w:t>其他</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lastRenderedPageBreak/>
        <w:t>化妆品原料</w:t>
      </w:r>
      <w:r>
        <w:rPr>
          <w:rFonts w:hint="eastAsia"/>
          <w:color w:val="000000" w:themeColor="text1"/>
          <w:szCs w:val="21"/>
        </w:rPr>
        <w:t>和</w:t>
      </w:r>
      <w:r>
        <w:rPr>
          <w:color w:val="000000" w:themeColor="text1"/>
          <w:szCs w:val="21"/>
        </w:rPr>
        <w:t>产品为其他特殊性状时，应综合考虑受试物理化特性和人群接触特征，选择不影响受试物毒理学特性的前处理方式。</w:t>
      </w:r>
    </w:p>
    <w:p w:rsidR="000E5B5B" w:rsidRDefault="00267FD0" w:rsidP="00EA7A34">
      <w:pPr>
        <w:snapToGrid w:val="0"/>
        <w:spacing w:beforeLines="50" w:before="156" w:afterLines="50" w:after="156" w:line="300" w:lineRule="auto"/>
        <w:rPr>
          <w:rFonts w:ascii="黑体" w:eastAsia="黑体" w:hAnsi="黑体"/>
          <w:color w:val="000000" w:themeColor="text1"/>
          <w:szCs w:val="21"/>
        </w:rPr>
      </w:pPr>
      <w:r>
        <w:rPr>
          <w:rFonts w:eastAsia="黑体"/>
          <w:color w:val="000000" w:themeColor="text1"/>
          <w:szCs w:val="21"/>
        </w:rPr>
        <w:t>6</w:t>
      </w:r>
      <w:r w:rsidR="00267B8A">
        <w:rPr>
          <w:rFonts w:ascii="黑体" w:eastAsia="黑体" w:hAnsi="黑体" w:hint="eastAsia"/>
          <w:color w:val="000000" w:themeColor="text1"/>
          <w:szCs w:val="21"/>
        </w:rPr>
        <w:t xml:space="preserve">  </w:t>
      </w:r>
      <w:r>
        <w:rPr>
          <w:rFonts w:ascii="黑体" w:eastAsia="黑体" w:hAnsi="黑体"/>
          <w:color w:val="000000" w:themeColor="text1"/>
          <w:szCs w:val="21"/>
        </w:rPr>
        <w:t>注意事项</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t>经皮染毒时，溶剂应另外注意不影响受试物穿透皮肤，保证受试物与皮肤有良好接触，常用的介质有蒸馏水、羊毛脂、凡士林。</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t>经口染毒时，受试物均应溶解于适宜的溶剂中，在选择溶剂时应不高于经口染毒液体的最大容量，啮齿类动物所给液体容量一般为</w:t>
      </w:r>
      <w:r>
        <w:rPr>
          <w:color w:val="000000" w:themeColor="text1"/>
          <w:szCs w:val="21"/>
        </w:rPr>
        <w:t>1</w:t>
      </w:r>
      <w:r>
        <w:rPr>
          <w:rFonts w:hint="eastAsia"/>
          <w:color w:val="000000" w:themeColor="text1"/>
          <w:szCs w:val="21"/>
        </w:rPr>
        <w:t xml:space="preserve"> </w:t>
      </w:r>
      <w:r>
        <w:rPr>
          <w:color w:val="000000" w:themeColor="text1"/>
          <w:szCs w:val="21"/>
        </w:rPr>
        <w:t>mL/100</w:t>
      </w:r>
      <w:r>
        <w:rPr>
          <w:rFonts w:hint="eastAsia"/>
          <w:color w:val="000000" w:themeColor="text1"/>
          <w:szCs w:val="21"/>
        </w:rPr>
        <w:t xml:space="preserve"> </w:t>
      </w:r>
      <w:r>
        <w:rPr>
          <w:color w:val="000000" w:themeColor="text1"/>
          <w:szCs w:val="21"/>
        </w:rPr>
        <w:t>g</w:t>
      </w:r>
      <w:r>
        <w:rPr>
          <w:color w:val="000000" w:themeColor="text1"/>
          <w:szCs w:val="21"/>
        </w:rPr>
        <w:t>，水溶液可至</w:t>
      </w:r>
      <w:r>
        <w:rPr>
          <w:color w:val="000000" w:themeColor="text1"/>
          <w:szCs w:val="21"/>
        </w:rPr>
        <w:t>2</w:t>
      </w:r>
      <w:r>
        <w:rPr>
          <w:rFonts w:hint="eastAsia"/>
          <w:color w:val="000000" w:themeColor="text1"/>
          <w:szCs w:val="21"/>
        </w:rPr>
        <w:t xml:space="preserve"> </w:t>
      </w:r>
      <w:r>
        <w:rPr>
          <w:color w:val="000000" w:themeColor="text1"/>
          <w:szCs w:val="21"/>
        </w:rPr>
        <w:t>mL/100</w:t>
      </w:r>
      <w:r>
        <w:rPr>
          <w:rFonts w:hint="eastAsia"/>
          <w:color w:val="000000" w:themeColor="text1"/>
          <w:szCs w:val="21"/>
        </w:rPr>
        <w:t xml:space="preserve"> </w:t>
      </w:r>
      <w:r>
        <w:rPr>
          <w:color w:val="000000" w:themeColor="text1"/>
          <w:szCs w:val="21"/>
        </w:rPr>
        <w:t>g</w:t>
      </w:r>
      <w:r>
        <w:rPr>
          <w:color w:val="000000" w:themeColor="text1"/>
          <w:szCs w:val="21"/>
        </w:rPr>
        <w:t>。通过调整受试物溶液浓度使各剂量组经口染毒的容量一致。</w:t>
      </w:r>
    </w:p>
    <w:p w:rsidR="000E5B5B" w:rsidRDefault="00267FD0" w:rsidP="00EA7A34">
      <w:pPr>
        <w:widowControl/>
        <w:snapToGrid w:val="0"/>
        <w:spacing w:line="300" w:lineRule="auto"/>
        <w:ind w:firstLineChars="200" w:firstLine="420"/>
        <w:rPr>
          <w:color w:val="000000" w:themeColor="text1"/>
          <w:szCs w:val="21"/>
        </w:rPr>
      </w:pPr>
      <w:r>
        <w:rPr>
          <w:color w:val="000000" w:themeColor="text1"/>
          <w:szCs w:val="21"/>
        </w:rPr>
        <w:t>吸入染毒时，受试物须在空气中保持一定浓度，必要时可加入适当的赋形剂。赋形剂本身应无毒性，不与受试物反应且不影响受试物的吸收。</w:t>
      </w:r>
    </w:p>
    <w:p w:rsidR="000E5B5B" w:rsidRDefault="00267FD0" w:rsidP="00C3456D">
      <w:pPr>
        <w:snapToGrid w:val="0"/>
        <w:spacing w:line="300" w:lineRule="auto"/>
        <w:ind w:firstLine="420"/>
        <w:rPr>
          <w:rFonts w:eastAsia="仿宋_GB2312"/>
          <w:color w:val="000000" w:themeColor="text1"/>
          <w:sz w:val="24"/>
        </w:rPr>
      </w:pPr>
      <w:r>
        <w:rPr>
          <w:color w:val="000000" w:themeColor="text1"/>
          <w:szCs w:val="21"/>
        </w:rPr>
        <w:t>在体外试验中，需要注意无菌条件，化妆品原料</w:t>
      </w:r>
      <w:r>
        <w:rPr>
          <w:rFonts w:hint="eastAsia"/>
          <w:color w:val="000000" w:themeColor="text1"/>
          <w:szCs w:val="21"/>
        </w:rPr>
        <w:t>和</w:t>
      </w:r>
      <w:r>
        <w:rPr>
          <w:color w:val="000000" w:themeColor="text1"/>
          <w:szCs w:val="21"/>
        </w:rPr>
        <w:t>产品的酸碱度不能影响细胞或细菌的正常生长，若化妆品原料</w:t>
      </w:r>
      <w:r>
        <w:rPr>
          <w:rFonts w:hint="eastAsia"/>
          <w:color w:val="000000" w:themeColor="text1"/>
          <w:szCs w:val="21"/>
        </w:rPr>
        <w:t>和</w:t>
      </w:r>
      <w:r>
        <w:rPr>
          <w:color w:val="000000" w:themeColor="text1"/>
          <w:szCs w:val="21"/>
        </w:rPr>
        <w:t>产品为强酸强碱（</w:t>
      </w:r>
      <w:r>
        <w:rPr>
          <w:color w:val="000000" w:themeColor="text1"/>
          <w:szCs w:val="21"/>
        </w:rPr>
        <w:t>pH≤2</w:t>
      </w:r>
      <w:r>
        <w:rPr>
          <w:color w:val="000000" w:themeColor="text1"/>
          <w:szCs w:val="21"/>
        </w:rPr>
        <w:t>或</w:t>
      </w:r>
      <w:r>
        <w:rPr>
          <w:color w:val="000000" w:themeColor="text1"/>
          <w:szCs w:val="21"/>
        </w:rPr>
        <w:t>pH≥11.5</w:t>
      </w:r>
      <w:r>
        <w:rPr>
          <w:color w:val="000000" w:themeColor="text1"/>
          <w:szCs w:val="21"/>
        </w:rPr>
        <w:t>），可不再做皮肤刺激性</w:t>
      </w:r>
      <w:r>
        <w:rPr>
          <w:color w:val="000000" w:themeColor="text1"/>
          <w:szCs w:val="21"/>
        </w:rPr>
        <w:t>/</w:t>
      </w:r>
      <w:r>
        <w:rPr>
          <w:color w:val="000000" w:themeColor="text1"/>
          <w:szCs w:val="21"/>
        </w:rPr>
        <w:t>腐蚀性试验和急性眼刺激性</w:t>
      </w:r>
      <w:r>
        <w:rPr>
          <w:color w:val="000000" w:themeColor="text1"/>
          <w:szCs w:val="21"/>
        </w:rPr>
        <w:t>/</w:t>
      </w:r>
      <w:r>
        <w:rPr>
          <w:color w:val="000000" w:themeColor="text1"/>
          <w:szCs w:val="21"/>
        </w:rPr>
        <w:t>腐蚀性试验。</w:t>
      </w:r>
    </w:p>
    <w:sectPr w:rsidR="000E5B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9FB" w:rsidRDefault="009449FB">
      <w:r>
        <w:separator/>
      </w:r>
    </w:p>
  </w:endnote>
  <w:endnote w:type="continuationSeparator" w:id="0">
    <w:p w:rsidR="009449FB" w:rsidRDefault="0094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9FB" w:rsidRDefault="009449FB">
      <w:r>
        <w:separator/>
      </w:r>
    </w:p>
  </w:footnote>
  <w:footnote w:type="continuationSeparator" w:id="0">
    <w:p w:rsidR="009449FB" w:rsidRDefault="00944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YzY5NmY2NWYzNGQxNDUzZmFkZGFmNzcxNGE0YTQifQ=="/>
  </w:docVars>
  <w:rsids>
    <w:rsidRoot w:val="3A0048C0"/>
    <w:rsid w:val="000046D9"/>
    <w:rsid w:val="00006AC9"/>
    <w:rsid w:val="00013E15"/>
    <w:rsid w:val="00013F34"/>
    <w:rsid w:val="00024E11"/>
    <w:rsid w:val="0003788F"/>
    <w:rsid w:val="00037B6E"/>
    <w:rsid w:val="00044659"/>
    <w:rsid w:val="000449F0"/>
    <w:rsid w:val="00047C22"/>
    <w:rsid w:val="000522BD"/>
    <w:rsid w:val="000550C3"/>
    <w:rsid w:val="00057C79"/>
    <w:rsid w:val="00061D0D"/>
    <w:rsid w:val="0006767F"/>
    <w:rsid w:val="00067E73"/>
    <w:rsid w:val="00070324"/>
    <w:rsid w:val="00077260"/>
    <w:rsid w:val="00080D91"/>
    <w:rsid w:val="00081073"/>
    <w:rsid w:val="00085D97"/>
    <w:rsid w:val="00094BF9"/>
    <w:rsid w:val="000A1334"/>
    <w:rsid w:val="000A5667"/>
    <w:rsid w:val="000A6B81"/>
    <w:rsid w:val="000B6B0C"/>
    <w:rsid w:val="000D6D79"/>
    <w:rsid w:val="000D7E53"/>
    <w:rsid w:val="000E1FFB"/>
    <w:rsid w:val="000E5B5B"/>
    <w:rsid w:val="000E66DC"/>
    <w:rsid w:val="000F20CB"/>
    <w:rsid w:val="000F6995"/>
    <w:rsid w:val="000F6A9C"/>
    <w:rsid w:val="00105801"/>
    <w:rsid w:val="00113E84"/>
    <w:rsid w:val="00115C0E"/>
    <w:rsid w:val="001236A9"/>
    <w:rsid w:val="00125259"/>
    <w:rsid w:val="00130CE0"/>
    <w:rsid w:val="00145F0C"/>
    <w:rsid w:val="001517F6"/>
    <w:rsid w:val="00152DD6"/>
    <w:rsid w:val="00161984"/>
    <w:rsid w:val="00163928"/>
    <w:rsid w:val="00164751"/>
    <w:rsid w:val="001663F8"/>
    <w:rsid w:val="0017601C"/>
    <w:rsid w:val="0018336B"/>
    <w:rsid w:val="0019112B"/>
    <w:rsid w:val="00194214"/>
    <w:rsid w:val="001978FB"/>
    <w:rsid w:val="001A109F"/>
    <w:rsid w:val="001A5358"/>
    <w:rsid w:val="001A72E0"/>
    <w:rsid w:val="001B2FE9"/>
    <w:rsid w:val="001C1B10"/>
    <w:rsid w:val="001C2F00"/>
    <w:rsid w:val="001C7C3E"/>
    <w:rsid w:val="001D19AB"/>
    <w:rsid w:val="001D6AB1"/>
    <w:rsid w:val="001E3F3F"/>
    <w:rsid w:val="001E5C4D"/>
    <w:rsid w:val="001E7624"/>
    <w:rsid w:val="001E79AB"/>
    <w:rsid w:val="001F7A24"/>
    <w:rsid w:val="002116ED"/>
    <w:rsid w:val="0021678B"/>
    <w:rsid w:val="002200C3"/>
    <w:rsid w:val="00222085"/>
    <w:rsid w:val="00225FDC"/>
    <w:rsid w:val="002328A8"/>
    <w:rsid w:val="002354AD"/>
    <w:rsid w:val="002356DB"/>
    <w:rsid w:val="00235E1E"/>
    <w:rsid w:val="00242023"/>
    <w:rsid w:val="002425B1"/>
    <w:rsid w:val="002474AF"/>
    <w:rsid w:val="00253E46"/>
    <w:rsid w:val="00265AAD"/>
    <w:rsid w:val="00267B8A"/>
    <w:rsid w:val="00267FD0"/>
    <w:rsid w:val="0027124B"/>
    <w:rsid w:val="00272B3E"/>
    <w:rsid w:val="002752F3"/>
    <w:rsid w:val="00275A4E"/>
    <w:rsid w:val="002770D7"/>
    <w:rsid w:val="00283F46"/>
    <w:rsid w:val="00284F6F"/>
    <w:rsid w:val="00295E6B"/>
    <w:rsid w:val="002A4648"/>
    <w:rsid w:val="002B1344"/>
    <w:rsid w:val="002B7BAC"/>
    <w:rsid w:val="002B7D40"/>
    <w:rsid w:val="002D521F"/>
    <w:rsid w:val="002E398B"/>
    <w:rsid w:val="002E4054"/>
    <w:rsid w:val="002E710A"/>
    <w:rsid w:val="002F17A6"/>
    <w:rsid w:val="002F1B0B"/>
    <w:rsid w:val="002F2A47"/>
    <w:rsid w:val="00312A0C"/>
    <w:rsid w:val="00314CB5"/>
    <w:rsid w:val="003158B5"/>
    <w:rsid w:val="003168C8"/>
    <w:rsid w:val="00320968"/>
    <w:rsid w:val="00321E57"/>
    <w:rsid w:val="00323967"/>
    <w:rsid w:val="00331D8E"/>
    <w:rsid w:val="00335518"/>
    <w:rsid w:val="00346B70"/>
    <w:rsid w:val="0036027B"/>
    <w:rsid w:val="003650FF"/>
    <w:rsid w:val="00382176"/>
    <w:rsid w:val="00382F3C"/>
    <w:rsid w:val="00385B32"/>
    <w:rsid w:val="003874BD"/>
    <w:rsid w:val="003975BD"/>
    <w:rsid w:val="003A2221"/>
    <w:rsid w:val="003A31CE"/>
    <w:rsid w:val="003A517E"/>
    <w:rsid w:val="003C07DB"/>
    <w:rsid w:val="003C21DF"/>
    <w:rsid w:val="003C22F6"/>
    <w:rsid w:val="003D5027"/>
    <w:rsid w:val="003D5893"/>
    <w:rsid w:val="003E1475"/>
    <w:rsid w:val="003E17BE"/>
    <w:rsid w:val="003E612F"/>
    <w:rsid w:val="003F1481"/>
    <w:rsid w:val="003F5222"/>
    <w:rsid w:val="003F59ED"/>
    <w:rsid w:val="003F6314"/>
    <w:rsid w:val="003F6EC5"/>
    <w:rsid w:val="004008F0"/>
    <w:rsid w:val="00402D51"/>
    <w:rsid w:val="004041E1"/>
    <w:rsid w:val="0040430E"/>
    <w:rsid w:val="00420585"/>
    <w:rsid w:val="0042445A"/>
    <w:rsid w:val="00430F61"/>
    <w:rsid w:val="00432261"/>
    <w:rsid w:val="00434A57"/>
    <w:rsid w:val="00441CC8"/>
    <w:rsid w:val="00442D87"/>
    <w:rsid w:val="00443BE6"/>
    <w:rsid w:val="00445F3F"/>
    <w:rsid w:val="004519E0"/>
    <w:rsid w:val="00452717"/>
    <w:rsid w:val="00452EA8"/>
    <w:rsid w:val="00460867"/>
    <w:rsid w:val="00461583"/>
    <w:rsid w:val="004640AC"/>
    <w:rsid w:val="0047310B"/>
    <w:rsid w:val="00473CE3"/>
    <w:rsid w:val="00477EC1"/>
    <w:rsid w:val="00484E59"/>
    <w:rsid w:val="00485E88"/>
    <w:rsid w:val="00490B1D"/>
    <w:rsid w:val="00492E60"/>
    <w:rsid w:val="004A2AAF"/>
    <w:rsid w:val="004A6065"/>
    <w:rsid w:val="004A6DAD"/>
    <w:rsid w:val="004B14D0"/>
    <w:rsid w:val="004B1E85"/>
    <w:rsid w:val="004B2F5C"/>
    <w:rsid w:val="004B7361"/>
    <w:rsid w:val="004B7367"/>
    <w:rsid w:val="004C2FF1"/>
    <w:rsid w:val="004C747A"/>
    <w:rsid w:val="004D17D1"/>
    <w:rsid w:val="004D47F9"/>
    <w:rsid w:val="004E1DFE"/>
    <w:rsid w:val="004E1EC6"/>
    <w:rsid w:val="004E2DDA"/>
    <w:rsid w:val="004E3537"/>
    <w:rsid w:val="004E4193"/>
    <w:rsid w:val="004F2145"/>
    <w:rsid w:val="005053E0"/>
    <w:rsid w:val="005105E1"/>
    <w:rsid w:val="005119CB"/>
    <w:rsid w:val="00514693"/>
    <w:rsid w:val="00514F65"/>
    <w:rsid w:val="00523802"/>
    <w:rsid w:val="00526C19"/>
    <w:rsid w:val="00527F13"/>
    <w:rsid w:val="0053039B"/>
    <w:rsid w:val="00532304"/>
    <w:rsid w:val="00533D6C"/>
    <w:rsid w:val="00534057"/>
    <w:rsid w:val="00540013"/>
    <w:rsid w:val="00540B72"/>
    <w:rsid w:val="005453CF"/>
    <w:rsid w:val="00545C5B"/>
    <w:rsid w:val="00555DE7"/>
    <w:rsid w:val="0055704A"/>
    <w:rsid w:val="00561C5A"/>
    <w:rsid w:val="00562CF4"/>
    <w:rsid w:val="00564822"/>
    <w:rsid w:val="00576720"/>
    <w:rsid w:val="00577142"/>
    <w:rsid w:val="00582D12"/>
    <w:rsid w:val="005878D9"/>
    <w:rsid w:val="005A2DC3"/>
    <w:rsid w:val="005A3F48"/>
    <w:rsid w:val="005A5BA6"/>
    <w:rsid w:val="005B2483"/>
    <w:rsid w:val="005D605A"/>
    <w:rsid w:val="005E4E9C"/>
    <w:rsid w:val="005F029B"/>
    <w:rsid w:val="005F55D1"/>
    <w:rsid w:val="006061AF"/>
    <w:rsid w:val="006061DE"/>
    <w:rsid w:val="00607861"/>
    <w:rsid w:val="006128EE"/>
    <w:rsid w:val="006154D0"/>
    <w:rsid w:val="006156EA"/>
    <w:rsid w:val="006221CF"/>
    <w:rsid w:val="00624B63"/>
    <w:rsid w:val="00632AF6"/>
    <w:rsid w:val="00637261"/>
    <w:rsid w:val="00643DEC"/>
    <w:rsid w:val="006548EA"/>
    <w:rsid w:val="0066064C"/>
    <w:rsid w:val="0066188D"/>
    <w:rsid w:val="00665BB3"/>
    <w:rsid w:val="0067298C"/>
    <w:rsid w:val="00675947"/>
    <w:rsid w:val="0067608B"/>
    <w:rsid w:val="0068040B"/>
    <w:rsid w:val="006808F8"/>
    <w:rsid w:val="006822CC"/>
    <w:rsid w:val="006858C1"/>
    <w:rsid w:val="0069073E"/>
    <w:rsid w:val="00691906"/>
    <w:rsid w:val="006A29A2"/>
    <w:rsid w:val="006A41D9"/>
    <w:rsid w:val="006A4D21"/>
    <w:rsid w:val="006A5708"/>
    <w:rsid w:val="006B6E2D"/>
    <w:rsid w:val="006C2D8D"/>
    <w:rsid w:val="006C38CE"/>
    <w:rsid w:val="006C44B9"/>
    <w:rsid w:val="006D0C79"/>
    <w:rsid w:val="006D2338"/>
    <w:rsid w:val="006D6419"/>
    <w:rsid w:val="006D6588"/>
    <w:rsid w:val="006D727F"/>
    <w:rsid w:val="006E1E65"/>
    <w:rsid w:val="006E745E"/>
    <w:rsid w:val="006F56D0"/>
    <w:rsid w:val="006F7526"/>
    <w:rsid w:val="006F76F5"/>
    <w:rsid w:val="00711BCB"/>
    <w:rsid w:val="00721A74"/>
    <w:rsid w:val="00726BD7"/>
    <w:rsid w:val="0073560B"/>
    <w:rsid w:val="0073674E"/>
    <w:rsid w:val="0074020E"/>
    <w:rsid w:val="00743BB3"/>
    <w:rsid w:val="00747609"/>
    <w:rsid w:val="007524A6"/>
    <w:rsid w:val="0075384A"/>
    <w:rsid w:val="007602F1"/>
    <w:rsid w:val="0076033F"/>
    <w:rsid w:val="007675A3"/>
    <w:rsid w:val="0077243C"/>
    <w:rsid w:val="00775DA1"/>
    <w:rsid w:val="0077712C"/>
    <w:rsid w:val="0078163D"/>
    <w:rsid w:val="007858DC"/>
    <w:rsid w:val="00790141"/>
    <w:rsid w:val="00790374"/>
    <w:rsid w:val="00792187"/>
    <w:rsid w:val="00792421"/>
    <w:rsid w:val="00795949"/>
    <w:rsid w:val="007A0CED"/>
    <w:rsid w:val="007A140C"/>
    <w:rsid w:val="007A3D2D"/>
    <w:rsid w:val="007B7E3F"/>
    <w:rsid w:val="007C41A6"/>
    <w:rsid w:val="007D0543"/>
    <w:rsid w:val="007D3ADA"/>
    <w:rsid w:val="007D4402"/>
    <w:rsid w:val="007E553A"/>
    <w:rsid w:val="007F01AE"/>
    <w:rsid w:val="007F38A3"/>
    <w:rsid w:val="007F530D"/>
    <w:rsid w:val="00805AA6"/>
    <w:rsid w:val="00805AD2"/>
    <w:rsid w:val="008070E5"/>
    <w:rsid w:val="0081018F"/>
    <w:rsid w:val="0081509E"/>
    <w:rsid w:val="00815564"/>
    <w:rsid w:val="008266B2"/>
    <w:rsid w:val="0083115D"/>
    <w:rsid w:val="0083633F"/>
    <w:rsid w:val="008417C0"/>
    <w:rsid w:val="00850970"/>
    <w:rsid w:val="0085233A"/>
    <w:rsid w:val="0085470A"/>
    <w:rsid w:val="00856136"/>
    <w:rsid w:val="008610C0"/>
    <w:rsid w:val="008811B7"/>
    <w:rsid w:val="00886E47"/>
    <w:rsid w:val="008A06CA"/>
    <w:rsid w:val="008B2043"/>
    <w:rsid w:val="008C59C4"/>
    <w:rsid w:val="008D4C77"/>
    <w:rsid w:val="008E0627"/>
    <w:rsid w:val="008E1ACF"/>
    <w:rsid w:val="008E20A5"/>
    <w:rsid w:val="008E698E"/>
    <w:rsid w:val="008F21EE"/>
    <w:rsid w:val="008F4085"/>
    <w:rsid w:val="00902F46"/>
    <w:rsid w:val="00905E4B"/>
    <w:rsid w:val="009061CC"/>
    <w:rsid w:val="009078BC"/>
    <w:rsid w:val="00913FA7"/>
    <w:rsid w:val="00917198"/>
    <w:rsid w:val="009174F4"/>
    <w:rsid w:val="0091780B"/>
    <w:rsid w:val="009241F5"/>
    <w:rsid w:val="0092754C"/>
    <w:rsid w:val="0093050D"/>
    <w:rsid w:val="009427D6"/>
    <w:rsid w:val="009449FB"/>
    <w:rsid w:val="00946A93"/>
    <w:rsid w:val="009512AD"/>
    <w:rsid w:val="009577F5"/>
    <w:rsid w:val="00960E77"/>
    <w:rsid w:val="00981A78"/>
    <w:rsid w:val="00987D67"/>
    <w:rsid w:val="00991C2F"/>
    <w:rsid w:val="00992330"/>
    <w:rsid w:val="009937C4"/>
    <w:rsid w:val="009945E1"/>
    <w:rsid w:val="009946AC"/>
    <w:rsid w:val="009A6B1F"/>
    <w:rsid w:val="009B1973"/>
    <w:rsid w:val="009B3C37"/>
    <w:rsid w:val="009B4AB9"/>
    <w:rsid w:val="009B558A"/>
    <w:rsid w:val="009B5856"/>
    <w:rsid w:val="009B6B5F"/>
    <w:rsid w:val="009C0062"/>
    <w:rsid w:val="009C055F"/>
    <w:rsid w:val="009C31C2"/>
    <w:rsid w:val="009C65F1"/>
    <w:rsid w:val="009D1035"/>
    <w:rsid w:val="009D191F"/>
    <w:rsid w:val="009D2FBD"/>
    <w:rsid w:val="009D3B08"/>
    <w:rsid w:val="009E5789"/>
    <w:rsid w:val="009E6D26"/>
    <w:rsid w:val="00A02FD4"/>
    <w:rsid w:val="00A05635"/>
    <w:rsid w:val="00A1066C"/>
    <w:rsid w:val="00A11664"/>
    <w:rsid w:val="00A257B2"/>
    <w:rsid w:val="00A2592E"/>
    <w:rsid w:val="00A375E6"/>
    <w:rsid w:val="00A37AD3"/>
    <w:rsid w:val="00A51B16"/>
    <w:rsid w:val="00A57728"/>
    <w:rsid w:val="00A61227"/>
    <w:rsid w:val="00A62284"/>
    <w:rsid w:val="00A63CFC"/>
    <w:rsid w:val="00A649BE"/>
    <w:rsid w:val="00A65F93"/>
    <w:rsid w:val="00A6742D"/>
    <w:rsid w:val="00A70273"/>
    <w:rsid w:val="00A71C97"/>
    <w:rsid w:val="00A7243B"/>
    <w:rsid w:val="00A735ED"/>
    <w:rsid w:val="00A76936"/>
    <w:rsid w:val="00A76FC1"/>
    <w:rsid w:val="00A771CA"/>
    <w:rsid w:val="00A8261F"/>
    <w:rsid w:val="00A92066"/>
    <w:rsid w:val="00AA3FD4"/>
    <w:rsid w:val="00AB33CC"/>
    <w:rsid w:val="00AB41D1"/>
    <w:rsid w:val="00AC5388"/>
    <w:rsid w:val="00AC727C"/>
    <w:rsid w:val="00AD098F"/>
    <w:rsid w:val="00AD13DA"/>
    <w:rsid w:val="00AD3CF6"/>
    <w:rsid w:val="00AD3D36"/>
    <w:rsid w:val="00AD3EDD"/>
    <w:rsid w:val="00AD6362"/>
    <w:rsid w:val="00AE6680"/>
    <w:rsid w:val="00AF05E2"/>
    <w:rsid w:val="00AF3A66"/>
    <w:rsid w:val="00B04F37"/>
    <w:rsid w:val="00B077B4"/>
    <w:rsid w:val="00B107AC"/>
    <w:rsid w:val="00B130C7"/>
    <w:rsid w:val="00B17634"/>
    <w:rsid w:val="00B21764"/>
    <w:rsid w:val="00B2476A"/>
    <w:rsid w:val="00B278F3"/>
    <w:rsid w:val="00B30969"/>
    <w:rsid w:val="00B43D6B"/>
    <w:rsid w:val="00B44C75"/>
    <w:rsid w:val="00B545BA"/>
    <w:rsid w:val="00B57E04"/>
    <w:rsid w:val="00B63DD9"/>
    <w:rsid w:val="00B6600D"/>
    <w:rsid w:val="00B671AE"/>
    <w:rsid w:val="00B81BA8"/>
    <w:rsid w:val="00B836AB"/>
    <w:rsid w:val="00B875B5"/>
    <w:rsid w:val="00B87D44"/>
    <w:rsid w:val="00B93476"/>
    <w:rsid w:val="00B96EFD"/>
    <w:rsid w:val="00BA139C"/>
    <w:rsid w:val="00BB026E"/>
    <w:rsid w:val="00BC3B16"/>
    <w:rsid w:val="00BD410E"/>
    <w:rsid w:val="00BD784F"/>
    <w:rsid w:val="00BE0428"/>
    <w:rsid w:val="00BE0784"/>
    <w:rsid w:val="00BE1E74"/>
    <w:rsid w:val="00BE48C3"/>
    <w:rsid w:val="00BE69B3"/>
    <w:rsid w:val="00BE77BB"/>
    <w:rsid w:val="00BF517F"/>
    <w:rsid w:val="00BF5EB4"/>
    <w:rsid w:val="00C00376"/>
    <w:rsid w:val="00C01962"/>
    <w:rsid w:val="00C268BA"/>
    <w:rsid w:val="00C26AD9"/>
    <w:rsid w:val="00C32EA8"/>
    <w:rsid w:val="00C3456D"/>
    <w:rsid w:val="00C617FE"/>
    <w:rsid w:val="00C675FA"/>
    <w:rsid w:val="00C70499"/>
    <w:rsid w:val="00C747A9"/>
    <w:rsid w:val="00C76F23"/>
    <w:rsid w:val="00C779D7"/>
    <w:rsid w:val="00C77BCA"/>
    <w:rsid w:val="00C77CF7"/>
    <w:rsid w:val="00C852C8"/>
    <w:rsid w:val="00C86801"/>
    <w:rsid w:val="00C87185"/>
    <w:rsid w:val="00C91E17"/>
    <w:rsid w:val="00C942FD"/>
    <w:rsid w:val="00C953EC"/>
    <w:rsid w:val="00C95AD5"/>
    <w:rsid w:val="00C96583"/>
    <w:rsid w:val="00CA1948"/>
    <w:rsid w:val="00CA4535"/>
    <w:rsid w:val="00CB3B3D"/>
    <w:rsid w:val="00CC0506"/>
    <w:rsid w:val="00CC1D98"/>
    <w:rsid w:val="00CC463E"/>
    <w:rsid w:val="00CD0470"/>
    <w:rsid w:val="00CD0774"/>
    <w:rsid w:val="00CD26C1"/>
    <w:rsid w:val="00CD652E"/>
    <w:rsid w:val="00CE17E7"/>
    <w:rsid w:val="00CE29CE"/>
    <w:rsid w:val="00CE2FE0"/>
    <w:rsid w:val="00CE4A0B"/>
    <w:rsid w:val="00CF43B7"/>
    <w:rsid w:val="00D06695"/>
    <w:rsid w:val="00D07B04"/>
    <w:rsid w:val="00D130CE"/>
    <w:rsid w:val="00D14ADA"/>
    <w:rsid w:val="00D1658E"/>
    <w:rsid w:val="00D20CFC"/>
    <w:rsid w:val="00D231B8"/>
    <w:rsid w:val="00D270F4"/>
    <w:rsid w:val="00D27F08"/>
    <w:rsid w:val="00D33505"/>
    <w:rsid w:val="00D35B05"/>
    <w:rsid w:val="00D45FA1"/>
    <w:rsid w:val="00D47EA0"/>
    <w:rsid w:val="00D604E5"/>
    <w:rsid w:val="00D66C39"/>
    <w:rsid w:val="00D66C65"/>
    <w:rsid w:val="00D720A6"/>
    <w:rsid w:val="00D73035"/>
    <w:rsid w:val="00D74878"/>
    <w:rsid w:val="00D847EE"/>
    <w:rsid w:val="00D85890"/>
    <w:rsid w:val="00D8602D"/>
    <w:rsid w:val="00D86352"/>
    <w:rsid w:val="00DB2AB6"/>
    <w:rsid w:val="00DB35C8"/>
    <w:rsid w:val="00DB5F7B"/>
    <w:rsid w:val="00DB6731"/>
    <w:rsid w:val="00DC08F0"/>
    <w:rsid w:val="00DC5271"/>
    <w:rsid w:val="00DC5740"/>
    <w:rsid w:val="00DC71D0"/>
    <w:rsid w:val="00DE0DD6"/>
    <w:rsid w:val="00DE544E"/>
    <w:rsid w:val="00DE57AC"/>
    <w:rsid w:val="00DE5DC6"/>
    <w:rsid w:val="00DE6506"/>
    <w:rsid w:val="00E05C4B"/>
    <w:rsid w:val="00E10931"/>
    <w:rsid w:val="00E21CF5"/>
    <w:rsid w:val="00E2715D"/>
    <w:rsid w:val="00E32AF6"/>
    <w:rsid w:val="00E35BA4"/>
    <w:rsid w:val="00E371CC"/>
    <w:rsid w:val="00E44AA3"/>
    <w:rsid w:val="00E50474"/>
    <w:rsid w:val="00E506FB"/>
    <w:rsid w:val="00E528F8"/>
    <w:rsid w:val="00E54403"/>
    <w:rsid w:val="00E553A6"/>
    <w:rsid w:val="00E566A1"/>
    <w:rsid w:val="00E61431"/>
    <w:rsid w:val="00E6184C"/>
    <w:rsid w:val="00E65FFB"/>
    <w:rsid w:val="00E66796"/>
    <w:rsid w:val="00E70AB6"/>
    <w:rsid w:val="00E727F3"/>
    <w:rsid w:val="00E809B0"/>
    <w:rsid w:val="00E827C5"/>
    <w:rsid w:val="00E8593F"/>
    <w:rsid w:val="00E9222D"/>
    <w:rsid w:val="00E96792"/>
    <w:rsid w:val="00E97FBD"/>
    <w:rsid w:val="00EA09ED"/>
    <w:rsid w:val="00EA35D3"/>
    <w:rsid w:val="00EA3ABA"/>
    <w:rsid w:val="00EA7A34"/>
    <w:rsid w:val="00EB238B"/>
    <w:rsid w:val="00EB4AD4"/>
    <w:rsid w:val="00EC115D"/>
    <w:rsid w:val="00EC71E8"/>
    <w:rsid w:val="00ED5189"/>
    <w:rsid w:val="00ED7ED7"/>
    <w:rsid w:val="00EE04AB"/>
    <w:rsid w:val="00EE359F"/>
    <w:rsid w:val="00EE3C36"/>
    <w:rsid w:val="00EE4D22"/>
    <w:rsid w:val="00EE4F8B"/>
    <w:rsid w:val="00EF0F25"/>
    <w:rsid w:val="00EF20C0"/>
    <w:rsid w:val="00EF3067"/>
    <w:rsid w:val="00EF4711"/>
    <w:rsid w:val="00EF79B8"/>
    <w:rsid w:val="00F010B7"/>
    <w:rsid w:val="00F026DD"/>
    <w:rsid w:val="00F078E0"/>
    <w:rsid w:val="00F118B0"/>
    <w:rsid w:val="00F135BB"/>
    <w:rsid w:val="00F21BAD"/>
    <w:rsid w:val="00F2481E"/>
    <w:rsid w:val="00F2640E"/>
    <w:rsid w:val="00F41ACE"/>
    <w:rsid w:val="00F43871"/>
    <w:rsid w:val="00F455FA"/>
    <w:rsid w:val="00F50CAB"/>
    <w:rsid w:val="00F53D69"/>
    <w:rsid w:val="00F66912"/>
    <w:rsid w:val="00F67C21"/>
    <w:rsid w:val="00F8705F"/>
    <w:rsid w:val="00F947B5"/>
    <w:rsid w:val="00F94A29"/>
    <w:rsid w:val="00F96EB5"/>
    <w:rsid w:val="00FA29A5"/>
    <w:rsid w:val="00FA5856"/>
    <w:rsid w:val="00FB17F0"/>
    <w:rsid w:val="00FB5546"/>
    <w:rsid w:val="00FC53AF"/>
    <w:rsid w:val="00FC5605"/>
    <w:rsid w:val="00FD24C3"/>
    <w:rsid w:val="00FD3A56"/>
    <w:rsid w:val="00FD46D5"/>
    <w:rsid w:val="00FD5356"/>
    <w:rsid w:val="00FD5F21"/>
    <w:rsid w:val="00FF41C4"/>
    <w:rsid w:val="00FF549D"/>
    <w:rsid w:val="00FF6D0A"/>
    <w:rsid w:val="00FF7154"/>
    <w:rsid w:val="011A56CB"/>
    <w:rsid w:val="020D6725"/>
    <w:rsid w:val="046E1CDA"/>
    <w:rsid w:val="0503791F"/>
    <w:rsid w:val="06974590"/>
    <w:rsid w:val="06BC02D5"/>
    <w:rsid w:val="06C325CB"/>
    <w:rsid w:val="079D546F"/>
    <w:rsid w:val="0A0419B9"/>
    <w:rsid w:val="0AB44ED8"/>
    <w:rsid w:val="0B5D0928"/>
    <w:rsid w:val="0C0170AA"/>
    <w:rsid w:val="0D655E9E"/>
    <w:rsid w:val="0DA45340"/>
    <w:rsid w:val="0EBE1E46"/>
    <w:rsid w:val="10116E61"/>
    <w:rsid w:val="102552C1"/>
    <w:rsid w:val="11145F45"/>
    <w:rsid w:val="114A2380"/>
    <w:rsid w:val="1189083A"/>
    <w:rsid w:val="12114AE5"/>
    <w:rsid w:val="14423DE3"/>
    <w:rsid w:val="14CD0536"/>
    <w:rsid w:val="14D26837"/>
    <w:rsid w:val="179A2AB8"/>
    <w:rsid w:val="199111BF"/>
    <w:rsid w:val="1BC52D4A"/>
    <w:rsid w:val="1C09085A"/>
    <w:rsid w:val="1C0F1353"/>
    <w:rsid w:val="1CCA1B25"/>
    <w:rsid w:val="1D847C1B"/>
    <w:rsid w:val="1F8E4AE7"/>
    <w:rsid w:val="21993DCC"/>
    <w:rsid w:val="224305A8"/>
    <w:rsid w:val="230768D7"/>
    <w:rsid w:val="232D48D9"/>
    <w:rsid w:val="257F1690"/>
    <w:rsid w:val="27CB0CF7"/>
    <w:rsid w:val="2A55572E"/>
    <w:rsid w:val="2B47277C"/>
    <w:rsid w:val="2B711D54"/>
    <w:rsid w:val="2C7E4388"/>
    <w:rsid w:val="2F455F1D"/>
    <w:rsid w:val="2F4C7BA8"/>
    <w:rsid w:val="304A0C03"/>
    <w:rsid w:val="30A655D3"/>
    <w:rsid w:val="3131313E"/>
    <w:rsid w:val="3158004F"/>
    <w:rsid w:val="324A179D"/>
    <w:rsid w:val="33A1422B"/>
    <w:rsid w:val="34D52D71"/>
    <w:rsid w:val="37012E14"/>
    <w:rsid w:val="38F62A80"/>
    <w:rsid w:val="394C4C39"/>
    <w:rsid w:val="3A0048C0"/>
    <w:rsid w:val="3BC81B4D"/>
    <w:rsid w:val="3D955851"/>
    <w:rsid w:val="3FE04D76"/>
    <w:rsid w:val="401A18D7"/>
    <w:rsid w:val="40383E31"/>
    <w:rsid w:val="410A1661"/>
    <w:rsid w:val="42C817D4"/>
    <w:rsid w:val="47D83F6D"/>
    <w:rsid w:val="48E43A83"/>
    <w:rsid w:val="49F82928"/>
    <w:rsid w:val="4C6E125C"/>
    <w:rsid w:val="4EB63B20"/>
    <w:rsid w:val="4F020397"/>
    <w:rsid w:val="4F5541C8"/>
    <w:rsid w:val="50185DB3"/>
    <w:rsid w:val="52BA5356"/>
    <w:rsid w:val="55BD684B"/>
    <w:rsid w:val="57F209EF"/>
    <w:rsid w:val="581F5A39"/>
    <w:rsid w:val="5983359E"/>
    <w:rsid w:val="5A6F6B25"/>
    <w:rsid w:val="5DB71D0D"/>
    <w:rsid w:val="61E6539B"/>
    <w:rsid w:val="628C7CB6"/>
    <w:rsid w:val="63233695"/>
    <w:rsid w:val="634941E6"/>
    <w:rsid w:val="690506C3"/>
    <w:rsid w:val="69070FEC"/>
    <w:rsid w:val="6C0055D1"/>
    <w:rsid w:val="6DB76CFA"/>
    <w:rsid w:val="6DEE5CE3"/>
    <w:rsid w:val="6E912205"/>
    <w:rsid w:val="6F8C594D"/>
    <w:rsid w:val="6F945F4E"/>
    <w:rsid w:val="71FC3200"/>
    <w:rsid w:val="724617F1"/>
    <w:rsid w:val="7316093F"/>
    <w:rsid w:val="74F473AF"/>
    <w:rsid w:val="78FC5922"/>
    <w:rsid w:val="79172326"/>
    <w:rsid w:val="79BA2A1E"/>
    <w:rsid w:val="79DA1EC9"/>
    <w:rsid w:val="7A996458"/>
    <w:rsid w:val="7C871F7E"/>
    <w:rsid w:val="7DA861B5"/>
    <w:rsid w:val="7E927FC5"/>
    <w:rsid w:val="7F752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D30E17-412A-4285-AA92-421C88BA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pPr>
      <w:jc w:val="left"/>
    </w:pPr>
  </w:style>
  <w:style w:type="paragraph" w:styleId="a4">
    <w:name w:val="Body Text Indent"/>
    <w:basedOn w:val="a"/>
    <w:autoRedefine/>
    <w:unhideWhenUsed/>
    <w:qFormat/>
    <w:pPr>
      <w:topLinePunct/>
      <w:ind w:firstLineChars="200" w:firstLine="560"/>
    </w:pPr>
    <w:rPr>
      <w:rFonts w:eastAsia="仿宋_GB2312"/>
      <w:sz w:val="28"/>
      <w:szCs w:val="20"/>
    </w:rPr>
  </w:style>
  <w:style w:type="paragraph" w:styleId="a5">
    <w:name w:val="Balloon Text"/>
    <w:basedOn w:val="a"/>
    <w:link w:val="Char0"/>
    <w:autoRedefine/>
    <w:uiPriority w:val="99"/>
    <w:semiHidden/>
    <w:unhideWhenUsed/>
    <w:qFormat/>
    <w:rPr>
      <w:sz w:val="18"/>
      <w:szCs w:val="18"/>
    </w:rPr>
  </w:style>
  <w:style w:type="paragraph" w:styleId="a6">
    <w:name w:val="footer"/>
    <w:basedOn w:val="a"/>
    <w:link w:val="Char1"/>
    <w:autoRedefine/>
    <w:uiPriority w:val="99"/>
    <w:qFormat/>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uiPriority w:val="99"/>
    <w:semiHidden/>
    <w:unhideWhenUsed/>
    <w:qFormat/>
    <w:rPr>
      <w:b/>
      <w:bCs/>
    </w:rPr>
  </w:style>
  <w:style w:type="table" w:styleId="a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autoRedefine/>
    <w:uiPriority w:val="99"/>
    <w:semiHidden/>
    <w:unhideWhenUsed/>
    <w:qFormat/>
    <w:rPr>
      <w:sz w:val="21"/>
      <w:szCs w:val="21"/>
    </w:rPr>
  </w:style>
  <w:style w:type="character" w:customStyle="1" w:styleId="Char1">
    <w:name w:val="页脚 Char"/>
    <w:basedOn w:val="a0"/>
    <w:link w:val="a6"/>
    <w:autoRedefine/>
    <w:uiPriority w:val="99"/>
    <w:qFormat/>
    <w:rPr>
      <w:rFonts w:ascii="Times New Roman" w:eastAsia="宋体" w:hAnsi="Times New Roman" w:cs="Times New Roman"/>
      <w:sz w:val="18"/>
      <w:szCs w:val="18"/>
    </w:rPr>
  </w:style>
  <w:style w:type="table" w:customStyle="1" w:styleId="2">
    <w:name w:val="网格型2"/>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5"/>
    <w:autoRedefine/>
    <w:uiPriority w:val="99"/>
    <w:semiHidden/>
    <w:qFormat/>
    <w:rPr>
      <w:kern w:val="2"/>
      <w:sz w:val="18"/>
      <w:szCs w:val="18"/>
    </w:rPr>
  </w:style>
  <w:style w:type="paragraph" w:customStyle="1" w:styleId="1">
    <w:name w:val="修订1"/>
    <w:autoRedefine/>
    <w:hidden/>
    <w:uiPriority w:val="99"/>
    <w:semiHidden/>
    <w:qFormat/>
    <w:rPr>
      <w:kern w:val="2"/>
      <w:sz w:val="21"/>
      <w:szCs w:val="24"/>
    </w:rPr>
  </w:style>
  <w:style w:type="character" w:customStyle="1" w:styleId="Char">
    <w:name w:val="批注文字 Char"/>
    <w:basedOn w:val="a0"/>
    <w:link w:val="a3"/>
    <w:autoRedefine/>
    <w:uiPriority w:val="99"/>
    <w:semiHidden/>
    <w:qFormat/>
    <w:rPr>
      <w:kern w:val="2"/>
      <w:sz w:val="21"/>
      <w:szCs w:val="24"/>
    </w:rPr>
  </w:style>
  <w:style w:type="character" w:customStyle="1" w:styleId="Char3">
    <w:name w:val="批注主题 Char"/>
    <w:basedOn w:val="Char"/>
    <w:link w:val="a8"/>
    <w:autoRedefine/>
    <w:uiPriority w:val="99"/>
    <w:semiHidden/>
    <w:qFormat/>
    <w:rPr>
      <w:b/>
      <w:bCs/>
      <w:kern w:val="2"/>
      <w:sz w:val="21"/>
      <w:szCs w:val="24"/>
    </w:rPr>
  </w:style>
  <w:style w:type="paragraph" w:customStyle="1" w:styleId="20">
    <w:name w:val="修订2"/>
    <w:autoRedefine/>
    <w:hidden/>
    <w:uiPriority w:val="99"/>
    <w:semiHidden/>
    <w:qFormat/>
    <w:rPr>
      <w:kern w:val="2"/>
      <w:sz w:val="21"/>
      <w:szCs w:val="24"/>
    </w:rPr>
  </w:style>
  <w:style w:type="paragraph" w:customStyle="1" w:styleId="3">
    <w:name w:val="修订3"/>
    <w:autoRedefine/>
    <w:hidden/>
    <w:uiPriority w:val="99"/>
    <w:semiHidden/>
    <w:qFormat/>
    <w:rPr>
      <w:kern w:val="2"/>
      <w:sz w:val="21"/>
      <w:szCs w:val="24"/>
    </w:rPr>
  </w:style>
  <w:style w:type="paragraph" w:customStyle="1" w:styleId="4">
    <w:name w:val="修订4"/>
    <w:autoRedefine/>
    <w:hidden/>
    <w:uiPriority w:val="99"/>
    <w:unhideWhenUsed/>
    <w:qFormat/>
    <w:rPr>
      <w:kern w:val="2"/>
      <w:sz w:val="21"/>
      <w:szCs w:val="24"/>
    </w:rPr>
  </w:style>
  <w:style w:type="paragraph" w:customStyle="1" w:styleId="5">
    <w:name w:val="修订5"/>
    <w:autoRedefine/>
    <w:hidden/>
    <w:uiPriority w:val="99"/>
    <w:unhideWhenUsed/>
    <w:qFormat/>
    <w:rPr>
      <w:kern w:val="2"/>
      <w:sz w:val="21"/>
      <w:szCs w:val="24"/>
    </w:rPr>
  </w:style>
  <w:style w:type="paragraph" w:customStyle="1" w:styleId="6">
    <w:name w:val="修订6"/>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1270;&#22918;&#21697;&#21407;&#26009;&#21450;&#20854;&#20135;&#21697;&#21069;&#22788;&#29702;&#36890;&#21017;\&#21270;&#22918;&#21697;&#21407;&#26009;&#21450;&#20854;&#20135;&#21697;&#21069;&#22788;&#29702;&#36890;&#21017;&#20219;&#21153;&#20070;-&#32456;&#29256;2022.1.1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7EDD-5152-44E0-BE73-70B5B609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化妆品原料及其产品前处理通则任务书-终版2022.1.10.docx</Template>
  <TotalTime>44</TotalTime>
  <Pages>1</Pages>
  <Words>549</Words>
  <Characters>3131</Characters>
  <Application>Microsoft Office Word</Application>
  <DocSecurity>0</DocSecurity>
  <Lines>26</Lines>
  <Paragraphs>7</Paragraphs>
  <ScaleCrop>false</ScaleCrop>
  <Company>Microsoft</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yika</dc:creator>
  <cp:lastModifiedBy>pc</cp:lastModifiedBy>
  <cp:revision>35</cp:revision>
  <cp:lastPrinted>2023-12-26T01:51:00Z</cp:lastPrinted>
  <dcterms:created xsi:type="dcterms:W3CDTF">2023-12-20T08:15:00Z</dcterms:created>
  <dcterms:modified xsi:type="dcterms:W3CDTF">2024-03-21T09:21:00Z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F7B3C589A04546B5B244A9183E2E03B5_13</vt:lpwstr>
  </property>
</Properties>
</file>