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7D8" w:rsidRDefault="00B8355A">
      <w:pPr>
        <w:spacing w:line="560" w:lineRule="exact"/>
        <w:rPr>
          <w:rFonts w:ascii="黑体" w:eastAsia="黑体" w:hAnsi="黑体"/>
          <w:sz w:val="32"/>
          <w:szCs w:val="32"/>
        </w:rPr>
      </w:pPr>
      <w:r>
        <w:rPr>
          <w:rFonts w:ascii="黑体" w:eastAsia="黑体" w:hAnsi="黑体" w:hint="eastAsia"/>
          <w:sz w:val="32"/>
          <w:szCs w:val="32"/>
        </w:rPr>
        <w:t>附件1</w:t>
      </w:r>
    </w:p>
    <w:p w:rsidR="004457D8" w:rsidRDefault="004457D8">
      <w:pPr>
        <w:spacing w:line="560" w:lineRule="exact"/>
        <w:jc w:val="center"/>
        <w:rPr>
          <w:rFonts w:ascii="黑体" w:eastAsia="黑体" w:hAnsi="黑体"/>
          <w:sz w:val="32"/>
          <w:szCs w:val="32"/>
        </w:rPr>
      </w:pPr>
    </w:p>
    <w:p w:rsidR="004457D8" w:rsidRDefault="00B8355A">
      <w:pPr>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氢化泼尼松注射液说明书修订</w:t>
      </w:r>
      <w:bookmarkStart w:id="0" w:name="6730918-6945218-3"/>
      <w:bookmarkStart w:id="1" w:name="6730918-6945218-4"/>
      <w:bookmarkEnd w:id="0"/>
      <w:bookmarkEnd w:id="1"/>
      <w:r>
        <w:rPr>
          <w:rFonts w:ascii="方正小标宋简体" w:eastAsia="方正小标宋简体" w:hint="eastAsia"/>
          <w:color w:val="000000"/>
          <w:sz w:val="44"/>
          <w:szCs w:val="44"/>
        </w:rPr>
        <w:t>要求</w:t>
      </w:r>
    </w:p>
    <w:p w:rsidR="004457D8" w:rsidRDefault="004457D8">
      <w:pPr>
        <w:spacing w:line="560" w:lineRule="exact"/>
        <w:jc w:val="center"/>
        <w:rPr>
          <w:rFonts w:ascii="方正小标宋简体" w:eastAsia="方正小标宋简体"/>
          <w:color w:val="000000"/>
          <w:sz w:val="44"/>
          <w:szCs w:val="44"/>
        </w:rPr>
      </w:pPr>
    </w:p>
    <w:p w:rsidR="004457D8" w:rsidRDefault="00B8355A">
      <w:pPr>
        <w:spacing w:line="560" w:lineRule="exact"/>
        <w:ind w:firstLineChars="200" w:firstLine="640"/>
        <w:rPr>
          <w:rFonts w:ascii="黑体" w:eastAsia="黑体" w:hAnsi="黑体"/>
          <w:sz w:val="32"/>
          <w:szCs w:val="32"/>
        </w:rPr>
      </w:pPr>
      <w:r>
        <w:rPr>
          <w:rFonts w:ascii="黑体" w:eastAsia="黑体" w:hAnsi="黑体" w:hint="eastAsia"/>
          <w:sz w:val="32"/>
          <w:szCs w:val="32"/>
        </w:rPr>
        <w:t>一、【不良反应】项下应加入以下内容</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上市后不良反应监测数据显示本品可见以下不良反应/事件：</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血管损害：潮红、皮肤灼热等；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皮肤及其附件损害：皮疹、瘙痒、皮肤发红、多汗等；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全身性损害：发热、寒战、疼痛、乏力、过敏反应、过敏样反应、过敏性休克等；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消化系统损害：恶心、呕吐、腹痛等；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心血管系统损害：心悸、心慌、心律失常、血压升高等；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呼吸系统损害：胸闷、气促、憋气、呼吸困难等；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神经精神系统损害：头晕、头痛、失眠、烦躁等；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用药部位损害：注射部位静脉炎、注射部位疼痛等；</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其他：双硫仑样反应、药物-酒精相互作用等。</w:t>
      </w:r>
    </w:p>
    <w:p w:rsidR="004457D8" w:rsidRDefault="00B8355A">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禁忌</w:t>
      </w:r>
      <w:r>
        <w:rPr>
          <w:rFonts w:ascii="黑体" w:eastAsia="黑体" w:hAnsi="黑体" w:hint="eastAsia"/>
          <w:sz w:val="32"/>
          <w:szCs w:val="32"/>
        </w:rPr>
        <w:t>】</w:t>
      </w:r>
      <w:r>
        <w:rPr>
          <w:rFonts w:ascii="黑体" w:eastAsia="黑体" w:hAnsi="黑体"/>
          <w:sz w:val="32"/>
          <w:szCs w:val="32"/>
        </w:rPr>
        <w:t>项应加入以下内容</w:t>
      </w:r>
    </w:p>
    <w:p w:rsidR="004457D8" w:rsidRDefault="00B8355A">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本品禁用于对乙醇或丙二醇过敏的患者。</w:t>
      </w:r>
    </w:p>
    <w:p w:rsidR="004457D8" w:rsidRDefault="00B8355A">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注意事项</w:t>
      </w:r>
      <w:r>
        <w:rPr>
          <w:rFonts w:ascii="黑体" w:eastAsia="黑体" w:hAnsi="黑体" w:hint="eastAsia"/>
          <w:sz w:val="32"/>
          <w:szCs w:val="32"/>
        </w:rPr>
        <w:t>】</w:t>
      </w:r>
      <w:r>
        <w:rPr>
          <w:rFonts w:ascii="黑体" w:eastAsia="黑体" w:hAnsi="黑体"/>
          <w:sz w:val="32"/>
          <w:szCs w:val="32"/>
        </w:rPr>
        <w:t>项下应加入以下内容</w:t>
      </w:r>
    </w:p>
    <w:p w:rsidR="004457D8" w:rsidRDefault="00B8355A">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用药前应仔细阅读药品说明书，并仔细询问患者情况、用药史和既往过敏史。</w:t>
      </w:r>
    </w:p>
    <w:p w:rsidR="004457D8" w:rsidRDefault="00B8355A">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本品作为糖皮质激素药物，具有抗炎、抗过敏和抑制免疫等多种药理作用。但据上市后监测数据和报道，本品会诱发潮红、</w:t>
      </w:r>
      <w:r>
        <w:rPr>
          <w:rFonts w:eastAsia="仿宋_GB2312"/>
          <w:sz w:val="32"/>
          <w:szCs w:val="32"/>
        </w:rPr>
        <w:lastRenderedPageBreak/>
        <w:t>皮疹、心悸、胸闷、恶心、呕吐、瘙痒、呼吸困难、头晕、过敏反应、过敏样反应等不良反应。已明确对本品及其它甾体激素过敏者禁用本品（参见</w:t>
      </w:r>
      <w:r>
        <w:rPr>
          <w:rFonts w:eastAsia="仿宋_GB2312" w:hint="eastAsia"/>
          <w:sz w:val="32"/>
          <w:szCs w:val="32"/>
        </w:rPr>
        <w:t>【</w:t>
      </w:r>
      <w:r>
        <w:rPr>
          <w:rFonts w:eastAsia="仿宋_GB2312"/>
          <w:sz w:val="32"/>
          <w:szCs w:val="32"/>
        </w:rPr>
        <w:t>禁忌</w:t>
      </w:r>
      <w:r>
        <w:rPr>
          <w:rFonts w:eastAsia="仿宋_GB2312" w:hint="eastAsia"/>
          <w:sz w:val="32"/>
          <w:szCs w:val="32"/>
        </w:rPr>
        <w:t>】</w:t>
      </w:r>
      <w:r>
        <w:rPr>
          <w:rFonts w:eastAsia="仿宋_GB2312"/>
          <w:sz w:val="32"/>
          <w:szCs w:val="32"/>
        </w:rPr>
        <w:t>）。</w:t>
      </w:r>
    </w:p>
    <w:p w:rsidR="004457D8" w:rsidRDefault="00B8355A">
      <w:pPr>
        <w:spacing w:line="560" w:lineRule="exact"/>
        <w:ind w:firstLineChars="200" w:firstLine="640"/>
        <w:rPr>
          <w:rFonts w:eastAsia="仿宋_GB2312"/>
          <w:sz w:val="32"/>
          <w:szCs w:val="32"/>
        </w:rPr>
      </w:pPr>
      <w:r>
        <w:rPr>
          <w:rFonts w:eastAsia="仿宋_GB2312"/>
          <w:sz w:val="32"/>
          <w:szCs w:val="32"/>
        </w:rPr>
        <w:t>对使用本品治疗过敏性疾病的患者，应加强监测。若症状恶化或出现新的过敏症状，应立即停药，必要时采取恰当的干预措施。</w:t>
      </w:r>
    </w:p>
    <w:p w:rsidR="004457D8" w:rsidRDefault="00B8355A">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本品辅料中包含乙醇，据报道，对乙醇过敏的患者在使用本品治疗过敏性疾病时曾发生严重的变态反应。已明确对乙醇过敏患者禁用本品（参见</w:t>
      </w:r>
      <w:r>
        <w:rPr>
          <w:rFonts w:eastAsia="仿宋_GB2312" w:hint="eastAsia"/>
          <w:sz w:val="32"/>
          <w:szCs w:val="32"/>
        </w:rPr>
        <w:t>【禁忌】</w:t>
      </w:r>
      <w:r>
        <w:rPr>
          <w:rFonts w:eastAsia="仿宋_GB2312"/>
          <w:sz w:val="32"/>
          <w:szCs w:val="32"/>
        </w:rPr>
        <w:t>），有中枢神经系统抑制或肝功能不全者应慎用本品。</w:t>
      </w:r>
    </w:p>
    <w:p w:rsidR="004457D8" w:rsidRDefault="00B8355A">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本品辅料中包含乙醇，据报道，与硝基咪唑类药物如甲硝唑、具有甲硫四氮唑侧链结构的药物如头孢哌酮、具有甲硫三嗪侧链结构的药物如头孢曲松等抑制乙醛脱氢酶活性的药物联用会引起双硫仑样反应，如潮红、皮疹、胸闷、气短、恶心、呕吐、呼吸困难、血压下降等。应避免本品与抑制乙醛脱氢酶活性的药物联用。</w:t>
      </w:r>
    </w:p>
    <w:p w:rsidR="004457D8" w:rsidRDefault="00B8355A">
      <w:pPr>
        <w:spacing w:line="560" w:lineRule="exact"/>
        <w:ind w:firstLineChars="200" w:firstLine="640"/>
        <w:rPr>
          <w:rFonts w:eastAsia="仿宋_GB2312"/>
          <w:sz w:val="32"/>
          <w:szCs w:val="32"/>
        </w:rPr>
      </w:pPr>
      <w:r>
        <w:rPr>
          <w:rFonts w:eastAsia="仿宋_GB2312"/>
          <w:sz w:val="32"/>
          <w:szCs w:val="32"/>
        </w:rPr>
        <w:t>用药后不得驾驶</w:t>
      </w:r>
      <w:r>
        <w:rPr>
          <w:rFonts w:ascii="Times New Roman" w:eastAsia="仿宋_GB2312" w:hAnsi="Times New Roman"/>
          <w:sz w:val="32"/>
          <w:szCs w:val="32"/>
        </w:rPr>
        <w:t>机、车、船</w:t>
      </w:r>
      <w:r>
        <w:rPr>
          <w:rFonts w:ascii="Times New Roman" w:eastAsia="仿宋_GB2312" w:hAnsi="Times New Roman" w:hint="eastAsia"/>
          <w:sz w:val="32"/>
          <w:szCs w:val="32"/>
        </w:rPr>
        <w:t>，</w:t>
      </w:r>
      <w:r>
        <w:rPr>
          <w:rFonts w:ascii="Times New Roman" w:eastAsia="仿宋_GB2312" w:hAnsi="Times New Roman"/>
          <w:sz w:val="32"/>
          <w:szCs w:val="32"/>
        </w:rPr>
        <w:t>从事高空作业</w:t>
      </w:r>
      <w:r>
        <w:rPr>
          <w:rFonts w:ascii="Times New Roman" w:eastAsia="仿宋_GB2312" w:hAnsi="Times New Roman" w:hint="eastAsia"/>
          <w:sz w:val="32"/>
          <w:szCs w:val="32"/>
        </w:rPr>
        <w:t>，</w:t>
      </w:r>
      <w:r>
        <w:rPr>
          <w:rFonts w:ascii="Times New Roman" w:eastAsia="仿宋_GB2312" w:hAnsi="Times New Roman"/>
          <w:sz w:val="32"/>
          <w:szCs w:val="32"/>
        </w:rPr>
        <w:t>机械</w:t>
      </w:r>
      <w:r>
        <w:rPr>
          <w:rFonts w:eastAsia="仿宋_GB2312"/>
          <w:sz w:val="32"/>
          <w:szCs w:val="32"/>
        </w:rPr>
        <w:t>作业及操作精密仪器。</w:t>
      </w:r>
    </w:p>
    <w:p w:rsidR="004457D8" w:rsidRDefault="00B8355A">
      <w:pPr>
        <w:spacing w:line="560" w:lineRule="exact"/>
        <w:ind w:firstLineChars="200" w:firstLine="640"/>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w:t>
      </w:r>
      <w:r>
        <w:rPr>
          <w:rFonts w:ascii="黑体" w:eastAsia="黑体" w:hAnsi="黑体"/>
          <w:sz w:val="32"/>
          <w:szCs w:val="32"/>
        </w:rPr>
        <w:t>药物相互作用</w:t>
      </w:r>
      <w:r>
        <w:rPr>
          <w:rFonts w:ascii="黑体" w:eastAsia="黑体" w:hAnsi="黑体" w:hint="eastAsia"/>
          <w:sz w:val="32"/>
          <w:szCs w:val="32"/>
        </w:rPr>
        <w:t>】</w:t>
      </w:r>
      <w:r>
        <w:rPr>
          <w:rFonts w:ascii="黑体" w:eastAsia="黑体" w:hAnsi="黑体"/>
          <w:sz w:val="32"/>
          <w:szCs w:val="32"/>
        </w:rPr>
        <w:t>项应加入以下内容</w:t>
      </w:r>
    </w:p>
    <w:p w:rsidR="004457D8" w:rsidRDefault="00B8355A">
      <w:pPr>
        <w:spacing w:line="560" w:lineRule="exact"/>
        <w:ind w:firstLineChars="200" w:firstLine="640"/>
        <w:rPr>
          <w:rFonts w:eastAsia="仿宋_GB2312"/>
          <w:sz w:val="32"/>
          <w:szCs w:val="32"/>
        </w:rPr>
      </w:pPr>
      <w:r>
        <w:rPr>
          <w:rFonts w:ascii="仿宋_GB2312" w:eastAsia="仿宋_GB2312" w:hAnsi="仿宋"/>
          <w:sz w:val="32"/>
          <w:szCs w:val="32"/>
        </w:rPr>
        <w:t>本品辅料中包含乙醇，据报道，与硝基咪唑类药物如甲硝唑、具有甲硫四氮唑侧链结构的药物如头孢哌酮、具有甲硫三嗪侧链结构的药物如头孢曲松等抑制乙醛脱氢酶活性的药物联用会引起双硫仑样反应，如潮红、皮疹、胸闷、气短、恶心、呕吐、呼</w:t>
      </w:r>
      <w:r>
        <w:rPr>
          <w:rFonts w:ascii="仿宋_GB2312" w:eastAsia="仿宋_GB2312" w:hAnsi="仿宋"/>
          <w:sz w:val="32"/>
          <w:szCs w:val="32"/>
        </w:rPr>
        <w:lastRenderedPageBreak/>
        <w:t>吸困难、血压下降等。应避免本品与抑制乙醛脱氢酶活性的药物联用。</w:t>
      </w:r>
    </w:p>
    <w:p w:rsidR="004457D8" w:rsidRDefault="00B8355A">
      <w:pPr>
        <w:tabs>
          <w:tab w:val="left" w:pos="675"/>
        </w:tabs>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注：如原批准说明书的安全性内容较本修订要求内容更全面或更严格的，应保留原批准内容。说明书其他内容如与上述修订要求不一致的，应当一并进行修订。</w:t>
      </w:r>
      <w:r>
        <w:rPr>
          <w:rFonts w:ascii="Times New Roman" w:eastAsia="仿宋_GB2312" w:hAnsi="Times New Roman" w:hint="eastAsia"/>
          <w:color w:val="000000"/>
          <w:sz w:val="32"/>
          <w:szCs w:val="32"/>
        </w:rPr>
        <w:t>）</w:t>
      </w:r>
    </w:p>
    <w:p w:rsidR="00B8355A" w:rsidRDefault="00B8355A" w:rsidP="007B1B82">
      <w:pPr>
        <w:spacing w:line="560" w:lineRule="exact"/>
        <w:rPr>
          <w:rFonts w:ascii="仿宋_GB2312" w:eastAsia="仿宋_GB2312" w:hAnsi="华文仿宋" w:hint="eastAsia"/>
          <w:sz w:val="18"/>
          <w:szCs w:val="18"/>
        </w:rPr>
      </w:pPr>
      <w:bookmarkStart w:id="2" w:name="_GoBack"/>
      <w:bookmarkEnd w:id="2"/>
    </w:p>
    <w:sectPr w:rsidR="00B8355A">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4F" w:rsidRDefault="00DF314F">
      <w:r>
        <w:separator/>
      </w:r>
    </w:p>
  </w:endnote>
  <w:endnote w:type="continuationSeparator" w:id="0">
    <w:p w:rsidR="00DF314F" w:rsidRDefault="00DF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7D8" w:rsidRDefault="006D7A3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457D8" w:rsidRDefault="00B8355A">
                          <w:pPr>
                            <w:pStyle w:val="a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wgwA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NBUwgwAIA&#10;ALQFAAAOAAAAAAAAAAAAAAAAAC4CAABkcnMvZTJvRG9jLnhtbFBLAQItABQABgAIAAAAIQAMSvDu&#10;1gAAAAUBAAAPAAAAAAAAAAAAAAAAABoFAABkcnMvZG93bnJldi54bWxQSwUGAAAAAAQABADzAAAA&#10;HQYAAAAA&#10;" filled="f" stroked="f">
              <v:textbox style="mso-fit-shape-to-text:t" inset="0,0,0,0">
                <w:txbxContent>
                  <w:p w:rsidR="00000000" w:rsidRDefault="00B8355A">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7D8" w:rsidRDefault="006D7A3C">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9340" cy="230505"/>
              <wp:effectExtent l="1905" t="3810" r="0" b="381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457D8" w:rsidRDefault="00B8355A">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B1B82">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3pt;margin-top:0;width:84.2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8YwgIAALo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" filled="f" stroked="f">
              <v:textbox style="mso-fit-shape-to-text:t" inset="0,0,0,0">
                <w:txbxContent>
                  <w:p w:rsidR="004457D8" w:rsidRDefault="00B8355A">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B1B82">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4F" w:rsidRDefault="00DF314F">
      <w:r>
        <w:separator/>
      </w:r>
    </w:p>
  </w:footnote>
  <w:footnote w:type="continuationSeparator" w:id="0">
    <w:p w:rsidR="00DF314F" w:rsidRDefault="00DF3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84"/>
    <w:rsid w:val="F5DB32E5"/>
    <w:rsid w:val="004457D8"/>
    <w:rsid w:val="006D7A3C"/>
    <w:rsid w:val="007B1B82"/>
    <w:rsid w:val="008E08CF"/>
    <w:rsid w:val="00B8355A"/>
    <w:rsid w:val="00DF314F"/>
    <w:rsid w:val="00F13D84"/>
    <w:rsid w:val="3EAB0813"/>
    <w:rsid w:val="B3E79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7D0D2D-2540-4EB4-9838-F9F9C11C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2022-12-29T09:00:00Z</dcterms:created>
  <dcterms:modified xsi:type="dcterms:W3CDTF">2022-12-29T09:01:00Z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