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84" w:rsidRDefault="00A269A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14184" w:rsidRDefault="00D14184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D14184" w:rsidRDefault="00A269A2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磷酸/盐酸川芎嗪注射制剂说明书修订</w:t>
      </w:r>
      <w:bookmarkStart w:id="0" w:name="6730918-6945218-4"/>
      <w:bookmarkStart w:id="1" w:name="6730918-6945218-3"/>
      <w:bookmarkEnd w:id="0"/>
      <w:bookmarkEnd w:id="1"/>
      <w:r>
        <w:rPr>
          <w:rFonts w:ascii="方正小标宋简体" w:eastAsia="方正小标宋简体" w:hint="eastAsia"/>
          <w:color w:val="000000"/>
          <w:sz w:val="44"/>
          <w:szCs w:val="44"/>
        </w:rPr>
        <w:t>要求</w:t>
      </w:r>
    </w:p>
    <w:p w:rsidR="00D14184" w:rsidRDefault="00D14184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D14184" w:rsidRDefault="00A269A2">
      <w:pPr>
        <w:widowControl/>
        <w:spacing w:line="560" w:lineRule="exact"/>
        <w:ind w:firstLineChars="200" w:firstLine="64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t>注：</w:t>
      </w:r>
      <w:r>
        <w:rPr>
          <w:rFonts w:ascii="Times New Roman" w:eastAsia="仿宋_GB2312" w:hAnsi="Times New Roman" w:hint="eastAsia"/>
          <w:sz w:val="32"/>
          <w:szCs w:val="32"/>
        </w:rPr>
        <w:t>磷酸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盐酸川芎嗪注射制剂</w:t>
      </w:r>
      <w:r>
        <w:rPr>
          <w:rFonts w:ascii="Times New Roman" w:eastAsia="仿宋_GB2312" w:hAnsi="Times New Roman"/>
          <w:sz w:val="32"/>
          <w:szCs w:val="32"/>
        </w:rPr>
        <w:t>包括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磷酸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盐酸川芎嗪注射液、磷酸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盐酸川芎嗪葡萄糖注射液、磷酸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盐酸川芎嗪氯化钠注射液、注射用磷酸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盐酸川芎嗪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14184" w:rsidRDefault="00A269A2">
      <w:pPr>
        <w:spacing w:line="560" w:lineRule="exact"/>
        <w:ind w:firstLineChars="200" w:firstLine="64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一、增加警示语</w:t>
      </w:r>
    </w:p>
    <w:p w:rsidR="00D14184" w:rsidRDefault="00A269A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本品可致严重过敏反应（包括过敏性休克），应在有抢救过敏性休克条件的医疗机构中使用。本品给药期间应对患者密切观察，一旦出现过敏反应或其他严重不良反应须立即停药并及时救治。</w:t>
      </w:r>
    </w:p>
    <w:p w:rsidR="00D14184" w:rsidRDefault="00A269A2">
      <w:pPr>
        <w:spacing w:line="56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二、【不良反应】项应包含以下内容</w:t>
      </w:r>
    </w:p>
    <w:p w:rsidR="00D14184" w:rsidRDefault="00A269A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上市后监测中发现川芎嗪注射制剂有以下不良反应</w:t>
      </w:r>
      <w:r>
        <w:rPr>
          <w:rFonts w:ascii="仿宋_GB2312" w:eastAsia="仿宋_GB2312" w:hAnsi="宋体"/>
          <w:sz w:val="32"/>
          <w:szCs w:val="32"/>
        </w:rPr>
        <w:t>/事件报告（发生率未知）：</w:t>
      </w:r>
    </w:p>
    <w:p w:rsidR="00D14184" w:rsidRDefault="00A269A2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</w:t>
      </w:r>
      <w:r>
        <w:rPr>
          <w:rFonts w:ascii="仿宋_GB2312" w:eastAsia="仿宋_GB2312" w:hAnsi="宋体"/>
          <w:b/>
          <w:sz w:val="32"/>
          <w:szCs w:val="32"/>
        </w:rPr>
        <w:t>.胃肠系统：</w:t>
      </w:r>
      <w:r>
        <w:rPr>
          <w:rFonts w:ascii="仿宋_GB2312" w:eastAsia="仿宋_GB2312" w:hAnsi="宋体"/>
          <w:sz w:val="32"/>
          <w:szCs w:val="32"/>
        </w:rPr>
        <w:t>口干、恶心、呕吐、腹痛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腹胀、腹泻</w:t>
      </w:r>
      <w:r>
        <w:rPr>
          <w:rFonts w:ascii="仿宋_GB2312" w:eastAsia="仿宋_GB2312" w:hAnsi="宋体" w:hint="eastAsia"/>
          <w:sz w:val="32"/>
          <w:szCs w:val="32"/>
        </w:rPr>
        <w:t>、胃部不适、反酸、胃灼热、口周麻木、牙龈出血、消化道出血等。</w:t>
      </w:r>
    </w:p>
    <w:p w:rsidR="00D14184" w:rsidRDefault="00A269A2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仿宋_GB2312" w:eastAsia="仿宋_GB2312" w:hAnsi="宋体"/>
          <w:b/>
          <w:sz w:val="32"/>
          <w:szCs w:val="32"/>
        </w:rPr>
        <w:t>皮肤及皮下组织：</w:t>
      </w:r>
      <w:r>
        <w:rPr>
          <w:rFonts w:ascii="仿宋_GB2312" w:eastAsia="仿宋_GB2312" w:hAnsi="宋体"/>
          <w:sz w:val="32"/>
          <w:szCs w:val="32"/>
        </w:rPr>
        <w:t>荨麻疹、斑丘疹、红斑疹等各种皮疹、瘙痒、多汗、肿胀、过敏性皮炎</w:t>
      </w:r>
      <w:r>
        <w:rPr>
          <w:rFonts w:ascii="仿宋_GB2312" w:eastAsia="仿宋_GB2312" w:hAnsi="宋体" w:hint="eastAsia"/>
          <w:sz w:val="32"/>
          <w:szCs w:val="32"/>
        </w:rPr>
        <w:t>、皮下出血等。</w:t>
      </w:r>
    </w:p>
    <w:p w:rsidR="00D14184" w:rsidRDefault="00A269A2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仿宋_GB2312" w:eastAsia="仿宋_GB2312" w:hAnsi="宋体"/>
          <w:b/>
          <w:sz w:val="32"/>
          <w:szCs w:val="32"/>
        </w:rPr>
        <w:t>全身性及给药部位反应：</w:t>
      </w:r>
      <w:r>
        <w:rPr>
          <w:rFonts w:ascii="仿宋_GB2312" w:eastAsia="仿宋_GB2312" w:hAnsi="宋体"/>
          <w:sz w:val="32"/>
          <w:szCs w:val="32"/>
        </w:rPr>
        <w:t>胸闷、发热、寒战、畏寒、乏力、苍白、肢体疼痛、水肿、眼睑水肿、注射部位反应（疼痛、红肿、皮疹、瘙痒、硬结）等。</w:t>
      </w:r>
    </w:p>
    <w:p w:rsidR="00D14184" w:rsidRDefault="00A269A2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4.</w:t>
      </w:r>
      <w:r>
        <w:rPr>
          <w:rFonts w:ascii="仿宋_GB2312" w:eastAsia="仿宋_GB2312" w:hAnsi="宋体"/>
          <w:b/>
          <w:sz w:val="32"/>
          <w:szCs w:val="32"/>
        </w:rPr>
        <w:t>神经系统及精神反应：</w:t>
      </w:r>
      <w:r>
        <w:rPr>
          <w:rFonts w:ascii="仿宋_GB2312" w:eastAsia="仿宋_GB2312" w:hAnsi="宋体"/>
          <w:sz w:val="32"/>
          <w:szCs w:val="32"/>
        </w:rPr>
        <w:t>头晕、</w:t>
      </w:r>
      <w:r>
        <w:rPr>
          <w:rFonts w:ascii="仿宋_GB2312" w:eastAsia="仿宋_GB2312" w:hAnsi="宋体" w:hint="eastAsia"/>
          <w:sz w:val="32"/>
          <w:szCs w:val="32"/>
        </w:rPr>
        <w:t>眩晕、</w:t>
      </w:r>
      <w:r>
        <w:rPr>
          <w:rFonts w:ascii="仿宋_GB2312" w:eastAsia="仿宋_GB2312" w:hAnsi="宋体"/>
          <w:sz w:val="32"/>
          <w:szCs w:val="32"/>
        </w:rPr>
        <w:t>头痛、头部不适、麻</w:t>
      </w:r>
      <w:r>
        <w:rPr>
          <w:rFonts w:ascii="仿宋_GB2312" w:eastAsia="仿宋_GB2312" w:hAnsi="宋体"/>
          <w:sz w:val="32"/>
          <w:szCs w:val="32"/>
        </w:rPr>
        <w:lastRenderedPageBreak/>
        <w:t>木、抽搐、震颤、意识模糊、嗜睡、烦躁、失眠、精神障碍等。</w:t>
      </w:r>
    </w:p>
    <w:p w:rsidR="00D14184" w:rsidRDefault="00A269A2">
      <w:pPr>
        <w:spacing w:line="59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5.</w:t>
      </w:r>
      <w:r>
        <w:rPr>
          <w:rFonts w:ascii="仿宋_GB2312" w:eastAsia="仿宋_GB2312" w:hAnsi="宋体" w:hint="eastAsia"/>
          <w:b/>
          <w:sz w:val="32"/>
          <w:szCs w:val="32"/>
        </w:rPr>
        <w:t>心脏器官反应：</w:t>
      </w:r>
      <w:r>
        <w:rPr>
          <w:rFonts w:ascii="仿宋_GB2312" w:eastAsia="仿宋_GB2312" w:hAnsi="宋体" w:hint="eastAsia"/>
          <w:sz w:val="32"/>
          <w:szCs w:val="32"/>
        </w:rPr>
        <w:t>心悸、心动过速、心律失常、血压升高、血压降低、紫绀等。</w:t>
      </w:r>
    </w:p>
    <w:p w:rsidR="00D14184" w:rsidRDefault="00A269A2">
      <w:pPr>
        <w:spacing w:line="59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6.</w:t>
      </w:r>
      <w:r>
        <w:rPr>
          <w:rFonts w:ascii="仿宋_GB2312" w:eastAsia="仿宋_GB2312" w:hAnsi="宋体"/>
          <w:b/>
          <w:sz w:val="32"/>
          <w:szCs w:val="32"/>
        </w:rPr>
        <w:t>免疫系统：</w:t>
      </w:r>
      <w:r>
        <w:rPr>
          <w:rFonts w:ascii="仿宋_GB2312" w:eastAsia="仿宋_GB2312" w:hAnsi="宋体" w:hint="eastAsia"/>
          <w:sz w:val="32"/>
          <w:szCs w:val="32"/>
        </w:rPr>
        <w:t>超敏反应、过敏样反应、过敏性休克等。</w:t>
      </w:r>
    </w:p>
    <w:p w:rsidR="00D14184" w:rsidRDefault="00A269A2">
      <w:pPr>
        <w:spacing w:line="59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7.</w:t>
      </w:r>
      <w:r>
        <w:rPr>
          <w:rFonts w:ascii="仿宋_GB2312" w:eastAsia="仿宋_GB2312" w:hAnsi="宋体" w:hint="eastAsia"/>
          <w:b/>
          <w:sz w:val="32"/>
          <w:szCs w:val="32"/>
        </w:rPr>
        <w:t>呼吸系统：</w:t>
      </w:r>
      <w:r>
        <w:rPr>
          <w:rFonts w:ascii="仿宋_GB2312" w:eastAsia="仿宋_GB2312" w:hAnsi="宋体" w:hint="eastAsia"/>
          <w:sz w:val="32"/>
          <w:szCs w:val="32"/>
        </w:rPr>
        <w:t>气促、呼吸困难、咳嗽、哮喘、喉水肿等。</w:t>
      </w:r>
    </w:p>
    <w:p w:rsidR="00D14184" w:rsidRDefault="00A269A2">
      <w:pPr>
        <w:spacing w:line="59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8.</w:t>
      </w:r>
      <w:r>
        <w:rPr>
          <w:rFonts w:ascii="仿宋_GB2312" w:eastAsia="仿宋_GB2312" w:hAnsi="宋体" w:hint="eastAsia"/>
          <w:b/>
          <w:sz w:val="32"/>
          <w:szCs w:val="32"/>
        </w:rPr>
        <w:t>血管与淋巴管类：</w:t>
      </w:r>
      <w:r>
        <w:rPr>
          <w:rFonts w:ascii="仿宋_GB2312" w:eastAsia="仿宋_GB2312" w:hAnsi="宋体" w:hint="eastAsia"/>
          <w:sz w:val="32"/>
          <w:szCs w:val="32"/>
        </w:rPr>
        <w:t>潮红、静脉炎等。</w:t>
      </w:r>
    </w:p>
    <w:p w:rsidR="00D14184" w:rsidRDefault="00A269A2">
      <w:pPr>
        <w:spacing w:line="59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9.</w:t>
      </w:r>
      <w:r>
        <w:rPr>
          <w:rFonts w:ascii="仿宋_GB2312" w:eastAsia="仿宋_GB2312" w:hAnsi="宋体"/>
          <w:b/>
          <w:sz w:val="32"/>
          <w:szCs w:val="32"/>
        </w:rPr>
        <w:t>其他：</w:t>
      </w:r>
      <w:r>
        <w:rPr>
          <w:rFonts w:ascii="仿宋_GB2312" w:eastAsia="仿宋_GB2312" w:hAnsi="宋体" w:hint="eastAsia"/>
          <w:sz w:val="32"/>
          <w:szCs w:val="32"/>
        </w:rPr>
        <w:t>视物模糊、肝功能异常、肌痛、口渴、耳鸣、血尿、血小板减少、尿失禁、排尿困难等。</w:t>
      </w:r>
    </w:p>
    <w:p w:rsidR="00D14184" w:rsidRDefault="00A269A2">
      <w:pPr>
        <w:spacing w:line="590" w:lineRule="exact"/>
        <w:ind w:firstLineChars="200" w:firstLine="64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三、【禁忌】项应包含以下内容</w:t>
      </w:r>
    </w:p>
    <w:p w:rsidR="00D14184" w:rsidRDefault="00A269A2">
      <w:pPr>
        <w:pStyle w:val="a3"/>
        <w:spacing w:line="590" w:lineRule="exact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b w:val="0"/>
          <w:sz w:val="32"/>
          <w:szCs w:val="32"/>
        </w:rPr>
        <w:t>1.</w:t>
      </w:r>
      <w:r>
        <w:rPr>
          <w:rFonts w:ascii="Times New Roman" w:hint="eastAsia"/>
          <w:b w:val="0"/>
          <w:sz w:val="32"/>
          <w:szCs w:val="32"/>
        </w:rPr>
        <w:t>对本品及所含成份过敏者禁用</w:t>
      </w:r>
      <w:r>
        <w:rPr>
          <w:rFonts w:ascii="Times New Roman" w:hint="eastAsia"/>
          <w:sz w:val="32"/>
          <w:szCs w:val="32"/>
        </w:rPr>
        <w:t>。</w:t>
      </w:r>
    </w:p>
    <w:p w:rsidR="00D14184" w:rsidRDefault="00A269A2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脑出血或有出血倾向的患者禁用。</w:t>
      </w:r>
    </w:p>
    <w:p w:rsidR="00D14184" w:rsidRDefault="00A269A2">
      <w:pPr>
        <w:spacing w:line="59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孕妇禁用。</w:t>
      </w:r>
    </w:p>
    <w:p w:rsidR="00D14184" w:rsidRDefault="00A269A2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四、【注意事项】项应包含以下内容</w:t>
      </w:r>
    </w:p>
    <w:p w:rsidR="00D14184" w:rsidRDefault="00A269A2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如果是含钠的川芎嗪注射剂，高钠患者使用应注意。避免长期大量使用，确需长期使用时要对患者进行血钠监测。</w:t>
      </w:r>
    </w:p>
    <w:p w:rsidR="00D14184" w:rsidRDefault="00A269A2">
      <w:pPr>
        <w:spacing w:line="59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本品应单独使用，不建议与其他药品混合配伍使用。如确需联合使用其他药品时，应谨慎考虑与本品的间隔时间以及药物配伍问题。输注本品前后，应用适量稀释液对输液管道进行冲洗，避免输液的前后两种药物在管道内混合，引起不良反应。</w:t>
      </w:r>
    </w:p>
    <w:p w:rsidR="00D14184" w:rsidRDefault="00A269A2">
      <w:pPr>
        <w:spacing w:line="590" w:lineRule="exact"/>
        <w:ind w:firstLineChars="200" w:firstLine="640"/>
        <w:rPr>
          <w:rFonts w:ascii="Times New Roman" w:eastAsia="仿宋_GB2312" w:hAnsi="Times New Roman"/>
          <w:strike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不宜与碱性药物配伍。</w:t>
      </w:r>
    </w:p>
    <w:p w:rsidR="00D14184" w:rsidRDefault="00A269A2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对冠心病患者在静脉滴注时应注意观察心脏和血压变化。</w:t>
      </w:r>
    </w:p>
    <w:p w:rsidR="00D14184" w:rsidRDefault="00A269A2">
      <w:pPr>
        <w:spacing w:line="59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仿宋_GB2312" w:eastAsia="仿宋_GB2312" w:hAnsi="宋体" w:hint="eastAsia"/>
          <w:sz w:val="32"/>
          <w:szCs w:val="32"/>
        </w:rPr>
        <w:t>血压偏低者慎用。</w:t>
      </w:r>
    </w:p>
    <w:p w:rsidR="00D14184" w:rsidRDefault="00A269A2">
      <w:pPr>
        <w:spacing w:line="590" w:lineRule="exact"/>
        <w:ind w:firstLineChars="200" w:firstLine="64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五、【儿童用药】项应包含以下内容</w:t>
      </w:r>
    </w:p>
    <w:p w:rsidR="00D14184" w:rsidRDefault="00A269A2">
      <w:pPr>
        <w:spacing w:line="59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未进行该项实验且无可靠参考文献，不建议儿童使用</w:t>
      </w:r>
      <w:r>
        <w:rPr>
          <w:rFonts w:ascii="仿宋_GB2312" w:eastAsia="仿宋_GB2312" w:hAnsi="宋体"/>
          <w:sz w:val="32"/>
          <w:szCs w:val="32"/>
        </w:rPr>
        <w:t>。</w:t>
      </w:r>
    </w:p>
    <w:p w:rsidR="00D14184" w:rsidRDefault="00A269A2">
      <w:pPr>
        <w:spacing w:line="56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六、【孕妇和哺乳期妇女】项应包含以下内容</w:t>
      </w:r>
    </w:p>
    <w:p w:rsidR="00D14184" w:rsidRDefault="00A269A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孕妇</w:t>
      </w:r>
      <w:r>
        <w:rPr>
          <w:rFonts w:ascii="仿宋_GB2312" w:eastAsia="仿宋_GB2312" w:hAnsi="宋体" w:hint="eastAsia"/>
          <w:sz w:val="32"/>
          <w:szCs w:val="32"/>
        </w:rPr>
        <w:t>禁用。</w:t>
      </w:r>
      <w:r>
        <w:rPr>
          <w:rFonts w:ascii="仿宋_GB2312" w:eastAsia="仿宋_GB2312" w:hAnsi="宋体"/>
          <w:sz w:val="32"/>
          <w:szCs w:val="32"/>
        </w:rPr>
        <w:t>哺乳期妇女</w:t>
      </w:r>
      <w:r>
        <w:rPr>
          <w:rFonts w:ascii="仿宋_GB2312" w:eastAsia="仿宋_GB2312" w:hAnsi="宋体" w:hint="eastAsia"/>
          <w:sz w:val="32"/>
          <w:szCs w:val="32"/>
        </w:rPr>
        <w:t>应用本品需权衡利弊，谨慎使用</w:t>
      </w:r>
      <w:r>
        <w:rPr>
          <w:rFonts w:ascii="仿宋_GB2312" w:eastAsia="仿宋_GB2312" w:hAnsi="宋体"/>
          <w:sz w:val="32"/>
          <w:szCs w:val="32"/>
        </w:rPr>
        <w:t>。</w:t>
      </w:r>
    </w:p>
    <w:p w:rsidR="00D14184" w:rsidRDefault="00A269A2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A269A2" w:rsidRDefault="00A269A2" w:rsidP="00A83DAC">
      <w:pPr>
        <w:spacing w:line="560" w:lineRule="exact"/>
        <w:rPr>
          <w:rFonts w:hint="eastAsia"/>
          <w:color w:val="FF0000"/>
          <w:sz w:val="30"/>
          <w:szCs w:val="30"/>
        </w:rPr>
      </w:pPr>
      <w:bookmarkStart w:id="2" w:name="_GoBack"/>
      <w:bookmarkEnd w:id="2"/>
    </w:p>
    <w:sectPr w:rsidR="00A269A2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0DA" w:rsidRDefault="00D810DA">
      <w:r>
        <w:separator/>
      </w:r>
    </w:p>
  </w:endnote>
  <w:endnote w:type="continuationSeparator" w:id="0">
    <w:p w:rsidR="00D810DA" w:rsidRDefault="00D8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184" w:rsidRDefault="004A64A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444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184" w:rsidRDefault="00A269A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3DAC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" filled="f" stroked="f">
              <v:textbox style="mso-fit-shape-to-text:t" inset="0,0,0,0">
                <w:txbxContent>
                  <w:p w:rsidR="00D14184" w:rsidRDefault="00A269A2">
                    <w:pPr>
                      <w:pStyle w:val="a4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83DAC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0DA" w:rsidRDefault="00D810DA">
      <w:r>
        <w:separator/>
      </w:r>
    </w:p>
  </w:footnote>
  <w:footnote w:type="continuationSeparator" w:id="0">
    <w:p w:rsidR="00D810DA" w:rsidRDefault="00D8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7E"/>
    <w:rsid w:val="FE7C6679"/>
    <w:rsid w:val="00125ADB"/>
    <w:rsid w:val="004A64A5"/>
    <w:rsid w:val="0050487E"/>
    <w:rsid w:val="00A269A2"/>
    <w:rsid w:val="00A83DAC"/>
    <w:rsid w:val="00D14184"/>
    <w:rsid w:val="00D810DA"/>
    <w:rsid w:val="3EAB0813"/>
    <w:rsid w:val="6251C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E16F11-5002-415E-B6F6-247D3F69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40" w:lineRule="exact"/>
    </w:pPr>
    <w:rPr>
      <w:rFonts w:ascii="仿宋_GB2312" w:eastAsia="仿宋_GB2312" w:hAnsi="Times New Roman"/>
      <w:b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4</cp:revision>
  <dcterms:created xsi:type="dcterms:W3CDTF">2022-12-29T08:59:00Z</dcterms:created>
  <dcterms:modified xsi:type="dcterms:W3CDTF">2022-12-29T09:02:00Z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