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63C1" w14:textId="77777777" w:rsidR="00956A6B" w:rsidRDefault="00000000">
      <w:pPr>
        <w:pStyle w:val="1"/>
        <w:widowControl/>
        <w:snapToGrid w:val="0"/>
        <w:spacing w:beforeAutospacing="0" w:afterAutospacing="0" w:line="560" w:lineRule="atLeast"/>
        <w:jc w:val="both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/>
          <w:b w:val="0"/>
          <w:bCs w:val="0"/>
          <w:sz w:val="32"/>
          <w:szCs w:val="32"/>
        </w:rPr>
        <w:t>附件1</w:t>
      </w:r>
    </w:p>
    <w:p w14:paraId="1439C0ED" w14:textId="77777777" w:rsidR="00956A6B" w:rsidRDefault="00000000">
      <w:pPr>
        <w:pStyle w:val="1"/>
        <w:widowControl/>
        <w:snapToGrid w:val="0"/>
        <w:spacing w:beforeAutospacing="0" w:afterAutospacing="0" w:line="560" w:lineRule="exact"/>
        <w:jc w:val="center"/>
        <w:rPr>
          <w:rFonts w:ascii="方正小标宋_GBK" w:eastAsia="方正小标宋简体" w:hAnsi="方正小标宋_GBK" w:cs="方正小标宋_GBK"/>
          <w:b w:val="0"/>
          <w:bCs w:val="0"/>
          <w:sz w:val="44"/>
          <w:szCs w:val="44"/>
        </w:rPr>
      </w:pPr>
      <w:r>
        <w:rPr>
          <w:rFonts w:ascii="方正小标宋_GBK" w:eastAsia="方正小标宋简体" w:hAnsi="方正小标宋_GBK" w:cs="方正小标宋_GBK"/>
          <w:b w:val="0"/>
          <w:bCs w:val="0"/>
          <w:sz w:val="44"/>
          <w:szCs w:val="44"/>
        </w:rPr>
        <w:t>采用脑机接口技术的医疗器械产品</w:t>
      </w:r>
    </w:p>
    <w:p w14:paraId="06AB0776" w14:textId="77777777" w:rsidR="00956A6B" w:rsidRDefault="00000000">
      <w:pPr>
        <w:pStyle w:val="1"/>
        <w:widowControl/>
        <w:snapToGrid w:val="0"/>
        <w:spacing w:beforeAutospacing="0" w:afterAutospacing="0" w:line="560" w:lineRule="exact"/>
        <w:jc w:val="center"/>
        <w:rPr>
          <w:rFonts w:ascii="方正小标宋_GBK" w:eastAsia="方正小标宋简体" w:hAnsi="方正小标宋_GBK" w:cs="方正小标宋_GBK"/>
          <w:b w:val="0"/>
          <w:bCs w:val="0"/>
          <w:sz w:val="44"/>
          <w:szCs w:val="44"/>
        </w:rPr>
      </w:pPr>
      <w:r>
        <w:rPr>
          <w:rFonts w:ascii="方正小标宋_GBK" w:eastAsia="方正小标宋简体" w:hAnsi="方正小标宋_GBK" w:cs="方正小标宋_GBK"/>
          <w:b w:val="0"/>
          <w:bCs w:val="0"/>
          <w:sz w:val="44"/>
          <w:szCs w:val="44"/>
        </w:rPr>
        <w:t>分类界定指导原则</w:t>
      </w:r>
    </w:p>
    <w:p w14:paraId="6A49F8A8" w14:textId="77777777" w:rsidR="00956A6B" w:rsidRDefault="00000000">
      <w:pPr>
        <w:pStyle w:val="1"/>
        <w:widowControl/>
        <w:snapToGrid w:val="0"/>
        <w:spacing w:beforeAutospacing="0" w:afterAutospacing="0" w:line="560" w:lineRule="exact"/>
        <w:jc w:val="center"/>
        <w:rPr>
          <w:rFonts w:ascii="楷体_GB2312" w:eastAsia="楷体_GB2312" w:hAnsi="楷体_GB2312" w:cs="楷体_GB2312"/>
          <w:b w:val="0"/>
          <w:bCs w:val="0"/>
          <w:sz w:val="32"/>
          <w:szCs w:val="32"/>
        </w:rPr>
      </w:pPr>
      <w:r>
        <w:rPr>
          <w:rFonts w:ascii="楷体_GB2312" w:eastAsia="楷体_GB2312" w:hAnsi="楷体_GB2312" w:cs="楷体_GB2312"/>
          <w:b w:val="0"/>
          <w:bCs w:val="0"/>
          <w:sz w:val="32"/>
          <w:szCs w:val="32"/>
        </w:rPr>
        <w:t>（征求意见稿）</w:t>
      </w:r>
    </w:p>
    <w:p w14:paraId="32D5271D" w14:textId="77777777" w:rsidR="00956A6B" w:rsidRDefault="00000000">
      <w:pPr>
        <w:pStyle w:val="2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 w:cs="黑体" w:hint="default"/>
          <w:b w:val="0"/>
          <w:bCs w:val="0"/>
          <w:sz w:val="32"/>
          <w:szCs w:val="32"/>
        </w:rPr>
      </w:pPr>
      <w:r>
        <w:rPr>
          <w:rFonts w:ascii="Times New Roman" w:eastAsia="黑体" w:hAnsi="Times New Roman" w:cs="黑体"/>
          <w:b w:val="0"/>
          <w:bCs w:val="0"/>
          <w:sz w:val="32"/>
          <w:szCs w:val="32"/>
        </w:rPr>
        <w:t>一、目的</w:t>
      </w:r>
      <w:r>
        <w:rPr>
          <w:rFonts w:ascii="Times New Roman" w:eastAsia="黑体" w:hAnsi="Times New Roman" w:cs="黑体"/>
          <w:b w:val="0"/>
          <w:bCs w:val="0"/>
          <w:sz w:val="32"/>
          <w:szCs w:val="32"/>
        </w:rPr>
        <w:t xml:space="preserve"> </w:t>
      </w:r>
    </w:p>
    <w:p w14:paraId="364A5475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为指导采用脑机接口技术的医疗器械（以下简称脑机接口医疗器械）产品管理属性和管理类别判定，根据《医疗器械监督管理条例》《医疗器械分类规则》《医疗器械分类目录》等，制定本指导原则。</w:t>
      </w:r>
    </w:p>
    <w:p w14:paraId="5C96ECEF" w14:textId="77777777" w:rsidR="00956A6B" w:rsidRDefault="00000000">
      <w:pPr>
        <w:pStyle w:val="2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仿宋_GB2312" w:hint="default"/>
          <w:b w:val="0"/>
          <w:bCs w:val="0"/>
          <w:sz w:val="32"/>
          <w:szCs w:val="32"/>
        </w:rPr>
      </w:pPr>
      <w:bookmarkStart w:id="0" w:name="OLE_LINK5"/>
      <w:bookmarkStart w:id="1" w:name="OLE_LINK4"/>
      <w:r>
        <w:rPr>
          <w:rFonts w:ascii="Times New Roman" w:eastAsia="黑体" w:hAnsi="Times New Roman" w:cs="黑体"/>
          <w:b w:val="0"/>
          <w:bCs w:val="0"/>
          <w:sz w:val="32"/>
          <w:szCs w:val="32"/>
        </w:rPr>
        <w:t>二、</w:t>
      </w:r>
      <w:bookmarkEnd w:id="0"/>
      <w:bookmarkEnd w:id="1"/>
      <w:r>
        <w:rPr>
          <w:rFonts w:ascii="Times New Roman" w:eastAsia="黑体" w:hAnsi="Times New Roman" w:cs="黑体"/>
          <w:b w:val="0"/>
          <w:bCs w:val="0"/>
          <w:sz w:val="32"/>
          <w:szCs w:val="32"/>
        </w:rPr>
        <w:t>范围</w:t>
      </w:r>
      <w:r>
        <w:rPr>
          <w:rFonts w:ascii="Times New Roman" w:eastAsia="仿宋_GB2312" w:hAnsi="Times New Roman" w:cs="仿宋_GB2312"/>
          <w:b w:val="0"/>
          <w:bCs w:val="0"/>
          <w:sz w:val="32"/>
          <w:szCs w:val="32"/>
        </w:rPr>
        <w:t xml:space="preserve"> </w:t>
      </w:r>
    </w:p>
    <w:p w14:paraId="250C8443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本指导原则适用于脑机接口医疗器械，其定义为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通过侵入或非侵入的方式，测量中枢神经系统产生的神经信号并实时解码，</w:t>
      </w:r>
      <w:bookmarkStart w:id="2" w:name="OLE_LINK2"/>
      <w:bookmarkStart w:id="3" w:name="OLE_LINK1"/>
      <w:r>
        <w:rPr>
          <w:rFonts w:ascii="Times New Roman" w:eastAsia="仿宋_GB2312" w:hAnsi="Times New Roman" w:cs="Times New Roman"/>
          <w:kern w:val="0"/>
          <w:sz w:val="32"/>
          <w:szCs w:val="32"/>
        </w:rPr>
        <w:t>实现患者与外部辅助或诊疗设备的实时双向交互或闭环反馈</w:t>
      </w:r>
      <w:bookmarkEnd w:id="2"/>
      <w:bookmarkEnd w:id="3"/>
      <w:r>
        <w:rPr>
          <w:rFonts w:ascii="Times New Roman" w:eastAsia="仿宋_GB2312" w:hAnsi="Times New Roman" w:cs="Times New Roman"/>
          <w:kern w:val="0"/>
          <w:sz w:val="32"/>
          <w:szCs w:val="32"/>
        </w:rPr>
        <w:t>，达到改善、修复或替代中枢神经系统功能等临床效果的有源医疗器械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（按照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YY/T 1987</w:t>
      </w:r>
      <w:r>
        <w:rPr>
          <w:rFonts w:ascii="Times New Roman" w:eastAsia="仿宋_GB2312" w:hAnsi="Times New Roman" w:cs="Times New Roman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《采用脑机接口技术的医疗器械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术语》）。脑机接口医疗器械应同时具备以下核心技术特征：</w:t>
      </w:r>
    </w:p>
    <w:p w14:paraId="6C3AC658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/>
          <w:kern w:val="0"/>
          <w:sz w:val="32"/>
          <w:szCs w:val="32"/>
        </w:rPr>
        <w:t>（一）测量中枢神经系统（脑和脊髓）信号。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若仅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测量外周神经、肌电、心电等非中枢神经信号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，则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不属于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脑机接口医疗器械。</w:t>
      </w:r>
    </w:p>
    <w:p w14:paraId="25D80D2A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/>
          <w:kern w:val="0"/>
          <w:sz w:val="32"/>
          <w:szCs w:val="32"/>
        </w:rPr>
        <w:t>（二）实时解码，并将解码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输出的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指令直接用于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实现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产品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主要预期用途，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如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控制外部设备、调节能量输出、触发刺激信号等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。</w:t>
      </w:r>
    </w:p>
    <w:p w14:paraId="6C7DCD03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/>
          <w:kern w:val="0"/>
          <w:sz w:val="32"/>
          <w:szCs w:val="32"/>
        </w:rPr>
        <w:lastRenderedPageBreak/>
        <w:t>（三）实现患者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中枢神经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与外部设备之间的实时双向交互或闭环反馈。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若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仅具备单一信号采集或单向刺激功能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如脑电图机、不具备闭环反馈的深部脑刺激系统等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，则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不属于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脑机接口医疗器械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。</w:t>
      </w:r>
    </w:p>
    <w:p w14:paraId="312ED43E" w14:textId="77777777" w:rsidR="00956A6B" w:rsidRDefault="00000000">
      <w:pPr>
        <w:pStyle w:val="2"/>
        <w:widowControl/>
        <w:adjustRightInd w:val="0"/>
        <w:snapToGrid w:val="0"/>
        <w:spacing w:beforeAutospacing="0" w:afterAutospacing="0" w:line="560" w:lineRule="exact"/>
        <w:ind w:firstLineChars="200" w:firstLine="643"/>
        <w:jc w:val="both"/>
        <w:rPr>
          <w:rFonts w:ascii="Times New Roman" w:eastAsia="黑体" w:hAnsi="Times New Roman" w:cs="黑体" w:hint="default"/>
          <w:b w:val="0"/>
          <w:bCs w:val="0"/>
          <w:sz w:val="32"/>
          <w:szCs w:val="32"/>
        </w:rPr>
      </w:pPr>
      <w:r>
        <w:rPr>
          <w:rFonts w:ascii="Times New Roman" w:eastAsia="黑体" w:hAnsi="Times New Roman" w:cs="黑体"/>
          <w:sz w:val="32"/>
          <w:szCs w:val="32"/>
        </w:rPr>
        <w:t>三、</w:t>
      </w:r>
      <w:r>
        <w:rPr>
          <w:rFonts w:ascii="Times New Roman" w:eastAsia="黑体" w:hAnsi="Times New Roman" w:cs="黑体"/>
          <w:b w:val="0"/>
          <w:bCs w:val="0"/>
          <w:sz w:val="32"/>
          <w:szCs w:val="32"/>
        </w:rPr>
        <w:t>管理属性界定原则</w:t>
      </w:r>
    </w:p>
    <w:p w14:paraId="6C911494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该类产品的管理属性界定应基于其预期用途。</w:t>
      </w:r>
    </w:p>
    <w:p w14:paraId="14CF6B9A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（一）若产品预期用于改善、修复或替代患者的中枢神经系统功能等医疗目的，则作为医疗器械管理。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  </w:t>
      </w:r>
    </w:p>
    <w:p w14:paraId="745FB3E8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（二）若产品不用于医疗目的，则不作为医疗器械管理。例如：</w:t>
      </w:r>
    </w:p>
    <w:p w14:paraId="1685B7A1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功能增强类：用于健康个体的注意力调节、睡眠调节、记忆调节、外骨骼操控、技能提升训练、认知能力训练等非医疗目的；</w:t>
      </w:r>
    </w:p>
    <w:p w14:paraId="22E26824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娱乐交互类：用于健康个体的游戏控制、虚拟现实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增强现实交互、沉浸式体验等娱乐场景；</w:t>
      </w:r>
    </w:p>
    <w:p w14:paraId="62C1FFF2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日常辅助类：用于健康个体的智能家居或通讯工具操控等非医疗目的。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4784E312" w14:textId="4C7965D5" w:rsidR="00956A6B" w:rsidRDefault="00E54412">
      <w:pPr>
        <w:pStyle w:val="2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 w:cs="黑体" w:hint="default"/>
          <w:b w:val="0"/>
          <w:bCs w:val="0"/>
          <w:sz w:val="32"/>
          <w:szCs w:val="32"/>
        </w:rPr>
      </w:pPr>
      <w:r>
        <w:rPr>
          <w:rFonts w:ascii="Times New Roman" w:eastAsia="黑体" w:hAnsi="Times New Roman" w:cs="黑体"/>
          <w:b w:val="0"/>
          <w:bCs w:val="0"/>
          <w:sz w:val="32"/>
          <w:szCs w:val="32"/>
        </w:rPr>
        <w:t>四</w:t>
      </w:r>
      <w:r w:rsidR="00000000">
        <w:rPr>
          <w:rFonts w:ascii="Times New Roman" w:eastAsia="黑体" w:hAnsi="Times New Roman" w:cs="黑体"/>
          <w:b w:val="0"/>
          <w:bCs w:val="0"/>
          <w:sz w:val="32"/>
          <w:szCs w:val="32"/>
        </w:rPr>
        <w:t>、管理类别判定原则</w:t>
      </w:r>
      <w:r w:rsidR="00000000">
        <w:rPr>
          <w:rFonts w:ascii="Times New Roman" w:eastAsia="黑体" w:hAnsi="Times New Roman" w:cs="黑体"/>
          <w:b w:val="0"/>
          <w:bCs w:val="0"/>
          <w:sz w:val="32"/>
          <w:szCs w:val="32"/>
        </w:rPr>
        <w:t xml:space="preserve"> </w:t>
      </w:r>
    </w:p>
    <w:p w14:paraId="5008028E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（一）侵入式脑机接口医疗器械</w:t>
      </w:r>
    </w:p>
    <w:p w14:paraId="5E56D355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按照第三类医疗器械管理，分类编码为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12-00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</w:p>
    <w:p w14:paraId="43F6443D" w14:textId="77777777" w:rsidR="00956A6B" w:rsidRDefault="00000000">
      <w:pPr>
        <w:pStyle w:val="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仿宋_GB2312" w:hint="default"/>
          <w:b w:val="0"/>
          <w:bCs w:val="0"/>
          <w:sz w:val="32"/>
          <w:szCs w:val="32"/>
        </w:rPr>
      </w:pPr>
      <w:r>
        <w:rPr>
          <w:rFonts w:ascii="Times New Roman" w:eastAsia="仿宋_GB2312" w:hAnsi="Times New Roman" w:cs="仿宋_GB2312"/>
          <w:b w:val="0"/>
          <w:bCs w:val="0"/>
          <w:sz w:val="32"/>
          <w:szCs w:val="32"/>
        </w:rPr>
        <w:t>（二）非侵入式脑机接口医疗器械</w:t>
      </w:r>
      <w:r>
        <w:rPr>
          <w:rFonts w:ascii="Times New Roman" w:eastAsia="仿宋_GB2312" w:hAnsi="Times New Roman" w:cs="仿宋_GB2312"/>
          <w:b w:val="0"/>
          <w:bCs w:val="0"/>
          <w:sz w:val="32"/>
          <w:szCs w:val="32"/>
        </w:rPr>
        <w:t xml:space="preserve"> </w:t>
      </w:r>
    </w:p>
    <w:p w14:paraId="59A4A243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若产品用于疾病治疗，按照第三类医疗器械管理，分类编码为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09-00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。若产品用于功能代偿，按照第三类医疗器械管理，分类编码为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19-00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1BF1D6D5" w14:textId="77777777" w:rsidR="00956A6B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若产品用于</w:t>
      </w:r>
      <w:bookmarkStart w:id="4" w:name="OLE_LINK30"/>
      <w:bookmarkStart w:id="5" w:name="OLE_LINK29"/>
      <w:r>
        <w:rPr>
          <w:rFonts w:ascii="Times New Roman" w:eastAsia="仿宋_GB2312" w:hAnsi="Times New Roman" w:cs="Times New Roman"/>
          <w:kern w:val="0"/>
          <w:sz w:val="32"/>
          <w:szCs w:val="32"/>
        </w:rPr>
        <w:t>脑卒中患者肢体运动功能的康复训练</w:t>
      </w:r>
      <w:bookmarkEnd w:id="4"/>
      <w:bookmarkEnd w:id="5"/>
      <w:r>
        <w:rPr>
          <w:rFonts w:ascii="Times New Roman" w:eastAsia="仿宋_GB2312" w:hAnsi="Times New Roman" w:cs="Times New Roman"/>
          <w:kern w:val="0"/>
          <w:sz w:val="32"/>
          <w:szCs w:val="32"/>
        </w:rPr>
        <w:t>，且未采用人工智能技术，按照第二类医疗器械管理，分类编码为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19-00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。其他康复产品按照第三类医疗器械管理，分类编码为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19-00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27CB71D6" w14:textId="77777777" w:rsidR="00956A6B" w:rsidRDefault="00000000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4E9A"/>
          <w:kern w:val="0"/>
          <w:sz w:val="28"/>
          <w:szCs w:val="28"/>
        </w:rPr>
        <w:t xml:space="preserve"> </w:t>
      </w:r>
    </w:p>
    <w:sectPr w:rsidR="00956A6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82AC" w14:textId="77777777" w:rsidR="00603071" w:rsidRDefault="00603071">
      <w:r>
        <w:separator/>
      </w:r>
    </w:p>
  </w:endnote>
  <w:endnote w:type="continuationSeparator" w:id="0">
    <w:p w14:paraId="13DF1AA0" w14:textId="77777777" w:rsidR="00603071" w:rsidRDefault="0060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EBA8" w14:textId="77777777" w:rsidR="00956A6B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F7AF65" wp14:editId="2410923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6A16D" w14:textId="77777777" w:rsidR="00956A6B" w:rsidRDefault="00000000">
                          <w:pPr>
                            <w:pStyle w:val="a5"/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7AF6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2AC6A16D" w14:textId="77777777" w:rsidR="00956A6B" w:rsidRDefault="00000000">
                    <w:pPr>
                      <w:pStyle w:val="a5"/>
                      <w:rPr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EF77" w14:textId="77777777" w:rsidR="00603071" w:rsidRDefault="00603071">
      <w:r>
        <w:separator/>
      </w:r>
    </w:p>
  </w:footnote>
  <w:footnote w:type="continuationSeparator" w:id="0">
    <w:p w14:paraId="5FF01D73" w14:textId="77777777" w:rsidR="00603071" w:rsidRDefault="0060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B5A"/>
    <w:rsid w:val="9EEFCE0F"/>
    <w:rsid w:val="D3FE9706"/>
    <w:rsid w:val="F6CFF631"/>
    <w:rsid w:val="00004748"/>
    <w:rsid w:val="0007589E"/>
    <w:rsid w:val="000A2E4B"/>
    <w:rsid w:val="000F5233"/>
    <w:rsid w:val="00100130"/>
    <w:rsid w:val="00102C10"/>
    <w:rsid w:val="00150657"/>
    <w:rsid w:val="001507C8"/>
    <w:rsid w:val="001642CF"/>
    <w:rsid w:val="00194C60"/>
    <w:rsid w:val="001B1AE6"/>
    <w:rsid w:val="001B3659"/>
    <w:rsid w:val="001F442B"/>
    <w:rsid w:val="00204468"/>
    <w:rsid w:val="002A08E3"/>
    <w:rsid w:val="002F6E42"/>
    <w:rsid w:val="003119D2"/>
    <w:rsid w:val="00312EE3"/>
    <w:rsid w:val="00317A9C"/>
    <w:rsid w:val="00337518"/>
    <w:rsid w:val="003378A9"/>
    <w:rsid w:val="00376949"/>
    <w:rsid w:val="003971A0"/>
    <w:rsid w:val="003A2B92"/>
    <w:rsid w:val="003B0AB7"/>
    <w:rsid w:val="003C3F7F"/>
    <w:rsid w:val="003C6371"/>
    <w:rsid w:val="003D5134"/>
    <w:rsid w:val="003F2F5B"/>
    <w:rsid w:val="0042463E"/>
    <w:rsid w:val="00486D86"/>
    <w:rsid w:val="004A6F8E"/>
    <w:rsid w:val="00503CBF"/>
    <w:rsid w:val="00505312"/>
    <w:rsid w:val="0051559A"/>
    <w:rsid w:val="005355CE"/>
    <w:rsid w:val="00536938"/>
    <w:rsid w:val="00551B91"/>
    <w:rsid w:val="00573EA8"/>
    <w:rsid w:val="005B0E8C"/>
    <w:rsid w:val="005B1DB3"/>
    <w:rsid w:val="005B464A"/>
    <w:rsid w:val="005B60D6"/>
    <w:rsid w:val="005E29FF"/>
    <w:rsid w:val="005E4CB8"/>
    <w:rsid w:val="005F124D"/>
    <w:rsid w:val="00603071"/>
    <w:rsid w:val="00630313"/>
    <w:rsid w:val="006D3F45"/>
    <w:rsid w:val="006E3F6B"/>
    <w:rsid w:val="00700617"/>
    <w:rsid w:val="00710B74"/>
    <w:rsid w:val="007627FB"/>
    <w:rsid w:val="007B28D1"/>
    <w:rsid w:val="007C7B9F"/>
    <w:rsid w:val="00807BFB"/>
    <w:rsid w:val="008400E0"/>
    <w:rsid w:val="00856E27"/>
    <w:rsid w:val="00886197"/>
    <w:rsid w:val="00890A2D"/>
    <w:rsid w:val="00893573"/>
    <w:rsid w:val="008F2C01"/>
    <w:rsid w:val="00911C9D"/>
    <w:rsid w:val="00956A6B"/>
    <w:rsid w:val="009960EB"/>
    <w:rsid w:val="009B7806"/>
    <w:rsid w:val="009E0B70"/>
    <w:rsid w:val="009E78EE"/>
    <w:rsid w:val="00A00B6C"/>
    <w:rsid w:val="00A15CCD"/>
    <w:rsid w:val="00A434E0"/>
    <w:rsid w:val="00A43BF4"/>
    <w:rsid w:val="00A80F1E"/>
    <w:rsid w:val="00A95E67"/>
    <w:rsid w:val="00AC55AA"/>
    <w:rsid w:val="00AD103D"/>
    <w:rsid w:val="00AF75E8"/>
    <w:rsid w:val="00B03720"/>
    <w:rsid w:val="00B21ADB"/>
    <w:rsid w:val="00B30CE4"/>
    <w:rsid w:val="00B5510A"/>
    <w:rsid w:val="00B94B00"/>
    <w:rsid w:val="00BA22B4"/>
    <w:rsid w:val="00C249E7"/>
    <w:rsid w:val="00C317D6"/>
    <w:rsid w:val="00C401DE"/>
    <w:rsid w:val="00C96488"/>
    <w:rsid w:val="00CA4491"/>
    <w:rsid w:val="00CB21D1"/>
    <w:rsid w:val="00CC3C01"/>
    <w:rsid w:val="00D077F3"/>
    <w:rsid w:val="00D335A3"/>
    <w:rsid w:val="00D67B45"/>
    <w:rsid w:val="00DD4B5A"/>
    <w:rsid w:val="00DE5CB8"/>
    <w:rsid w:val="00E00CFF"/>
    <w:rsid w:val="00E03A6A"/>
    <w:rsid w:val="00E30208"/>
    <w:rsid w:val="00E4666D"/>
    <w:rsid w:val="00E54412"/>
    <w:rsid w:val="00EC148F"/>
    <w:rsid w:val="00F31DCC"/>
    <w:rsid w:val="00F71D18"/>
    <w:rsid w:val="00FE37FB"/>
    <w:rsid w:val="00FF6759"/>
    <w:rsid w:val="0387507C"/>
    <w:rsid w:val="06872CD5"/>
    <w:rsid w:val="07EC2E3C"/>
    <w:rsid w:val="087150EF"/>
    <w:rsid w:val="0AC82447"/>
    <w:rsid w:val="10ED3781"/>
    <w:rsid w:val="192F6F08"/>
    <w:rsid w:val="1C59151D"/>
    <w:rsid w:val="214B42D7"/>
    <w:rsid w:val="2D9A2ACB"/>
    <w:rsid w:val="2E772BB0"/>
    <w:rsid w:val="392C27E9"/>
    <w:rsid w:val="46F72688"/>
    <w:rsid w:val="4F93316A"/>
    <w:rsid w:val="54C31DFB"/>
    <w:rsid w:val="59352755"/>
    <w:rsid w:val="5EDF194A"/>
    <w:rsid w:val="63D95197"/>
    <w:rsid w:val="69303936"/>
    <w:rsid w:val="6D3B4D9F"/>
    <w:rsid w:val="6E5D4C17"/>
    <w:rsid w:val="7B762ACA"/>
    <w:rsid w:val="7DCC327D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A1E8B"/>
  <w15:docId w15:val="{5AA05610-4E89-46D1-89CF-9650EDD2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table" w:customStyle="1" w:styleId="11">
    <w:name w:val="网格表 1 浅色1"/>
    <w:basedOn w:val="a1"/>
    <w:uiPriority w:val="46"/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uiPriority w:val="99"/>
    <w:qFormat/>
    <w:rPr>
      <w:rFonts w:ascii="Calibri" w:hAnsi="Calibri" w:cs="宋体"/>
      <w:kern w:val="2"/>
      <w:sz w:val="21"/>
      <w:szCs w:val="24"/>
    </w:rPr>
  </w:style>
  <w:style w:type="paragraph" w:customStyle="1" w:styleId="20">
    <w:name w:val="修订2"/>
    <w:hidden/>
    <w:uiPriority w:val="99"/>
    <w:unhideWhenUsed/>
    <w:rPr>
      <w:rFonts w:ascii="Calibri" w:hAnsi="Calibri" w:cs="宋体"/>
      <w:kern w:val="2"/>
      <w:sz w:val="21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C4A5F7-FCB9-424E-8FEE-18B08F77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姜杰斯</cp:lastModifiedBy>
  <cp:revision>18</cp:revision>
  <cp:lastPrinted>2026-03-13T21:48:00Z</cp:lastPrinted>
  <dcterms:created xsi:type="dcterms:W3CDTF">2026-03-04T23:50:00Z</dcterms:created>
  <dcterms:modified xsi:type="dcterms:W3CDTF">2026-03-19T07:56:00Z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eyJoZGlkIjoiMDQ1YzIyNzA1NmI2MjRlMjc0MDNkYzEwMWI1MGExYWYiLCJ1c2VySWQiOiIzMzM2NzUwOTEifQ==</vt:lpwstr>
  </property>
  <property fmtid="{D5CDD505-2E9C-101B-9397-08002B2CF9AE}" pid="4" name="ICV">
    <vt:lpwstr>DA7481C62F2C44D5936416F30E31BE11_12</vt:lpwstr>
  </property>
</Properties>
</file>