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05" w:rsidRDefault="00DF76DC">
      <w:pPr>
        <w:spacing w:line="500" w:lineRule="exact"/>
        <w:rPr>
          <w:rFonts w:ascii="黑体" w:eastAsia="黑体" w:hAnsi="黑体" w:cs="黑体"/>
          <w:sz w:val="32"/>
          <w:szCs w:val="32"/>
        </w:rPr>
      </w:pPr>
      <w:r>
        <w:rPr>
          <w:rFonts w:ascii="黑体" w:eastAsia="黑体" w:hAnsi="黑体" w:cs="黑体" w:hint="eastAsia"/>
          <w:sz w:val="32"/>
          <w:szCs w:val="32"/>
        </w:rPr>
        <w:t>附件1</w:t>
      </w:r>
    </w:p>
    <w:p w:rsidR="00AA6805" w:rsidRDefault="00AA6805">
      <w:pPr>
        <w:spacing w:line="240" w:lineRule="exact"/>
        <w:rPr>
          <w:rFonts w:ascii="黑体" w:eastAsia="黑体" w:hAnsi="黑体" w:cs="黑体"/>
          <w:sz w:val="32"/>
          <w:szCs w:val="32"/>
        </w:rPr>
      </w:pPr>
    </w:p>
    <w:p w:rsidR="00AA6805" w:rsidRDefault="00DF76DC">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2022年医疗器械强制性行业标准制修订计划项目</w:t>
      </w:r>
    </w:p>
    <w:p w:rsidR="00AA6805" w:rsidRDefault="00AA6805">
      <w:pPr>
        <w:spacing w:line="500" w:lineRule="exact"/>
        <w:jc w:val="center"/>
        <w:rPr>
          <w:rFonts w:ascii="方正小标宋简体" w:eastAsia="方正小标宋简体" w:hAnsi="方正小标宋简体" w:cs="方正小标宋简体"/>
          <w:sz w:val="44"/>
          <w:szCs w:val="44"/>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59"/>
        <w:gridCol w:w="7222"/>
        <w:gridCol w:w="930"/>
        <w:gridCol w:w="960"/>
        <w:gridCol w:w="5041"/>
      </w:tblGrid>
      <w:tr w:rsidR="00AA6805">
        <w:trPr>
          <w:trHeight w:val="360"/>
          <w:tblHeader/>
          <w:jc w:val="center"/>
        </w:trPr>
        <w:tc>
          <w:tcPr>
            <w:tcW w:w="559" w:type="dxa"/>
            <w:vMerge w:val="restart"/>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序号</w:t>
            </w:r>
          </w:p>
        </w:tc>
        <w:tc>
          <w:tcPr>
            <w:tcW w:w="7222" w:type="dxa"/>
            <w:vMerge w:val="restart"/>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项目名称</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标准性质建议</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制修订</w:t>
            </w:r>
          </w:p>
        </w:tc>
        <w:tc>
          <w:tcPr>
            <w:tcW w:w="5041" w:type="dxa"/>
            <w:vMerge w:val="restart"/>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黑体" w:hAnsi="Times New Roman"/>
                <w:color w:val="000000"/>
                <w:sz w:val="24"/>
              </w:rPr>
            </w:pPr>
            <w:r>
              <w:rPr>
                <w:rFonts w:ascii="Times New Roman" w:eastAsia="黑体" w:hAnsi="Times New Roman"/>
                <w:color w:val="000000"/>
                <w:kern w:val="0"/>
                <w:sz w:val="24"/>
                <w:lang w:bidi="ar"/>
              </w:rPr>
              <w:t>归口单位</w:t>
            </w:r>
          </w:p>
        </w:tc>
      </w:tr>
      <w:tr w:rsidR="00AA6805">
        <w:trPr>
          <w:trHeight w:val="360"/>
          <w:tblHeader/>
          <w:jc w:val="center"/>
        </w:trPr>
        <w:tc>
          <w:tcPr>
            <w:tcW w:w="559" w:type="dxa"/>
            <w:vMerge/>
            <w:tcBorders>
              <w:top w:val="single" w:sz="4" w:space="0" w:color="000000"/>
              <w:left w:val="single" w:sz="4" w:space="0" w:color="000000"/>
              <w:bottom w:val="single" w:sz="4" w:space="0" w:color="000000"/>
              <w:right w:val="single" w:sz="4" w:space="0" w:color="000000"/>
            </w:tcBorders>
            <w:vAlign w:val="center"/>
          </w:tcPr>
          <w:p w:rsidR="00AA6805" w:rsidRDefault="00AA6805">
            <w:pPr>
              <w:spacing w:line="360" w:lineRule="exact"/>
              <w:jc w:val="center"/>
              <w:rPr>
                <w:rFonts w:ascii="Times New Roman" w:eastAsia="黑体" w:hAnsi="Times New Roman"/>
                <w:color w:val="000000"/>
                <w:sz w:val="24"/>
              </w:rPr>
            </w:pPr>
          </w:p>
        </w:tc>
        <w:tc>
          <w:tcPr>
            <w:tcW w:w="7222" w:type="dxa"/>
            <w:vMerge/>
            <w:tcBorders>
              <w:top w:val="single" w:sz="4" w:space="0" w:color="000000"/>
              <w:left w:val="single" w:sz="4" w:space="0" w:color="000000"/>
              <w:bottom w:val="single" w:sz="4" w:space="0" w:color="000000"/>
              <w:right w:val="single" w:sz="4" w:space="0" w:color="000000"/>
            </w:tcBorders>
            <w:vAlign w:val="center"/>
          </w:tcPr>
          <w:p w:rsidR="00AA6805" w:rsidRDefault="00AA6805">
            <w:pPr>
              <w:spacing w:line="360" w:lineRule="exact"/>
              <w:jc w:val="center"/>
              <w:rPr>
                <w:rFonts w:ascii="Times New Roman" w:eastAsia="黑体" w:hAnsi="Times New Roman"/>
                <w:color w:val="000000"/>
                <w:sz w:val="24"/>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rsidR="00AA6805" w:rsidRDefault="00AA6805">
            <w:pPr>
              <w:spacing w:line="360" w:lineRule="exact"/>
              <w:jc w:val="center"/>
              <w:rPr>
                <w:rFonts w:ascii="Times New Roman" w:eastAsia="黑体" w:hAnsi="Times New Roman"/>
                <w:color w:val="000000"/>
                <w:sz w:val="24"/>
              </w:rPr>
            </w:pPr>
          </w:p>
        </w:tc>
        <w:tc>
          <w:tcPr>
            <w:tcW w:w="960" w:type="dxa"/>
            <w:vMerge/>
            <w:tcBorders>
              <w:top w:val="single" w:sz="4" w:space="0" w:color="000000"/>
              <w:left w:val="single" w:sz="4" w:space="0" w:color="000000"/>
              <w:bottom w:val="single" w:sz="4" w:space="0" w:color="000000"/>
              <w:right w:val="single" w:sz="4" w:space="0" w:color="000000"/>
            </w:tcBorders>
            <w:vAlign w:val="center"/>
          </w:tcPr>
          <w:p w:rsidR="00AA6805" w:rsidRDefault="00AA6805">
            <w:pPr>
              <w:spacing w:line="360" w:lineRule="exact"/>
              <w:jc w:val="center"/>
              <w:rPr>
                <w:rFonts w:ascii="Times New Roman" w:eastAsia="黑体" w:hAnsi="Times New Roman"/>
                <w:color w:val="000000"/>
                <w:sz w:val="24"/>
              </w:rPr>
            </w:pPr>
          </w:p>
        </w:tc>
        <w:tc>
          <w:tcPr>
            <w:tcW w:w="5041" w:type="dxa"/>
            <w:vMerge/>
            <w:tcBorders>
              <w:top w:val="single" w:sz="4" w:space="0" w:color="000000"/>
              <w:left w:val="single" w:sz="4" w:space="0" w:color="000000"/>
              <w:bottom w:val="single" w:sz="4" w:space="0" w:color="000000"/>
              <w:right w:val="single" w:sz="4" w:space="0" w:color="000000"/>
            </w:tcBorders>
            <w:vAlign w:val="center"/>
          </w:tcPr>
          <w:p w:rsidR="00AA6805" w:rsidRDefault="00AA6805">
            <w:pPr>
              <w:spacing w:line="360" w:lineRule="exact"/>
              <w:jc w:val="center"/>
              <w:rPr>
                <w:rFonts w:ascii="Times New Roman" w:eastAsia="黑体" w:hAnsi="Times New Roman"/>
                <w:color w:val="000000"/>
                <w:sz w:val="24"/>
              </w:rPr>
            </w:pP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外科植入物</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骨关节假体锻、铸件</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2</w:t>
            </w:r>
            <w:r>
              <w:rPr>
                <w:rFonts w:ascii="Times New Roman" w:eastAsia="仿宋_GB2312" w:hAnsi="Times New Roman"/>
                <w:color w:val="000000"/>
                <w:kern w:val="0"/>
                <w:sz w:val="24"/>
                <w:lang w:bidi="ar"/>
              </w:rPr>
              <w:t>部分：</w:t>
            </w:r>
            <w:r>
              <w:rPr>
                <w:rFonts w:ascii="Times New Roman" w:eastAsia="仿宋_GB2312" w:hAnsi="Times New Roman"/>
                <w:color w:val="000000"/>
                <w:kern w:val="0"/>
                <w:sz w:val="24"/>
                <w:lang w:bidi="ar"/>
              </w:rPr>
              <w:t>ZTi6Al4V</w:t>
            </w:r>
            <w:r>
              <w:rPr>
                <w:rFonts w:ascii="Times New Roman" w:eastAsia="仿宋_GB2312" w:hAnsi="Times New Roman"/>
                <w:color w:val="000000"/>
                <w:kern w:val="0"/>
                <w:sz w:val="24"/>
                <w:lang w:bidi="ar"/>
              </w:rPr>
              <w:t>钛合金铸件</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外科植入物</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丙烯酸类树脂骨水泥</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3</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压力输液装置用一次性使用液路及其附件</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4</w:t>
            </w:r>
            <w:r>
              <w:rPr>
                <w:rFonts w:ascii="Times New Roman" w:eastAsia="仿宋_GB2312" w:hAnsi="Times New Roman"/>
                <w:color w:val="000000"/>
                <w:kern w:val="0"/>
                <w:sz w:val="24"/>
                <w:lang w:bidi="ar"/>
              </w:rPr>
              <w:t>部分：防回流阀</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全国医用输液器具标准化技术委员会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4</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眼科光学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眼用粘弹剂</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全国医用光学和仪器标准化分技术委员会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5</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激光治疗设备</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准分子激光角膜屈光治疗机</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全国医用光学和仪器标准化分技术委员会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6</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血液净化体外循环系统</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血液透析器、血液透析滤过器、血液滤过器用体外循环血路</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液路</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全国医用体外循环设备标准化技术委员会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7</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血液净化体外循环系统</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血液透析器、血液透析滤过器、血液滤过器和血液浓缩器</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全国医用体外循环设备标准化技术委员会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8</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外科器械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直线型吻合器及组件</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全国外科器械标准化技术委员会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9</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手术植入物有源植入医疗器械第</w:t>
            </w:r>
            <w:r>
              <w:rPr>
                <w:rFonts w:ascii="Times New Roman" w:eastAsia="仿宋_GB2312" w:hAnsi="Times New Roman"/>
                <w:color w:val="000000"/>
                <w:kern w:val="0"/>
                <w:sz w:val="24"/>
                <w:lang w:bidi="ar"/>
              </w:rPr>
              <w:t>6</w:t>
            </w:r>
            <w:r>
              <w:rPr>
                <w:rFonts w:ascii="Times New Roman" w:eastAsia="仿宋_GB2312" w:hAnsi="Times New Roman"/>
                <w:color w:val="000000"/>
                <w:kern w:val="0"/>
                <w:sz w:val="24"/>
                <w:lang w:bidi="ar"/>
              </w:rPr>
              <w:t>部分：治疗快速性心律失常的有源植入医疗器械（包括植入式除颤器）的专用要求</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全国外科植入物和矫形器械标准化技术委员会有源植入物分技术委员会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10</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等离子喷涂羟基磷灰石涂层</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钛基牙种植体</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11</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牙科</w:t>
            </w:r>
            <w:r>
              <w:rPr>
                <w:rFonts w:ascii="Times New Roman" w:eastAsia="仿宋_GB2312" w:hAnsi="Times New Roman" w:hint="eastAsia"/>
                <w:color w:val="000000"/>
                <w:kern w:val="0"/>
                <w:sz w:val="24"/>
                <w:lang w:bidi="ar"/>
              </w:rPr>
              <w:t>学</w:t>
            </w:r>
            <w:r>
              <w:rPr>
                <w:rFonts w:ascii="Times New Roman" w:eastAsia="仿宋_GB2312" w:hAnsi="Times New Roman" w:hint="eastAsia"/>
                <w:color w:val="000000"/>
                <w:kern w:val="0"/>
                <w:sz w:val="24"/>
                <w:lang w:bidi="ar"/>
              </w:rPr>
              <w:t xml:space="preserve"> </w:t>
            </w:r>
            <w:r>
              <w:rPr>
                <w:rFonts w:ascii="Times New Roman" w:eastAsia="仿宋_GB2312" w:hAnsi="Times New Roman"/>
                <w:color w:val="000000"/>
                <w:kern w:val="0"/>
                <w:sz w:val="24"/>
                <w:lang w:bidi="ar"/>
              </w:rPr>
              <w:t>根管封闭材料</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12</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心肺转流系统</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心脏手术硬壳贮血器、静脉贮血器系统（带或不带过滤器）和静脉贮血软袋</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全国医用体外循环设备标准化技术委员会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lastRenderedPageBreak/>
              <w:t>13</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手术植入物</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有源植入式医疗器械</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7</w:t>
            </w:r>
            <w:r>
              <w:rPr>
                <w:rFonts w:ascii="Times New Roman" w:eastAsia="仿宋_GB2312" w:hAnsi="Times New Roman"/>
                <w:color w:val="000000"/>
                <w:kern w:val="0"/>
                <w:sz w:val="24"/>
                <w:lang w:bidi="ar"/>
              </w:rPr>
              <w:t>部分：人工耳蜗和听觉脑干植入系统的专用要求</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全国外科植入物和矫形器械标准化技术委员会有源植入物分技术委员会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14</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全玻璃注射器</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全国医用注射器（针）标准化技术委员会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15</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热辐射类治疗设备通用技术要求</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全国医用电器标准化技术委员会物理治疗设备分技术委员会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16</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外科植入物</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骨关节假体锻、铸件</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3</w:t>
            </w:r>
            <w:r>
              <w:rPr>
                <w:rFonts w:ascii="Times New Roman" w:eastAsia="仿宋_GB2312" w:hAnsi="Times New Roman"/>
                <w:color w:val="000000"/>
                <w:kern w:val="0"/>
                <w:sz w:val="24"/>
                <w:lang w:bidi="ar"/>
              </w:rPr>
              <w:t>部分：钴铬钼合金铸件</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17</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外科植入物</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骨关节假体锻、铸件</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1</w:t>
            </w:r>
            <w:r>
              <w:rPr>
                <w:rFonts w:ascii="Times New Roman" w:eastAsia="仿宋_GB2312" w:hAnsi="Times New Roman"/>
                <w:color w:val="000000"/>
                <w:kern w:val="0"/>
                <w:sz w:val="24"/>
                <w:lang w:bidi="ar"/>
              </w:rPr>
              <w:t>部分</w:t>
            </w:r>
            <w:r>
              <w:rPr>
                <w:rFonts w:ascii="Times New Roman" w:eastAsia="仿宋_GB2312" w:hAnsi="Times New Roman"/>
                <w:color w:val="000000"/>
                <w:kern w:val="0"/>
                <w:sz w:val="24"/>
                <w:lang w:bidi="ar"/>
              </w:rPr>
              <w:t>: Ti6Al4V</w:t>
            </w:r>
            <w:r>
              <w:rPr>
                <w:rFonts w:ascii="Times New Roman" w:eastAsia="仿宋_GB2312" w:hAnsi="Times New Roman"/>
                <w:color w:val="000000"/>
                <w:kern w:val="0"/>
                <w:sz w:val="24"/>
                <w:lang w:bidi="ar"/>
              </w:rPr>
              <w:t>钛合金锻件</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全国外科植入物和矫形器械标准化技术委员会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18</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一次性使用便携式输注泵</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非电驱动</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全国医用输液器具标准化技术委员会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19</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一次性使用无菌手术膜</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全国医用卫生材料及敷料标准化技术归口单位</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20</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血液透析和相关治疗用液体的制备和质量管理</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第</w:t>
            </w:r>
            <w:r>
              <w:rPr>
                <w:rFonts w:ascii="Times New Roman" w:eastAsia="仿宋_GB2312" w:hAnsi="Times New Roman"/>
                <w:color w:val="000000"/>
                <w:kern w:val="0"/>
                <w:sz w:val="24"/>
                <w:lang w:bidi="ar"/>
              </w:rPr>
              <w:t>2</w:t>
            </w:r>
            <w:r>
              <w:rPr>
                <w:rFonts w:ascii="Times New Roman" w:eastAsia="仿宋_GB2312" w:hAnsi="Times New Roman"/>
                <w:color w:val="000000"/>
                <w:kern w:val="0"/>
                <w:sz w:val="24"/>
                <w:lang w:bidi="ar"/>
              </w:rPr>
              <w:t>部分：血液透析和相关治疗用水</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全国医用体外循环设备标准化技术委员会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21</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压力蒸汽灭菌器</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生物安全性能要求</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全国消毒技术与设备标准化技术委员会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22</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环氧乙烷灭菌器</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全国消毒技术与设备标准化技术委员会</w:t>
            </w:r>
          </w:p>
        </w:tc>
      </w:tr>
      <w:tr w:rsidR="00AA6805">
        <w:trPr>
          <w:trHeight w:val="90"/>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23</w:t>
            </w:r>
          </w:p>
        </w:tc>
        <w:tc>
          <w:tcPr>
            <w:tcW w:w="7222"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牙科学</w:t>
            </w:r>
            <w:r>
              <w:rPr>
                <w:rFonts w:ascii="Times New Roman" w:eastAsia="仿宋_GB2312" w:hAnsi="Times New Roman"/>
                <w:color w:val="000000"/>
                <w:kern w:val="0"/>
                <w:sz w:val="24"/>
                <w:lang w:bidi="ar"/>
              </w:rPr>
              <w:t xml:space="preserve"> </w:t>
            </w:r>
            <w:r>
              <w:rPr>
                <w:rFonts w:ascii="Times New Roman" w:eastAsia="仿宋_GB2312" w:hAnsi="Times New Roman"/>
                <w:color w:val="000000"/>
                <w:kern w:val="0"/>
                <w:sz w:val="24"/>
                <w:lang w:bidi="ar"/>
              </w:rPr>
              <w:t>聚合物基修复材料</w:t>
            </w:r>
          </w:p>
        </w:tc>
        <w:tc>
          <w:tcPr>
            <w:tcW w:w="93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强制</w:t>
            </w:r>
          </w:p>
        </w:tc>
        <w:tc>
          <w:tcPr>
            <w:tcW w:w="960"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修订</w:t>
            </w:r>
          </w:p>
        </w:tc>
        <w:tc>
          <w:tcPr>
            <w:tcW w:w="5041" w:type="dxa"/>
            <w:tcBorders>
              <w:top w:val="single" w:sz="4" w:space="0" w:color="000000"/>
              <w:left w:val="single" w:sz="4" w:space="0" w:color="000000"/>
              <w:bottom w:val="single" w:sz="4" w:space="0" w:color="000000"/>
              <w:right w:val="single" w:sz="4" w:space="0" w:color="000000"/>
            </w:tcBorders>
            <w:vAlign w:val="center"/>
          </w:tcPr>
          <w:p w:rsidR="00AA6805" w:rsidRDefault="00DF76DC">
            <w:pPr>
              <w:widowControl/>
              <w:spacing w:line="360" w:lineRule="exact"/>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全国口腔材料和器械设备标准化技术委员会</w:t>
            </w:r>
          </w:p>
        </w:tc>
      </w:tr>
    </w:tbl>
    <w:p w:rsidR="00AA6805" w:rsidRDefault="00AA6805">
      <w:pPr>
        <w:spacing w:line="500" w:lineRule="exact"/>
        <w:rPr>
          <w:rFonts w:ascii="Times New Roman" w:eastAsia="黑体" w:hAnsi="Times New Roman"/>
          <w:sz w:val="32"/>
          <w:szCs w:val="32"/>
        </w:rPr>
      </w:pPr>
    </w:p>
    <w:p w:rsidR="00AA6805" w:rsidRDefault="00111A73" w:rsidP="00111A73">
      <w:pPr>
        <w:spacing w:line="500" w:lineRule="exact"/>
        <w:rPr>
          <w:rFonts w:ascii="仿宋_GB2312" w:eastAsia="仿宋_GB2312"/>
          <w:sz w:val="28"/>
          <w:szCs w:val="28"/>
        </w:rPr>
      </w:pPr>
      <w:bookmarkStart w:id="0" w:name="_GoBack"/>
      <w:bookmarkEnd w:id="0"/>
      <w:r>
        <w:rPr>
          <w:rFonts w:ascii="仿宋_GB2312" w:eastAsia="仿宋_GB2312"/>
          <w:sz w:val="28"/>
          <w:szCs w:val="28"/>
        </w:rPr>
        <w:t xml:space="preserve"> </w:t>
      </w:r>
    </w:p>
    <w:p w:rsidR="00DF76DC" w:rsidRDefault="00DF76DC"/>
    <w:sectPr w:rsidR="00DF76DC">
      <w:footerReference w:type="default" r:id="rId6"/>
      <w:pgSz w:w="16838" w:h="11906" w:orient="landscape"/>
      <w:pgMar w:top="1531" w:right="1928" w:bottom="1531" w:left="1814" w:header="851" w:footer="1134" w:gutter="0"/>
      <w:pgNumType w:start="1"/>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C4F" w:rsidRDefault="00584C4F">
      <w:r>
        <w:separator/>
      </w:r>
    </w:p>
  </w:endnote>
  <w:endnote w:type="continuationSeparator" w:id="0">
    <w:p w:rsidR="00584C4F" w:rsidRDefault="0058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_GBK">
    <w:charset w:val="86"/>
    <w:family w:val="auto"/>
    <w:pitch w:val="default"/>
    <w:sig w:usb0="00000001"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805" w:rsidRDefault="00382622">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9170" cy="230505"/>
              <wp:effectExtent l="1905" t="4445" r="0" b="317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805" w:rsidRDefault="00DF76DC">
                          <w:pPr>
                            <w:pStyle w:val="a4"/>
                            <w:rPr>
                              <w:sz w:val="28"/>
                              <w:szCs w:val="28"/>
                            </w:rPr>
                          </w:pPr>
                          <w:r>
                            <w:rPr>
                              <w:rFonts w:hint="eastAsia"/>
                              <w:color w:val="FFFFFF"/>
                              <w:sz w:val="28"/>
                              <w:szCs w:val="28"/>
                            </w:rPr>
                            <w:t>—</w:t>
                          </w:r>
                          <w:r>
                            <w:rPr>
                              <w:rFonts w:hint="eastAsia"/>
                              <w:color w:val="000000"/>
                              <w:sz w:val="28"/>
                              <w:szCs w:val="28"/>
                            </w:rPr>
                            <w:t>—</w:t>
                          </w:r>
                          <w:r>
                            <w:rPr>
                              <w:rFonts w:hint="eastAsia"/>
                              <w:color w:val="000000"/>
                              <w:sz w:val="28"/>
                              <w:szCs w:val="28"/>
                            </w:rPr>
                            <w:t xml:space="preserve"> </w:t>
                          </w:r>
                          <w:r>
                            <w:rPr>
                              <w:color w:val="000000"/>
                              <w:sz w:val="28"/>
                              <w:szCs w:val="28"/>
                            </w:rPr>
                            <w:fldChar w:fldCharType="begin"/>
                          </w:r>
                          <w:r>
                            <w:rPr>
                              <w:color w:val="000000"/>
                              <w:sz w:val="28"/>
                              <w:szCs w:val="28"/>
                            </w:rPr>
                            <w:instrText xml:space="preserve"> PAGE  \* MERGEFORMAT </w:instrText>
                          </w:r>
                          <w:r>
                            <w:rPr>
                              <w:color w:val="000000"/>
                              <w:sz w:val="28"/>
                              <w:szCs w:val="28"/>
                            </w:rPr>
                            <w:fldChar w:fldCharType="separate"/>
                          </w:r>
                          <w:r w:rsidR="00111A73">
                            <w:rPr>
                              <w:noProof/>
                              <w:color w:val="000000"/>
                              <w:sz w:val="28"/>
                              <w:szCs w:val="28"/>
                            </w:rPr>
                            <w:t>1</w:t>
                          </w:r>
                          <w:r>
                            <w:rPr>
                              <w:color w:val="000000"/>
                              <w:sz w:val="28"/>
                              <w:szCs w:val="28"/>
                            </w:rPr>
                            <w:fldChar w:fldCharType="end"/>
                          </w:r>
                          <w:r>
                            <w:rPr>
                              <w:rFonts w:hint="eastAsia"/>
                              <w:color w:val="000000"/>
                              <w:sz w:val="28"/>
                              <w:szCs w:val="28"/>
                            </w:rPr>
                            <w:t xml:space="preserve"> </w:t>
                          </w:r>
                          <w:r>
                            <w:rPr>
                              <w:rFonts w:hint="eastAsia"/>
                              <w:color w:val="000000"/>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9pt;margin-top:0;width:77.1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" filled="f" stroked="f">
              <v:textbox style="mso-fit-shape-to-text:t" inset="0,0,0,0">
                <w:txbxContent>
                  <w:p w:rsidR="00AA6805" w:rsidRDefault="00DF76DC">
                    <w:pPr>
                      <w:pStyle w:val="a4"/>
                      <w:rPr>
                        <w:sz w:val="28"/>
                        <w:szCs w:val="28"/>
                      </w:rPr>
                    </w:pPr>
                    <w:r>
                      <w:rPr>
                        <w:rFonts w:hint="eastAsia"/>
                        <w:color w:val="FFFFFF"/>
                        <w:sz w:val="28"/>
                        <w:szCs w:val="28"/>
                      </w:rPr>
                      <w:t>—</w:t>
                    </w:r>
                    <w:r>
                      <w:rPr>
                        <w:rFonts w:hint="eastAsia"/>
                        <w:color w:val="000000"/>
                        <w:sz w:val="28"/>
                        <w:szCs w:val="28"/>
                      </w:rPr>
                      <w:t>—</w:t>
                    </w:r>
                    <w:r>
                      <w:rPr>
                        <w:rFonts w:hint="eastAsia"/>
                        <w:color w:val="000000"/>
                        <w:sz w:val="28"/>
                        <w:szCs w:val="28"/>
                      </w:rPr>
                      <w:t xml:space="preserve"> </w:t>
                    </w:r>
                    <w:r>
                      <w:rPr>
                        <w:color w:val="000000"/>
                        <w:sz w:val="28"/>
                        <w:szCs w:val="28"/>
                      </w:rPr>
                      <w:fldChar w:fldCharType="begin"/>
                    </w:r>
                    <w:r>
                      <w:rPr>
                        <w:color w:val="000000"/>
                        <w:sz w:val="28"/>
                        <w:szCs w:val="28"/>
                      </w:rPr>
                      <w:instrText xml:space="preserve"> PAGE  \* MERGEFORMAT </w:instrText>
                    </w:r>
                    <w:r>
                      <w:rPr>
                        <w:color w:val="000000"/>
                        <w:sz w:val="28"/>
                        <w:szCs w:val="28"/>
                      </w:rPr>
                      <w:fldChar w:fldCharType="separate"/>
                    </w:r>
                    <w:r w:rsidR="00111A73">
                      <w:rPr>
                        <w:noProof/>
                        <w:color w:val="000000"/>
                        <w:sz w:val="28"/>
                        <w:szCs w:val="28"/>
                      </w:rPr>
                      <w:t>1</w:t>
                    </w:r>
                    <w:r>
                      <w:rPr>
                        <w:color w:val="000000"/>
                        <w:sz w:val="28"/>
                        <w:szCs w:val="28"/>
                      </w:rPr>
                      <w:fldChar w:fldCharType="end"/>
                    </w:r>
                    <w:r>
                      <w:rPr>
                        <w:rFonts w:hint="eastAsia"/>
                        <w:color w:val="000000"/>
                        <w:sz w:val="28"/>
                        <w:szCs w:val="28"/>
                      </w:rPr>
                      <w:t xml:space="preserve"> </w:t>
                    </w:r>
                    <w:r>
                      <w:rPr>
                        <w:rFonts w:hint="eastAsia"/>
                        <w:color w:val="000000"/>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C4F" w:rsidRDefault="00584C4F">
      <w:r>
        <w:separator/>
      </w:r>
    </w:p>
  </w:footnote>
  <w:footnote w:type="continuationSeparator" w:id="0">
    <w:p w:rsidR="00584C4F" w:rsidRDefault="00584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5E"/>
    <w:rsid w:val="00111A73"/>
    <w:rsid w:val="00382622"/>
    <w:rsid w:val="0042095E"/>
    <w:rsid w:val="00584C4F"/>
    <w:rsid w:val="00AA6805"/>
    <w:rsid w:val="00DD5E49"/>
    <w:rsid w:val="00DF76DC"/>
    <w:rsid w:val="3EAB0813"/>
    <w:rsid w:val="3FFF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9B2AF2-ECB3-4519-8DCE-78891BC2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方正书宋_GBK" w:eastAsia="方正书宋_GBK" w:hAnsi="方正书宋_GBK" w:cs="方正书宋_GBK"/>
      <w:color w:val="000000"/>
      <w:sz w:val="28"/>
      <w:szCs w:val="28"/>
      <w:u w:val="none"/>
    </w:rPr>
  </w:style>
  <w:style w:type="character" w:customStyle="1" w:styleId="font51">
    <w:name w:val="font51"/>
    <w:basedOn w:val="a0"/>
    <w:qFormat/>
    <w:rPr>
      <w:rFonts w:ascii="宋体" w:eastAsia="宋体" w:hAnsi="宋体" w:cs="宋体" w:hint="eastAsia"/>
      <w:color w:val="000000"/>
      <w:sz w:val="28"/>
      <w:szCs w:val="28"/>
      <w:u w:val="none"/>
    </w:rPr>
  </w:style>
  <w:style w:type="character" w:styleId="a3">
    <w:name w:val="Hyperlink"/>
    <w:basedOn w:val="a0"/>
    <w:qFormat/>
    <w:rPr>
      <w:color w:val="0000FF"/>
      <w:u w:val="single"/>
    </w:rPr>
  </w:style>
  <w:style w:type="character" w:customStyle="1" w:styleId="font41">
    <w:name w:val="font41"/>
    <w:basedOn w:val="a0"/>
    <w:qFormat/>
    <w:rPr>
      <w:rFonts w:ascii="Arial" w:hAnsi="Arial" w:cs="Arial"/>
      <w:color w:val="000000"/>
      <w:sz w:val="28"/>
      <w:szCs w:val="28"/>
      <w:u w:val="none"/>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Balloon Text"/>
    <w:basedOn w:val="a"/>
    <w:link w:val="Char"/>
    <w:rsid w:val="00382622"/>
    <w:rPr>
      <w:sz w:val="18"/>
      <w:szCs w:val="18"/>
    </w:rPr>
  </w:style>
  <w:style w:type="character" w:customStyle="1" w:styleId="Char">
    <w:name w:val="批注框文本 Char"/>
    <w:basedOn w:val="a0"/>
    <w:link w:val="a5"/>
    <w:rsid w:val="0038262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4</cp:revision>
  <dcterms:created xsi:type="dcterms:W3CDTF">2022-04-14T09:36:00Z</dcterms:created>
  <dcterms:modified xsi:type="dcterms:W3CDTF">2022-04-14T09:41:00Z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