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9C997">
      <w:pPr>
        <w:widowControl/>
        <w:adjustRightInd w:val="0"/>
        <w:snapToGrid w:val="0"/>
        <w:spacing w:line="540" w:lineRule="exact"/>
        <w:ind w:firstLine="0" w:firstLineChars="0"/>
        <w:jc w:val="both"/>
        <w:rPr>
          <w:rFonts w:hint="default" w:ascii="黑体" w:hAnsi="黑体" w:eastAsia="黑体" w:cs="黑体"/>
          <w:sz w:val="32"/>
          <w:szCs w:val="32"/>
          <w:lang w:val="en-US" w:eastAsia="zh-CN"/>
        </w:rPr>
      </w:pPr>
      <w:bookmarkStart w:id="0" w:name="_Toc25384"/>
      <w:r>
        <w:rPr>
          <w:rFonts w:hint="eastAsia" w:ascii="黑体" w:hAnsi="黑体" w:eastAsia="黑体" w:cs="黑体"/>
          <w:sz w:val="32"/>
          <w:szCs w:val="32"/>
          <w:lang w:val="en-US" w:eastAsia="zh-CN"/>
        </w:rPr>
        <w:t>附件1</w:t>
      </w:r>
      <w:bookmarkStart w:id="11" w:name="_GoBack"/>
      <w:bookmarkEnd w:id="11"/>
    </w:p>
    <w:p w14:paraId="5C483A65">
      <w:pPr>
        <w:widowControl/>
        <w:adjustRightInd w:val="0"/>
        <w:snapToGrid w:val="0"/>
        <w:spacing w:before="313" w:beforeLines="100" w:after="313" w:afterLines="100" w:line="640" w:lineRule="exact"/>
        <w:ind w:firstLine="0" w:firstLineChars="0"/>
        <w:jc w:val="center"/>
        <w:rPr>
          <w:rFonts w:hint="eastAsia" w:eastAsia="方正小标宋简体" w:cs="Times New Roman"/>
          <w:sz w:val="44"/>
          <w:szCs w:val="44"/>
        </w:rPr>
      </w:pPr>
      <w:r>
        <w:rPr>
          <w:rFonts w:hint="eastAsia" w:eastAsia="方正小标宋简体" w:cs="Times New Roman"/>
          <w:sz w:val="44"/>
          <w:szCs w:val="44"/>
        </w:rPr>
        <w:t>真实世界数据支持药品安全性主动监测的研究设计和分析指导原则（征求意见稿）</w:t>
      </w:r>
    </w:p>
    <w:p w14:paraId="01556B48">
      <w:pPr>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药品安全性主动监测（以下简称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主动监测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）是指采取持续有组织的方式，主动收集一个或多个来源的数据，进而利用数据评价药品安全性的过程。真实世界数据（包括医院电子病历、医保数据、区域健康医疗数据等）是开展主动监测的重要数据来源。</w:t>
      </w:r>
      <w:r>
        <w:rPr>
          <w:rFonts w:hint="default" w:ascii="Times New Roman" w:hAnsi="Times New Roman" w:eastAsia="仿宋" w:cs="Times New Roman"/>
          <w:bCs/>
          <w:color w:val="000000"/>
          <w:kern w:val="0"/>
          <w:sz w:val="32"/>
          <w:szCs w:val="32"/>
        </w:rPr>
        <w:t>从数据到证据需要开展真实世界研究，科学的研究设计及合理的数据分析是高质量真实世界研究的关键，也</w:t>
      </w:r>
      <w:r>
        <w:rPr>
          <w:rFonts w:hint="default" w:ascii="Times New Roman" w:hAnsi="Times New Roman" w:eastAsia="仿宋" w:cs="Times New Roman"/>
          <w:sz w:val="32"/>
          <w:szCs w:val="32"/>
        </w:rPr>
        <w:t>是药品监管科学研究及</w:t>
      </w:r>
      <w:r>
        <w:rPr>
          <w:rFonts w:hint="eastAsia" w:ascii="Times New Roman" w:hAnsi="Times New Roman" w:eastAsia="仿宋" w:cs="Times New Roman"/>
          <w:sz w:val="32"/>
          <w:szCs w:val="32"/>
          <w:lang w:val="en-US" w:eastAsia="zh-CN"/>
        </w:rPr>
        <w:t>主动</w:t>
      </w:r>
      <w:r>
        <w:rPr>
          <w:rFonts w:hint="default" w:ascii="Times New Roman" w:hAnsi="Times New Roman" w:eastAsia="仿宋" w:cs="Times New Roman"/>
          <w:sz w:val="32"/>
          <w:szCs w:val="32"/>
        </w:rPr>
        <w:t>监测评价能力建设的重要内容。</w:t>
      </w:r>
    </w:p>
    <w:p w14:paraId="56244057">
      <w:pPr>
        <w:adjustRightInd w:val="0"/>
        <w:snapToGrid w:val="0"/>
        <w:spacing w:line="540" w:lineRule="exact"/>
        <w:ind w:firstLine="560"/>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sz w:val="32"/>
          <w:szCs w:val="32"/>
          <w:lang w:val="en-US" w:eastAsia="zh-CN"/>
        </w:rPr>
        <w:t>2025年发布的《真实世界数据支持药品安全性主动监测的一般原则》（以下简称《一般原则》），对利用真实世界数据开展主动监测的数据来源及类型、适用范围、一般流程以及实施技术等方面提出了总体要求。</w:t>
      </w:r>
      <w:r>
        <w:rPr>
          <w:rFonts w:hint="default" w:ascii="Times New Roman" w:hAnsi="Times New Roman" w:eastAsia="仿宋" w:cs="Times New Roman"/>
          <w:sz w:val="32"/>
          <w:szCs w:val="32"/>
        </w:rPr>
        <w:t>作为《一般原则》的延伸以及对具体方法技术的补充，</w:t>
      </w:r>
      <w:r>
        <w:rPr>
          <w:rFonts w:hint="default" w:ascii="Times New Roman" w:hAnsi="Times New Roman" w:eastAsia="仿宋" w:cs="Times New Roman"/>
          <w:color w:val="000000"/>
          <w:kern w:val="0"/>
          <w:sz w:val="32"/>
          <w:szCs w:val="32"/>
        </w:rPr>
        <w:t>本指导原则重点阐述基于真实世界数据</w:t>
      </w:r>
      <w:r>
        <w:rPr>
          <w:rFonts w:hint="eastAsia" w:ascii="Times New Roman" w:hAnsi="Times New Roman" w:eastAsia="仿宋" w:cs="Times New Roman"/>
          <w:color w:val="000000"/>
          <w:kern w:val="0"/>
          <w:sz w:val="32"/>
          <w:szCs w:val="32"/>
          <w:lang w:val="en-US" w:eastAsia="zh-CN"/>
        </w:rPr>
        <w:t>开展</w:t>
      </w:r>
      <w:r>
        <w:rPr>
          <w:rFonts w:hint="default" w:ascii="Times New Roman" w:hAnsi="Times New Roman" w:eastAsia="仿宋" w:cs="Times New Roman"/>
          <w:color w:val="000000"/>
          <w:kern w:val="0"/>
          <w:sz w:val="32"/>
          <w:szCs w:val="32"/>
        </w:rPr>
        <w:t>药品上市后主动监测的研究设计</w:t>
      </w:r>
      <w:r>
        <w:rPr>
          <w:rFonts w:hint="eastAsia" w:ascii="Times New Roman" w:hAnsi="Times New Roman" w:eastAsia="仿宋" w:cs="Times New Roman"/>
          <w:color w:val="000000"/>
          <w:kern w:val="0"/>
          <w:sz w:val="32"/>
          <w:szCs w:val="32"/>
          <w:lang w:val="en-US" w:eastAsia="zh-CN"/>
        </w:rPr>
        <w:t>与</w:t>
      </w:r>
      <w:r>
        <w:rPr>
          <w:rFonts w:hint="default" w:ascii="Times New Roman" w:hAnsi="Times New Roman" w:eastAsia="仿宋" w:cs="Times New Roman"/>
          <w:color w:val="000000"/>
          <w:kern w:val="0"/>
          <w:sz w:val="32"/>
          <w:szCs w:val="32"/>
        </w:rPr>
        <w:t>统计分析关键考量</w:t>
      </w:r>
      <w:r>
        <w:rPr>
          <w:rFonts w:hint="eastAsia" w:ascii="Times New Roman" w:hAnsi="Times New Roman" w:eastAsia="仿宋" w:cs="Times New Roman"/>
          <w:color w:val="000000"/>
          <w:kern w:val="0"/>
          <w:sz w:val="32"/>
          <w:szCs w:val="32"/>
          <w:lang w:val="en-US" w:eastAsia="zh-CN"/>
        </w:rPr>
        <w:t>及</w:t>
      </w:r>
      <w:r>
        <w:rPr>
          <w:rFonts w:hint="default" w:ascii="Times New Roman" w:hAnsi="Times New Roman" w:eastAsia="仿宋" w:cs="Times New Roman"/>
          <w:color w:val="000000"/>
          <w:kern w:val="0"/>
          <w:sz w:val="32"/>
          <w:szCs w:val="32"/>
        </w:rPr>
        <w:t>基本要求，旨在为药品上市许可持有人、研究机构等相关方提供参考。</w:t>
      </w:r>
    </w:p>
    <w:p w14:paraId="66B35B83">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本指导原则仅代表药品监管部门当前的观点和认识，随着药品监管科学研究的不断深入，本指导原则中的相关要求及内容也将不断完善。</w:t>
      </w:r>
    </w:p>
    <w:p w14:paraId="332F98F3">
      <w:pPr>
        <w:pStyle w:val="68"/>
        <w:pageBreakBefore w:val="0"/>
        <w:widowControl w:val="0"/>
        <w:kinsoku/>
        <w:wordWrap/>
        <w:topLinePunct w:val="0"/>
        <w:autoSpaceDE/>
        <w:autoSpaceDN/>
        <w:bidi w:val="0"/>
        <w:adjustRightInd w:val="0"/>
        <w:snapToGrid w:val="0"/>
        <w:spacing w:line="540" w:lineRule="exact"/>
        <w:ind w:firstLine="643"/>
        <w:textAlignment w:val="auto"/>
        <w:rPr>
          <w:b w:val="0"/>
          <w:bCs w:val="0"/>
          <w:color w:val="auto"/>
        </w:rPr>
      </w:pPr>
      <w:bookmarkStart w:id="1" w:name="_Toc230856993"/>
      <w:r>
        <w:rPr>
          <w:rFonts w:hint="eastAsia"/>
          <w:b w:val="0"/>
          <w:bCs w:val="0"/>
          <w:color w:val="auto"/>
          <w:lang w:val="en-US" w:eastAsia="zh-CN"/>
        </w:rPr>
        <w:t>一</w:t>
      </w:r>
      <w:r>
        <w:rPr>
          <w:rFonts w:hint="eastAsia"/>
          <w:b w:val="0"/>
          <w:bCs w:val="0"/>
          <w:color w:val="auto"/>
        </w:rPr>
        <w:t>、</w:t>
      </w:r>
      <w:bookmarkEnd w:id="0"/>
      <w:r>
        <w:rPr>
          <w:rFonts w:hint="eastAsia"/>
          <w:b w:val="0"/>
          <w:bCs w:val="0"/>
          <w:color w:val="auto"/>
        </w:rPr>
        <w:t>研究方案框架</w:t>
      </w:r>
      <w:bookmarkEnd w:id="1"/>
    </w:p>
    <w:p w14:paraId="1EEBBA89">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主动监测的研究目的侧重于基于已有信号的安全性评价，最常采用的研究方法为利用不同来源前瞻或回顾性主动监测数据开展观察性药物流行病学研</w:t>
      </w:r>
      <w:r>
        <w:rPr>
          <w:rFonts w:hint="default" w:ascii="Times New Roman" w:hAnsi="Times New Roman" w:eastAsia="仿宋"/>
          <w:color w:val="000000"/>
          <w:kern w:val="0"/>
          <w:sz w:val="32"/>
          <w:szCs w:val="32"/>
          <w:lang w:val="en-US" w:eastAsia="zh-CN"/>
        </w:rPr>
        <w:t>究</w:t>
      </w:r>
      <w:r>
        <w:rPr>
          <w:rFonts w:hint="default" w:ascii="Times New Roman" w:hAnsi="Times New Roman" w:eastAsia="仿宋"/>
          <w:color w:val="000000"/>
          <w:kern w:val="0"/>
          <w:sz w:val="32"/>
          <w:szCs w:val="32"/>
        </w:rPr>
        <w:t>。因此，本指导原则主要针对基于真实世界数据，尤其是基于常规诊疗过程形成的数据，通过观察性研究设计进行药品安全性主动监测所涉及的研究方案框架、研究设计与统计分析要求进行阐述。</w:t>
      </w:r>
    </w:p>
    <w:p w14:paraId="681BD063">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目前，针对药品安全性主动监测研究方案框架尚无统一要求，其初始的研究方案应在数据收集前完成，包括但不限于以下部分：</w:t>
      </w:r>
    </w:p>
    <w:p w14:paraId="4EF8D38F">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（1）标题：阐明研究设计、目标药品、对照以及安全性结局等信息。</w:t>
      </w:r>
    </w:p>
    <w:p w14:paraId="6BB4BA42">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（2）研究摘要：对研究方案以下各部分的概括性总结。</w:t>
      </w:r>
    </w:p>
    <w:p w14:paraId="3B07E5B2">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（3）研究背景：简述本研究的实施背景。</w:t>
      </w:r>
    </w:p>
    <w:p w14:paraId="05266453">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（4）研究问题与目的：简述本研究拟解决的临床科学问题，明确主要和次要目的，并预先设定研究假设。</w:t>
      </w:r>
    </w:p>
    <w:p w14:paraId="69999F17">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5）研究方法：包括研究设计、数据来源（名称、类型、适用性评估）、研究人群（纳入/排除标准、时间范围等）、变量定义与识别（目标药品暴露、对照、安全性结局、协变量以及相关的研究时间窗）、样本量、数据治理或管理、统计分析计划（主分析和次要分析的统计分析模型、缺失值填补、敏感性分析等）等。</w:t>
      </w:r>
    </w:p>
    <w:p w14:paraId="04AE7054">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（6）研究局限性：分析研究设计、数据源以及统计分析阶段可能存在的偏倚、混杂、外推性等。</w:t>
      </w:r>
    </w:p>
    <w:p w14:paraId="7BFFBD54">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（7）数据安全：充分说明采用何种手段保证患者隐私与数据安全。</w:t>
      </w:r>
    </w:p>
    <w:p w14:paraId="460094AD">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（8）研究时间计划：包括研究启动日期、数据收集/治理结束日期、统计分析完成日期、报告提交日期等关键时间节点。</w:t>
      </w:r>
    </w:p>
    <w:p w14:paraId="093370DD">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（9）研究注册：描述本研究在公开临床研究注册平台注册情况如网址、登记号等。</w:t>
      </w:r>
    </w:p>
    <w:p w14:paraId="753586BE">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（10）伦理：描述本研究伦理审批以及患者知情同意情况。仅涉及回顾性使用患者电子病历信息时，可申请豁免知情同意。</w:t>
      </w:r>
    </w:p>
    <w:p w14:paraId="0DF60409">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（11）参考文献。</w:t>
      </w:r>
    </w:p>
    <w:p w14:paraId="12575420">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（12）附件等。</w:t>
      </w:r>
    </w:p>
    <w:p w14:paraId="4D881EE0">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在研究方案的方法部分，应充分阐述拟使用的真实世界数据来源与类型（医院电子病历系统数据、医保数据等），及其在回答当前研究问题的适用性依据，包括数据源人群对目标人群的代表性、是否涵盖研究关键变量及其准确性、诊断或药品等编码系统、可获取时间范围、既往临床研究应用情况、潜在局限性等。若采用多个数据源，还应讨论不同数据源在人群特征、临床实践、编码系统等方面的潜在异质性，以及数据库间链接方法和准确性（若适用）。对于数据收集方式、数据治理过程也应有详细的描述，保证研究的透明性与可重复性。</w:t>
      </w:r>
    </w:p>
    <w:p w14:paraId="0DD44488">
      <w:pPr>
        <w:pStyle w:val="69"/>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rPr>
        <w:t>在研究开始之后，针对上述方案内容有任何实质性修改，均应在方案中进行可供追溯和审核的说明，包括记录版本号、修改日期、修改内容以及原因。</w:t>
      </w:r>
    </w:p>
    <w:p w14:paraId="6588B7D3">
      <w:pPr>
        <w:pStyle w:val="68"/>
        <w:pageBreakBefore w:val="0"/>
        <w:widowControl w:val="0"/>
        <w:kinsoku/>
        <w:wordWrap/>
        <w:topLinePunct w:val="0"/>
        <w:autoSpaceDE/>
        <w:autoSpaceDN/>
        <w:bidi w:val="0"/>
        <w:adjustRightInd w:val="0"/>
        <w:snapToGrid w:val="0"/>
        <w:spacing w:line="540" w:lineRule="exact"/>
        <w:ind w:firstLine="643"/>
        <w:textAlignment w:val="auto"/>
        <w:rPr>
          <w:b w:val="0"/>
          <w:bCs w:val="0"/>
          <w:color w:val="auto"/>
        </w:rPr>
      </w:pPr>
      <w:bookmarkStart w:id="2" w:name="_Toc230856994"/>
      <w:r>
        <w:rPr>
          <w:rFonts w:hint="eastAsia"/>
          <w:b w:val="0"/>
          <w:bCs w:val="0"/>
          <w:color w:val="auto"/>
          <w:lang w:val="en-US" w:eastAsia="zh-CN"/>
        </w:rPr>
        <w:t>二</w:t>
      </w:r>
      <w:r>
        <w:rPr>
          <w:rFonts w:hint="eastAsia"/>
          <w:b w:val="0"/>
          <w:bCs w:val="0"/>
          <w:color w:val="auto"/>
        </w:rPr>
        <w:t>、研究设计要求</w:t>
      </w:r>
      <w:bookmarkEnd w:id="2"/>
    </w:p>
    <w:p w14:paraId="6118FF5E">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bookmarkStart w:id="3" w:name="_Hlk132384664"/>
      <w:r>
        <w:rPr>
          <w:rFonts w:hint="default" w:ascii="Times New Roman" w:hAnsi="Times New Roman" w:eastAsia="仿宋"/>
          <w:color w:val="000000"/>
          <w:kern w:val="0"/>
          <w:sz w:val="32"/>
          <w:szCs w:val="32"/>
        </w:rPr>
        <w:t>总体研究设计通常包括研究问题确定、流行病学设计选择、研究人群选择与定义、关键变量（目标药品暴露与对照、结局、随访、协变量）定义、潜在偏倚识别与控制等关键要素设定。</w:t>
      </w:r>
      <w:bookmarkEnd w:id="3"/>
      <w:r>
        <w:rPr>
          <w:rFonts w:hint="default" w:ascii="Times New Roman" w:hAnsi="Times New Roman" w:eastAsia="仿宋"/>
          <w:color w:val="000000"/>
          <w:kern w:val="0"/>
          <w:sz w:val="32"/>
          <w:szCs w:val="32"/>
        </w:rPr>
        <w:t>与传统流行病学研究不同，在数据库研究中，研究人群和关键变量的定义与识别涉及两个层面：概念性定义和操作性定义。其中，</w:t>
      </w:r>
      <w:r>
        <w:rPr>
          <w:rFonts w:hint="default" w:ascii="Times New Roman" w:hAnsi="Times New Roman" w:eastAsia="仿宋"/>
          <w:color w:val="000000"/>
          <w:kern w:val="0"/>
          <w:sz w:val="32"/>
          <w:szCs w:val="32"/>
          <w:u w:val="none"/>
        </w:rPr>
        <w:t>概念性定义</w:t>
      </w:r>
      <w:r>
        <w:rPr>
          <w:rFonts w:hint="default" w:ascii="Times New Roman" w:hAnsi="Times New Roman" w:eastAsia="仿宋"/>
          <w:color w:val="000000"/>
          <w:kern w:val="0"/>
          <w:sz w:val="32"/>
          <w:szCs w:val="32"/>
        </w:rPr>
        <w:t>指基于研究问题以及现有医学知识，对各研究变量多个维度进行明确界定和说明，将抽象的研究问题转化为标准化可接受的描述。在构建概念性定义时，应详细列出界定各研究变量所涉及的数据元素，并确保数据源可捕捉所需元素。</w:t>
      </w:r>
      <w:r>
        <w:rPr>
          <w:rFonts w:hint="default" w:ascii="Times New Roman" w:hAnsi="Times New Roman" w:eastAsia="仿宋"/>
          <w:color w:val="000000"/>
          <w:kern w:val="0"/>
          <w:sz w:val="32"/>
          <w:szCs w:val="32"/>
          <w:u w:val="none"/>
        </w:rPr>
        <w:t>操作性定义</w:t>
      </w:r>
      <w:r>
        <w:rPr>
          <w:rFonts w:hint="default" w:ascii="Times New Roman" w:hAnsi="Times New Roman" w:eastAsia="仿宋"/>
          <w:color w:val="000000"/>
          <w:kern w:val="0"/>
          <w:sz w:val="32"/>
          <w:szCs w:val="32"/>
        </w:rPr>
        <w:t>则是将概念性定义转化为可执行的数据提取规则，以解决研究变量如何从数据库测量/识别的问题，包括变量识别所采用的编码或算法、相关评估时间窗等。针对同一概念性定义，不同数据库相应操作性定义可能存在差异，研究者应报告所采用的编码或算法准确性。</w:t>
      </w:r>
    </w:p>
    <w:p w14:paraId="7B7FC1FB">
      <w:pPr>
        <w:pStyle w:val="73"/>
        <w:pageBreakBefore w:val="0"/>
        <w:widowControl w:val="0"/>
        <w:kinsoku/>
        <w:wordWrap/>
        <w:overflowPunct w:val="0"/>
        <w:topLinePunct w:val="0"/>
        <w:autoSpaceDE/>
        <w:autoSpaceDN/>
        <w:bidi w:val="0"/>
        <w:adjustRightInd w:val="0"/>
        <w:snapToGrid w:val="0"/>
        <w:spacing w:after="0"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推荐借助模拟目标试验框架进行研究设计关键要素设定，并借助可视化图表对设计细节进行展示。模拟目标试验不是一种新的研究设计类型，而是一种设计框架，可以辅助研究者明确观察性研究中的设计要素。该方法可最大程度控制由于非随机化导致的常见偏倚（如不死时间偏倚），提升研究的透明度和可重复性，从而提高观察性研究结果的因果推断强度。</w:t>
      </w:r>
    </w:p>
    <w:p w14:paraId="0D8400C5">
      <w:pPr>
        <w:pStyle w:val="73"/>
        <w:pageBreakBefore w:val="0"/>
        <w:widowControl w:val="0"/>
        <w:kinsoku/>
        <w:wordWrap/>
        <w:overflowPunct w:val="0"/>
        <w:topLinePunct w:val="0"/>
        <w:autoSpaceDE/>
        <w:autoSpaceDN/>
        <w:bidi w:val="0"/>
        <w:adjustRightInd w:val="0"/>
        <w:snapToGrid w:val="0"/>
        <w:spacing w:after="0"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科学的研究设计离不开高质量的数据基础，研究要素的设定与数据源的选择需要相互适配。研究者可从人群代表性、关键变量完整性和准确性、可比对照获取、结局事件数和随访时长等方面进行数据适用性评价，具体参考《一般原则》。</w:t>
      </w:r>
    </w:p>
    <w:p w14:paraId="2C7310B4">
      <w:pPr>
        <w:pStyle w:val="3"/>
        <w:overflowPunct/>
        <w:adjustRightInd w:val="0"/>
        <w:snapToGrid w:val="0"/>
        <w:spacing w:after="0" w:line="540" w:lineRule="exact"/>
        <w:rPr>
          <w:rFonts w:hint="eastAsia" w:ascii="楷体" w:hAnsi="楷体" w:cs="楷体"/>
          <w:sz w:val="32"/>
        </w:rPr>
      </w:pPr>
      <w:r>
        <w:rPr>
          <w:rFonts w:hint="eastAsia" w:ascii="楷体" w:hAnsi="楷体" w:cs="楷体"/>
          <w:sz w:val="32"/>
          <w:lang w:eastAsia="zh-CN"/>
        </w:rPr>
        <w:t>（</w:t>
      </w:r>
      <w:r>
        <w:rPr>
          <w:rFonts w:hint="eastAsia" w:ascii="楷体" w:hAnsi="楷体" w:cs="楷体"/>
          <w:sz w:val="32"/>
          <w:lang w:val="en-US" w:eastAsia="zh-CN"/>
        </w:rPr>
        <w:t>一</w:t>
      </w:r>
      <w:r>
        <w:rPr>
          <w:rFonts w:hint="eastAsia" w:ascii="楷体" w:hAnsi="楷体" w:cs="楷体"/>
          <w:sz w:val="32"/>
          <w:lang w:eastAsia="zh-CN"/>
        </w:rPr>
        <w:t>）</w:t>
      </w:r>
      <w:r>
        <w:rPr>
          <w:rFonts w:hint="eastAsia" w:ascii="楷体" w:hAnsi="楷体" w:cs="楷体"/>
          <w:sz w:val="32"/>
        </w:rPr>
        <w:t>明确研究问题</w:t>
      </w:r>
    </w:p>
    <w:p w14:paraId="37307978">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研究问题是制定研究方案、确定研究实施计划的基础。主动监测的研究问题（例如评估罕见迟发信号、或是评价特殊人群用药风险等）可以围绕研究人群、目标药物暴露、对照、不良结局事件、随访时间以及研究场景等方面系统构建。研究问题的提出应对现有安全性信号证据充分综述，基于已知证据及不足或缺乏之处，明确尚需研究解决的关键问题。</w:t>
      </w:r>
    </w:p>
    <w:p w14:paraId="41A9FB12">
      <w:pPr>
        <w:pStyle w:val="3"/>
        <w:overflowPunct/>
        <w:adjustRightInd w:val="0"/>
        <w:snapToGrid w:val="0"/>
        <w:spacing w:after="0" w:line="540" w:lineRule="exact"/>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流行病学设计</w:t>
      </w:r>
    </w:p>
    <w:p w14:paraId="5D22C426">
      <w:pPr>
        <w:pStyle w:val="69"/>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olor w:val="000000"/>
          <w:kern w:val="0"/>
          <w:sz w:val="32"/>
          <w:szCs w:val="32"/>
        </w:rPr>
      </w:pPr>
      <w:r>
        <w:rPr>
          <w:rFonts w:hint="default" w:ascii="Times New Roman" w:hAnsi="Times New Roman" w:eastAsia="仿宋"/>
          <w:color w:val="000000"/>
          <w:kern w:val="0"/>
          <w:sz w:val="32"/>
          <w:szCs w:val="32"/>
        </w:rPr>
        <w:t>基于真实世界数据开展药品安全性主动监测通常采用观察性（或非干预性）流行病学研究设计，常见类型包括队列研究、病例对照研究、巢式病例对照研究、病例队列研究、病例交叉研究等。不同设计类型适用场景以及优缺点不同（如表1所示），应基于当前研究问题以及可疑药品与安全性事件间关联的潜在假设（如急性发作vs.迟发事件）进行选择。不推荐某个设计类型一定优于其他类型。例如队列研究通常被认定为研究因果关系证据等级最高的观察性研究类型，当数据可及性有限时，巢式病例对照研究设计可取得接近队列研究的因果推断效力。在研究方案和最终研究报告中应明确所选流行病学设计类型以及理由。</w:t>
      </w:r>
    </w:p>
    <w:p w14:paraId="070AC3BE">
      <w:pPr>
        <w:pStyle w:val="69"/>
        <w:pageBreakBefore w:val="0"/>
        <w:widowControl w:val="0"/>
        <w:kinsoku/>
        <w:wordWrap/>
        <w:topLinePunct w:val="0"/>
        <w:autoSpaceDE/>
        <w:autoSpaceDN/>
        <w:bidi w:val="0"/>
        <w:adjustRightInd w:val="0"/>
        <w:snapToGrid w:val="0"/>
        <w:spacing w:line="540" w:lineRule="exact"/>
        <w:ind w:firstLine="560"/>
        <w:textAlignment w:val="auto"/>
        <w:rPr>
          <w:rFonts w:ascii="Times New Roman" w:hAnsi="Times New Roman" w:eastAsia="仿宋_GB2312"/>
          <w:color w:val="000000"/>
          <w:kern w:val="0"/>
          <w:sz w:val="28"/>
          <w:szCs w:val="32"/>
        </w:rPr>
      </w:pPr>
      <w:r>
        <w:rPr>
          <w:rFonts w:hint="default" w:ascii="Times New Roman" w:hAnsi="Times New Roman" w:eastAsia="仿宋"/>
          <w:color w:val="000000"/>
          <w:kern w:val="0"/>
          <w:sz w:val="32"/>
          <w:szCs w:val="32"/>
        </w:rPr>
        <w:t>其次，在流行病学设计中，还应明确定义其他设计特征，如采用新用药或现用药设计，以及对照选择（阳性对照、空白对照、历史对照、自身对照等）。</w:t>
      </w:r>
      <w:r>
        <w:rPr>
          <w:rFonts w:ascii="Times New Roman" w:hAnsi="Times New Roman" w:eastAsia="仿宋_GB2312"/>
          <w:color w:val="000000"/>
          <w:kern w:val="0"/>
          <w:sz w:val="28"/>
          <w:szCs w:val="32"/>
        </w:rPr>
        <w:br w:type="page"/>
      </w:r>
    </w:p>
    <w:p w14:paraId="137BD732">
      <w:pPr>
        <w:pStyle w:val="69"/>
        <w:adjustRightInd w:val="0"/>
        <w:snapToGrid w:val="0"/>
        <w:spacing w:line="600" w:lineRule="exact"/>
        <w:ind w:firstLine="562"/>
        <w:rPr>
          <w:rFonts w:ascii="Times New Roman" w:hAnsi="Times New Roman" w:eastAsia="仿宋_GB2312"/>
          <w:b/>
          <w:bCs/>
          <w:color w:val="000000"/>
          <w:kern w:val="0"/>
          <w:sz w:val="28"/>
          <w:szCs w:val="32"/>
        </w:rPr>
        <w:sectPr>
          <w:footerReference r:id="rId5" w:type="default"/>
          <w:pgSz w:w="11906" w:h="16838"/>
          <w:pgMar w:top="2098" w:right="1474" w:bottom="1984" w:left="1588" w:header="851" w:footer="992" w:gutter="0"/>
          <w:pgNumType w:fmt="numberInDash" w:start="1"/>
          <w:cols w:space="425" w:num="1"/>
          <w:docGrid w:type="lines" w:linePitch="312" w:charSpace="0"/>
        </w:sectPr>
      </w:pPr>
    </w:p>
    <w:p w14:paraId="13E5909B">
      <w:pPr>
        <w:pStyle w:val="69"/>
        <w:adjustRightInd w:val="0"/>
        <w:snapToGrid w:val="0"/>
        <w:spacing w:line="600" w:lineRule="exact"/>
        <w:ind w:firstLine="562"/>
        <w:jc w:val="center"/>
        <w:rPr>
          <w:rFonts w:ascii="Times New Roman" w:hAnsi="Times New Roman" w:eastAsia="仿宋_GB2312"/>
          <w:color w:val="000000"/>
          <w:kern w:val="0"/>
          <w:sz w:val="28"/>
          <w:szCs w:val="32"/>
        </w:rPr>
      </w:pPr>
      <w:r>
        <w:rPr>
          <w:rFonts w:hint="eastAsia" w:ascii="仿宋" w:hAnsi="仿宋" w:eastAsia="仿宋" w:cs="仿宋"/>
          <w:b/>
          <w:bCs/>
          <w:color w:val="000000"/>
          <w:kern w:val="0"/>
          <w:sz w:val="28"/>
          <w:szCs w:val="32"/>
        </w:rPr>
        <w:t>表1 常用流行病学设计方法</w:t>
      </w:r>
    </w:p>
    <w:tbl>
      <w:tblPr>
        <w:tblStyle w:val="22"/>
        <w:tblW w:w="14029" w:type="dxa"/>
        <w:tblInd w:w="0" w:type="dxa"/>
        <w:tblBorders>
          <w:top w:val="single" w:color="auto" w:sz="4" w:space="0"/>
          <w:left w:val="single" w:color="FFFFFF" w:sz="8" w:space="0"/>
          <w:bottom w:val="single" w:color="auto" w:sz="4" w:space="0"/>
          <w:right w:val="single" w:color="FFFFFF" w:sz="8" w:space="0"/>
          <w:insideH w:val="single" w:color="FFFFFF" w:sz="8" w:space="0"/>
          <w:insideV w:val="single" w:color="FFFFFF" w:sz="8" w:space="0"/>
        </w:tblBorders>
        <w:tblLayout w:type="autofit"/>
        <w:tblCellMar>
          <w:top w:w="0" w:type="dxa"/>
          <w:left w:w="0" w:type="dxa"/>
          <w:bottom w:w="0" w:type="dxa"/>
          <w:right w:w="0" w:type="dxa"/>
        </w:tblCellMar>
      </w:tblPr>
      <w:tblGrid>
        <w:gridCol w:w="1996"/>
        <w:gridCol w:w="4011"/>
        <w:gridCol w:w="4297"/>
        <w:gridCol w:w="3725"/>
      </w:tblGrid>
      <w:tr w14:paraId="1A4DF1C2">
        <w:tblPrEx>
          <w:tblBorders>
            <w:top w:val="single" w:color="auto" w:sz="4" w:space="0"/>
            <w:left w:val="single" w:color="FFFFFF" w:sz="8" w:space="0"/>
            <w:bottom w:val="single" w:color="auto" w:sz="4"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6" w:hRule="atLeast"/>
        </w:trPr>
        <w:tc>
          <w:tcPr>
            <w:tcW w:w="1996" w:type="dxa"/>
            <w:tcBorders>
              <w:top w:val="single" w:color="auto" w:sz="12" w:space="0"/>
              <w:bottom w:val="single" w:color="auto" w:sz="4" w:space="0"/>
            </w:tcBorders>
            <w:shd w:val="clear" w:color="auto" w:fill="D1D1D1" w:themeFill="background2" w:themeFillShade="E6"/>
            <w:tcMar>
              <w:top w:w="5" w:type="dxa"/>
              <w:left w:w="5" w:type="dxa"/>
              <w:bottom w:w="0" w:type="dxa"/>
              <w:right w:w="5" w:type="dxa"/>
            </w:tcMar>
            <w:vAlign w:val="center"/>
          </w:tcPr>
          <w:p w14:paraId="4A36A955">
            <w:pPr>
              <w:adjustRightInd w:val="0"/>
              <w:snapToGrid w:val="0"/>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流行病学设计类型</w:t>
            </w:r>
          </w:p>
        </w:tc>
        <w:tc>
          <w:tcPr>
            <w:tcW w:w="4011" w:type="dxa"/>
            <w:tcBorders>
              <w:top w:val="single" w:color="auto" w:sz="12" w:space="0"/>
              <w:bottom w:val="single" w:color="auto" w:sz="4" w:space="0"/>
            </w:tcBorders>
            <w:shd w:val="clear" w:color="auto" w:fill="D1D1D1" w:themeFill="background2" w:themeFillShade="E6"/>
            <w:tcMar>
              <w:top w:w="5" w:type="dxa"/>
              <w:left w:w="5" w:type="dxa"/>
              <w:bottom w:w="0" w:type="dxa"/>
              <w:right w:w="5" w:type="dxa"/>
            </w:tcMar>
            <w:vAlign w:val="center"/>
          </w:tcPr>
          <w:p w14:paraId="4B7FDAB9">
            <w:pPr>
              <w:adjustRightInd w:val="0"/>
              <w:snapToGrid w:val="0"/>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适用场景</w:t>
            </w:r>
          </w:p>
        </w:tc>
        <w:tc>
          <w:tcPr>
            <w:tcW w:w="4297" w:type="dxa"/>
            <w:tcBorders>
              <w:top w:val="single" w:color="auto" w:sz="12" w:space="0"/>
              <w:bottom w:val="single" w:color="auto" w:sz="4" w:space="0"/>
            </w:tcBorders>
            <w:shd w:val="clear" w:color="auto" w:fill="D1D1D1" w:themeFill="background2" w:themeFillShade="E6"/>
            <w:tcMar>
              <w:top w:w="5" w:type="dxa"/>
              <w:left w:w="5" w:type="dxa"/>
              <w:bottom w:w="0" w:type="dxa"/>
              <w:right w:w="5" w:type="dxa"/>
            </w:tcMar>
            <w:vAlign w:val="center"/>
          </w:tcPr>
          <w:p w14:paraId="2EF04F44">
            <w:pPr>
              <w:adjustRightInd w:val="0"/>
              <w:snapToGrid w:val="0"/>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优势</w:t>
            </w:r>
          </w:p>
        </w:tc>
        <w:tc>
          <w:tcPr>
            <w:tcW w:w="3725" w:type="dxa"/>
            <w:tcBorders>
              <w:top w:val="single" w:color="auto" w:sz="12" w:space="0"/>
              <w:bottom w:val="single" w:color="auto" w:sz="4" w:space="0"/>
            </w:tcBorders>
            <w:shd w:val="clear" w:color="auto" w:fill="D1D1D1" w:themeFill="background2" w:themeFillShade="E6"/>
            <w:tcMar>
              <w:top w:w="5" w:type="dxa"/>
              <w:left w:w="5" w:type="dxa"/>
              <w:bottom w:w="0" w:type="dxa"/>
              <w:right w:w="5" w:type="dxa"/>
            </w:tcMar>
            <w:vAlign w:val="center"/>
          </w:tcPr>
          <w:p w14:paraId="3F512A3E">
            <w:pPr>
              <w:adjustRightInd w:val="0"/>
              <w:snapToGrid w:val="0"/>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局限性</w:t>
            </w:r>
          </w:p>
        </w:tc>
      </w:tr>
      <w:tr w14:paraId="131DF3CE">
        <w:tblPrEx>
          <w:tblBorders>
            <w:top w:val="single" w:color="auto" w:sz="4" w:space="0"/>
            <w:left w:val="single" w:color="FFFFFF" w:sz="8" w:space="0"/>
            <w:bottom w:val="single" w:color="auto" w:sz="4"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5" w:hRule="atLeast"/>
        </w:trPr>
        <w:tc>
          <w:tcPr>
            <w:tcW w:w="1996" w:type="dxa"/>
            <w:tcBorders>
              <w:top w:val="single" w:color="auto" w:sz="4" w:space="0"/>
            </w:tcBorders>
            <w:tcMar>
              <w:top w:w="5" w:type="dxa"/>
              <w:left w:w="5" w:type="dxa"/>
              <w:bottom w:w="0" w:type="dxa"/>
              <w:right w:w="5" w:type="dxa"/>
            </w:tcMar>
            <w:vAlign w:val="center"/>
          </w:tcPr>
          <w:p w14:paraId="4AE726AF">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横断面研究</w:t>
            </w:r>
          </w:p>
        </w:tc>
        <w:tc>
          <w:tcPr>
            <w:tcW w:w="4011" w:type="dxa"/>
            <w:tcBorders>
              <w:top w:val="single" w:color="auto" w:sz="4" w:space="0"/>
            </w:tcBorders>
            <w:tcMar>
              <w:top w:w="5" w:type="dxa"/>
              <w:left w:w="5" w:type="dxa"/>
              <w:bottom w:w="0" w:type="dxa"/>
              <w:right w:w="5" w:type="dxa"/>
            </w:tcMar>
            <w:vAlign w:val="center"/>
          </w:tcPr>
          <w:p w14:paraId="01F74F5E">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在没有指向性的研究目标时，可用于药品上市后安全事件的初步发现</w:t>
            </w:r>
          </w:p>
        </w:tc>
        <w:tc>
          <w:tcPr>
            <w:tcW w:w="4297" w:type="dxa"/>
            <w:tcBorders>
              <w:top w:val="single" w:color="auto" w:sz="4" w:space="0"/>
            </w:tcBorders>
            <w:tcMar>
              <w:top w:w="5" w:type="dxa"/>
              <w:left w:w="5" w:type="dxa"/>
              <w:bottom w:w="0" w:type="dxa"/>
              <w:right w:w="5" w:type="dxa"/>
            </w:tcMar>
            <w:vAlign w:val="center"/>
          </w:tcPr>
          <w:p w14:paraId="19B1F60A">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数据收集和分析较为简单，可用于药品上市后安全信号发现</w:t>
            </w:r>
          </w:p>
        </w:tc>
        <w:tc>
          <w:tcPr>
            <w:tcW w:w="3725" w:type="dxa"/>
            <w:tcBorders>
              <w:top w:val="single" w:color="auto" w:sz="4" w:space="0"/>
            </w:tcBorders>
            <w:tcMar>
              <w:top w:w="5" w:type="dxa"/>
              <w:left w:w="5" w:type="dxa"/>
              <w:bottom w:w="0" w:type="dxa"/>
              <w:right w:w="5" w:type="dxa"/>
            </w:tcMar>
            <w:vAlign w:val="center"/>
          </w:tcPr>
          <w:p w14:paraId="34C6F75F">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通常无法确定药品暴露与感兴趣结果的时间顺序</w:t>
            </w:r>
          </w:p>
        </w:tc>
      </w:tr>
      <w:tr w14:paraId="67B72D42">
        <w:tblPrEx>
          <w:tblBorders>
            <w:top w:val="single" w:color="auto" w:sz="4" w:space="0"/>
            <w:left w:val="single" w:color="FFFFFF" w:sz="8" w:space="0"/>
            <w:bottom w:val="single" w:color="auto" w:sz="4"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77" w:hRule="atLeast"/>
        </w:trPr>
        <w:tc>
          <w:tcPr>
            <w:tcW w:w="1996" w:type="dxa"/>
            <w:shd w:val="clear" w:color="auto" w:fill="F1F1F1" w:themeFill="background1" w:themeFillShade="F2"/>
            <w:tcMar>
              <w:top w:w="5" w:type="dxa"/>
              <w:left w:w="5" w:type="dxa"/>
              <w:bottom w:w="0" w:type="dxa"/>
              <w:right w:w="5" w:type="dxa"/>
            </w:tcMar>
            <w:vAlign w:val="center"/>
          </w:tcPr>
          <w:p w14:paraId="672935FA">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队列研究</w:t>
            </w:r>
          </w:p>
        </w:tc>
        <w:tc>
          <w:tcPr>
            <w:tcW w:w="4011" w:type="dxa"/>
            <w:shd w:val="clear" w:color="auto" w:fill="F1F1F1" w:themeFill="background1" w:themeFillShade="F2"/>
            <w:tcMar>
              <w:top w:w="5" w:type="dxa"/>
              <w:left w:w="5" w:type="dxa"/>
              <w:bottom w:w="0" w:type="dxa"/>
              <w:right w:w="5" w:type="dxa"/>
            </w:tcMar>
            <w:vAlign w:val="center"/>
          </w:tcPr>
          <w:p w14:paraId="39F075DA">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评估同一药品暴露研究中的多个不良事件；需要绝对风险估计的研究问题，以及需要明确关联时间先后的研究问题</w:t>
            </w:r>
          </w:p>
        </w:tc>
        <w:tc>
          <w:tcPr>
            <w:tcW w:w="4297" w:type="dxa"/>
            <w:shd w:val="clear" w:color="auto" w:fill="F1F1F1" w:themeFill="background1" w:themeFillShade="F2"/>
            <w:tcMar>
              <w:top w:w="5" w:type="dxa"/>
              <w:left w:w="5" w:type="dxa"/>
              <w:bottom w:w="0" w:type="dxa"/>
              <w:right w:w="5" w:type="dxa"/>
            </w:tcMar>
            <w:vAlign w:val="center"/>
          </w:tcPr>
          <w:p w14:paraId="2BC8D99A">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有明确时间线，可明确混杂、药品暴露以及安全结局的时间顺序；可估算治疗组事件发生率（风险或比率），也可估算相对风险或比率差异。队列研究可以评估给定药品治疗的多种安全性结果</w:t>
            </w:r>
          </w:p>
        </w:tc>
        <w:tc>
          <w:tcPr>
            <w:tcW w:w="3725" w:type="dxa"/>
            <w:shd w:val="clear" w:color="auto" w:fill="F1F1F1" w:themeFill="background1" w:themeFillShade="F2"/>
            <w:tcMar>
              <w:top w:w="5" w:type="dxa"/>
              <w:left w:w="5" w:type="dxa"/>
              <w:bottom w:w="0" w:type="dxa"/>
              <w:right w:w="5" w:type="dxa"/>
            </w:tcMar>
            <w:vAlign w:val="center"/>
          </w:tcPr>
          <w:p w14:paraId="443B3DEC">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当安全性结局为罕见事件时队列设计就会变得低效，但在真实世界研究中此局限可能会弱化</w:t>
            </w:r>
          </w:p>
        </w:tc>
      </w:tr>
      <w:tr w14:paraId="4D012F94">
        <w:tblPrEx>
          <w:tblBorders>
            <w:top w:val="single" w:color="auto" w:sz="4" w:space="0"/>
            <w:left w:val="single" w:color="FFFFFF" w:sz="8" w:space="0"/>
            <w:bottom w:val="single" w:color="auto" w:sz="4"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3" w:hRule="atLeast"/>
        </w:trPr>
        <w:tc>
          <w:tcPr>
            <w:tcW w:w="1996" w:type="dxa"/>
            <w:tcMar>
              <w:top w:w="5" w:type="dxa"/>
              <w:left w:w="5" w:type="dxa"/>
              <w:bottom w:w="0" w:type="dxa"/>
              <w:right w:w="5" w:type="dxa"/>
            </w:tcMar>
            <w:vAlign w:val="center"/>
          </w:tcPr>
          <w:p w14:paraId="2FC4EB94">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病例对照研究</w:t>
            </w:r>
          </w:p>
        </w:tc>
        <w:tc>
          <w:tcPr>
            <w:tcW w:w="4011" w:type="dxa"/>
            <w:tcMar>
              <w:top w:w="5" w:type="dxa"/>
              <w:left w:w="5" w:type="dxa"/>
              <w:bottom w:w="0" w:type="dxa"/>
              <w:right w:w="5" w:type="dxa"/>
            </w:tcMar>
            <w:vAlign w:val="center"/>
          </w:tcPr>
          <w:p w14:paraId="7259AAFC">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调查一种药品（或几种药品）与一种特定的罕见不良事件之间是否存在关联，以及确定不良事件的多种风险因素时</w:t>
            </w:r>
          </w:p>
        </w:tc>
        <w:tc>
          <w:tcPr>
            <w:tcW w:w="4297" w:type="dxa"/>
            <w:tcMar>
              <w:top w:w="5" w:type="dxa"/>
              <w:left w:w="5" w:type="dxa"/>
              <w:bottom w:w="0" w:type="dxa"/>
              <w:right w:w="5" w:type="dxa"/>
            </w:tcMar>
            <w:vAlign w:val="center"/>
          </w:tcPr>
          <w:p w14:paraId="05E663E2">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可以较大限度的获得病例，对于罕见安全性事件的研究可以提高研究效率</w:t>
            </w:r>
          </w:p>
        </w:tc>
        <w:tc>
          <w:tcPr>
            <w:tcW w:w="3725" w:type="dxa"/>
            <w:tcMar>
              <w:top w:w="5" w:type="dxa"/>
              <w:left w:w="5" w:type="dxa"/>
              <w:bottom w:w="0" w:type="dxa"/>
              <w:right w:w="5" w:type="dxa"/>
            </w:tcMar>
            <w:vAlign w:val="center"/>
          </w:tcPr>
          <w:p w14:paraId="711BFC6A">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通常可以提供相对风险估计，但无法直接提供绝对风险估计；由于需要研究对象回溯暴露和混杂信息，存在回忆偏倚</w:t>
            </w:r>
          </w:p>
        </w:tc>
      </w:tr>
      <w:tr w14:paraId="18BA3879">
        <w:tblPrEx>
          <w:tblBorders>
            <w:top w:val="single" w:color="auto" w:sz="4" w:space="0"/>
            <w:left w:val="single" w:color="FFFFFF" w:sz="8" w:space="0"/>
            <w:bottom w:val="single" w:color="auto" w:sz="4"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6" w:hRule="atLeast"/>
        </w:trPr>
        <w:tc>
          <w:tcPr>
            <w:tcW w:w="1996" w:type="dxa"/>
            <w:shd w:val="clear" w:color="auto" w:fill="F1F1F1" w:themeFill="background1" w:themeFillShade="F2"/>
            <w:tcMar>
              <w:top w:w="5" w:type="dxa"/>
              <w:left w:w="5" w:type="dxa"/>
              <w:bottom w:w="0" w:type="dxa"/>
              <w:right w:w="5" w:type="dxa"/>
            </w:tcMar>
            <w:vAlign w:val="center"/>
          </w:tcPr>
          <w:p w14:paraId="1C2FAB77">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巢式病例对照研究</w:t>
            </w:r>
          </w:p>
        </w:tc>
        <w:tc>
          <w:tcPr>
            <w:tcW w:w="4011" w:type="dxa"/>
            <w:shd w:val="clear" w:color="auto" w:fill="F1F1F1" w:themeFill="background1" w:themeFillShade="F2"/>
            <w:tcMar>
              <w:top w:w="5" w:type="dxa"/>
              <w:left w:w="5" w:type="dxa"/>
              <w:bottom w:w="0" w:type="dxa"/>
              <w:right w:w="5" w:type="dxa"/>
            </w:tcMar>
            <w:vAlign w:val="center"/>
          </w:tcPr>
          <w:p w14:paraId="25285C11">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实施巢式病例对照研究的前提是有一个基本队列，当产生新的病因假设，但是评估每个人的暴露史过于昂贵时，可在基本队列中采用病例对照设计</w:t>
            </w:r>
          </w:p>
        </w:tc>
        <w:tc>
          <w:tcPr>
            <w:tcW w:w="4297" w:type="dxa"/>
            <w:shd w:val="clear" w:color="auto" w:fill="F1F1F1" w:themeFill="background1" w:themeFillShade="F2"/>
            <w:tcMar>
              <w:top w:w="5" w:type="dxa"/>
              <w:left w:w="5" w:type="dxa"/>
              <w:bottom w:w="0" w:type="dxa"/>
              <w:right w:w="5" w:type="dxa"/>
            </w:tcMar>
            <w:vAlign w:val="center"/>
          </w:tcPr>
          <w:p w14:paraId="2D517BD5">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降低选择偏倚，提高病例组与对照组之间的可比性</w:t>
            </w:r>
            <w:r>
              <w:rPr>
                <w:rFonts w:ascii="仿宋" w:hAnsi="仿宋" w:eastAsia="仿宋" w:cs="仿宋"/>
                <w:kern w:val="0"/>
                <w:sz w:val="24"/>
                <w:szCs w:val="24"/>
              </w:rPr>
              <w:t>;</w:t>
            </w:r>
            <w:r>
              <w:rPr>
                <w:rFonts w:hint="eastAsia" w:ascii="仿宋" w:hAnsi="仿宋" w:eastAsia="仿宋" w:cs="仿宋"/>
                <w:kern w:val="0"/>
                <w:sz w:val="24"/>
                <w:szCs w:val="24"/>
              </w:rPr>
              <w:t>避免回顾暴露和混杂信息引入的回忆偏倚；同时具备队列研究因果推断时序性的优点</w:t>
            </w:r>
          </w:p>
        </w:tc>
        <w:tc>
          <w:tcPr>
            <w:tcW w:w="3725" w:type="dxa"/>
            <w:shd w:val="clear" w:color="auto" w:fill="F1F1F1" w:themeFill="background1" w:themeFillShade="F2"/>
            <w:tcMar>
              <w:top w:w="5" w:type="dxa"/>
              <w:left w:w="5" w:type="dxa"/>
              <w:bottom w:w="0" w:type="dxa"/>
              <w:right w:w="5" w:type="dxa"/>
            </w:tcMar>
            <w:vAlign w:val="center"/>
          </w:tcPr>
          <w:p w14:paraId="322B79A7">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统计学效率比队列研究略有损失；若在研究期结束时进行对照抽取可能存在失访</w:t>
            </w:r>
          </w:p>
        </w:tc>
      </w:tr>
      <w:tr w14:paraId="1B2184A4">
        <w:tblPrEx>
          <w:tblBorders>
            <w:top w:val="single" w:color="auto" w:sz="4" w:space="0"/>
            <w:left w:val="single" w:color="FFFFFF" w:sz="8" w:space="0"/>
            <w:bottom w:val="single" w:color="auto" w:sz="4"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48" w:hRule="atLeast"/>
        </w:trPr>
        <w:tc>
          <w:tcPr>
            <w:tcW w:w="1996" w:type="dxa"/>
            <w:tcBorders>
              <w:bottom w:val="single" w:color="FFFFFF" w:sz="8" w:space="0"/>
            </w:tcBorders>
            <w:tcMar>
              <w:top w:w="5" w:type="dxa"/>
              <w:left w:w="5" w:type="dxa"/>
              <w:bottom w:w="0" w:type="dxa"/>
              <w:right w:w="5" w:type="dxa"/>
            </w:tcMar>
            <w:vAlign w:val="center"/>
          </w:tcPr>
          <w:p w14:paraId="3400F79A">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病例队列研究</w:t>
            </w:r>
          </w:p>
        </w:tc>
        <w:tc>
          <w:tcPr>
            <w:tcW w:w="4011" w:type="dxa"/>
            <w:tcBorders>
              <w:bottom w:val="single" w:color="FFFFFF" w:sz="8" w:space="0"/>
            </w:tcBorders>
            <w:tcMar>
              <w:top w:w="5" w:type="dxa"/>
              <w:left w:w="5" w:type="dxa"/>
              <w:bottom w:w="0" w:type="dxa"/>
              <w:right w:w="5" w:type="dxa"/>
            </w:tcMar>
            <w:vAlign w:val="center"/>
          </w:tcPr>
          <w:p w14:paraId="375D8A42">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与巢式病例对照设计相比，病例队列设计适用于多个结局的研究</w:t>
            </w:r>
          </w:p>
        </w:tc>
        <w:tc>
          <w:tcPr>
            <w:tcW w:w="4297" w:type="dxa"/>
            <w:tcBorders>
              <w:bottom w:val="single" w:color="FFFFFF" w:sz="8" w:space="0"/>
            </w:tcBorders>
            <w:tcMar>
              <w:top w:w="5" w:type="dxa"/>
              <w:left w:w="5" w:type="dxa"/>
              <w:bottom w:w="0" w:type="dxa"/>
              <w:right w:w="5" w:type="dxa"/>
            </w:tcMar>
            <w:vAlign w:val="center"/>
          </w:tcPr>
          <w:p w14:paraId="39E3BAB0">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病例和对照来自同一基本队列，具有较高可比性；可以估计发病率；同一亚群可作为多个病例的对照</w:t>
            </w:r>
          </w:p>
        </w:tc>
        <w:tc>
          <w:tcPr>
            <w:tcW w:w="3725" w:type="dxa"/>
            <w:tcBorders>
              <w:bottom w:val="single" w:color="FFFFFF" w:sz="8" w:space="0"/>
            </w:tcBorders>
            <w:tcMar>
              <w:top w:w="5" w:type="dxa"/>
              <w:left w:w="5" w:type="dxa"/>
              <w:bottom w:w="0" w:type="dxa"/>
              <w:right w:w="5" w:type="dxa"/>
            </w:tcMar>
            <w:vAlign w:val="center"/>
          </w:tcPr>
          <w:p w14:paraId="62F9573D">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通常对照组在结局开始时抽取，病例和对照有重叠；失访、所关注的结局事件频率以及暴露随时间变化可能会限制病例队列设计的可行性</w:t>
            </w:r>
          </w:p>
        </w:tc>
      </w:tr>
      <w:tr w14:paraId="5743D35D">
        <w:tblPrEx>
          <w:tblBorders>
            <w:top w:val="single" w:color="auto" w:sz="4" w:space="0"/>
            <w:left w:val="single" w:color="FFFFFF" w:sz="8" w:space="0"/>
            <w:bottom w:val="single" w:color="auto" w:sz="4"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50" w:hRule="atLeast"/>
        </w:trPr>
        <w:tc>
          <w:tcPr>
            <w:tcW w:w="1996" w:type="dxa"/>
            <w:tcBorders>
              <w:top w:val="single" w:color="FFFFFF" w:sz="8" w:space="0"/>
              <w:bottom w:val="single" w:color="auto" w:sz="12" w:space="0"/>
            </w:tcBorders>
            <w:shd w:val="clear" w:color="auto" w:fill="F1F1F1" w:themeFill="background1" w:themeFillShade="F2"/>
            <w:tcMar>
              <w:top w:w="5" w:type="dxa"/>
              <w:left w:w="5" w:type="dxa"/>
              <w:bottom w:w="0" w:type="dxa"/>
              <w:right w:w="5" w:type="dxa"/>
            </w:tcMar>
            <w:vAlign w:val="center"/>
          </w:tcPr>
          <w:p w14:paraId="1DF02BB3">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病例交叉研究</w:t>
            </w:r>
          </w:p>
        </w:tc>
        <w:tc>
          <w:tcPr>
            <w:tcW w:w="4011" w:type="dxa"/>
            <w:tcBorders>
              <w:top w:val="single" w:color="FFFFFF" w:sz="8" w:space="0"/>
              <w:bottom w:val="single" w:color="auto" w:sz="12" w:space="0"/>
            </w:tcBorders>
            <w:shd w:val="clear" w:color="auto" w:fill="F1F1F1" w:themeFill="background1" w:themeFillShade="F2"/>
            <w:tcMar>
              <w:top w:w="5" w:type="dxa"/>
              <w:left w:w="5" w:type="dxa"/>
              <w:bottom w:w="0" w:type="dxa"/>
              <w:right w:w="5" w:type="dxa"/>
            </w:tcMar>
            <w:vAlign w:val="center"/>
          </w:tcPr>
          <w:p w14:paraId="12A22678">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适用于研究短暂药品暴露的急性效应</w:t>
            </w:r>
          </w:p>
        </w:tc>
        <w:tc>
          <w:tcPr>
            <w:tcW w:w="4297" w:type="dxa"/>
            <w:tcBorders>
              <w:top w:val="single" w:color="FFFFFF" w:sz="8" w:space="0"/>
              <w:bottom w:val="single" w:color="auto" w:sz="12" w:space="0"/>
            </w:tcBorders>
            <w:shd w:val="clear" w:color="auto" w:fill="F1F1F1" w:themeFill="background1" w:themeFillShade="F2"/>
            <w:tcMar>
              <w:top w:w="5" w:type="dxa"/>
              <w:left w:w="5" w:type="dxa"/>
              <w:bottom w:w="0" w:type="dxa"/>
              <w:right w:w="5" w:type="dxa"/>
            </w:tcMar>
            <w:vAlign w:val="center"/>
          </w:tcPr>
          <w:p w14:paraId="5E9F24BD">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避免了在选择对照组的过程中可能造成的选择偏倚，可以控制未测量混杂；节约样本量的同时统计学效率高</w:t>
            </w:r>
          </w:p>
        </w:tc>
        <w:tc>
          <w:tcPr>
            <w:tcW w:w="3725" w:type="dxa"/>
            <w:tcBorders>
              <w:top w:val="single" w:color="FFFFFF" w:sz="8" w:space="0"/>
              <w:bottom w:val="single" w:color="auto" w:sz="12" w:space="0"/>
            </w:tcBorders>
            <w:shd w:val="clear" w:color="auto" w:fill="F1F1F1" w:themeFill="background1" w:themeFillShade="F2"/>
            <w:tcMar>
              <w:top w:w="5" w:type="dxa"/>
              <w:left w:w="5" w:type="dxa"/>
              <w:bottom w:w="0" w:type="dxa"/>
              <w:right w:w="5" w:type="dxa"/>
            </w:tcMar>
            <w:vAlign w:val="center"/>
          </w:tcPr>
          <w:p w14:paraId="1EAAD929">
            <w:pPr>
              <w:adjustRightInd w:val="0"/>
              <w:snapToGrid w:val="0"/>
              <w:spacing w:line="24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只可以用于风险期与对照期暴露历史有差异的病例，且多适用于短暂急性暴露，使用场景有限</w:t>
            </w:r>
          </w:p>
        </w:tc>
      </w:tr>
    </w:tbl>
    <w:p w14:paraId="75159826">
      <w:pPr>
        <w:pStyle w:val="73"/>
        <w:overflowPunct w:val="0"/>
        <w:spacing w:after="0"/>
        <w:ind w:firstLine="560"/>
        <w:rPr>
          <w:rFonts w:ascii="Times New Roman" w:hAnsi="Times New Roman" w:eastAsia="仿宋_GB2312"/>
          <w:color w:val="000000"/>
          <w:kern w:val="0"/>
          <w:sz w:val="28"/>
          <w:szCs w:val="32"/>
        </w:rPr>
        <w:sectPr>
          <w:pgSz w:w="16838" w:h="11906" w:orient="landscape"/>
          <w:pgMar w:top="1797" w:right="1440" w:bottom="1797" w:left="1440" w:header="851" w:footer="992" w:gutter="0"/>
          <w:pgNumType w:fmt="numberInDash"/>
          <w:cols w:space="425" w:num="1"/>
          <w:docGrid w:type="linesAndChars" w:linePitch="312" w:charSpace="0"/>
        </w:sectPr>
      </w:pPr>
    </w:p>
    <w:p w14:paraId="1DEE1EB5">
      <w:pPr>
        <w:pStyle w:val="3"/>
        <w:overflowPunct/>
        <w:adjustRightInd w:val="0"/>
        <w:snapToGrid w:val="0"/>
        <w:spacing w:after="0" w:line="540" w:lineRule="exact"/>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研究人群</w:t>
      </w:r>
    </w:p>
    <w:p w14:paraId="004BE550">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研究人群应代表拟研究的安全性问题涉及的目标人群，准确定义与识别研究人群是控制选择偏倚的关键环节。药品上市后，实际使用人群往往比上市前临床试验中的研究人群更为复杂，如多病共存、多重用药、用药动态变化、个体差异大等。基于研究问题，通过构建概念性定义，即纳入排除标准（包括来源、时间范围、人口学特征、疾病及其严重程度、实验室指标值等）进行研究人群限定。纳入排除标准的制定需具备科学、合理的依据（如疾病诊断的标准和依据），要尽可能避免选择偏倚的产生，并保证研究人群的代表性。</w:t>
      </w:r>
    </w:p>
    <w:p w14:paraId="43942007">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在此基础上，构建相应操作性定义，从数据库中准确识别研究人群，包括明确上述纳排标准所涉及变量的识别方式（基于诊断编码、药品编码，或采用人工审查等），详细的变量识别编码列表或算法、判定时间窗（如纳入起止时间、纳入排除评估时间窗、新用药或新发病例的回顾时间窗、进入队列的零时刻等），以及算法来源和准确性等。</w:t>
      </w:r>
    </w:p>
    <w:p w14:paraId="01AEAF6F">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纳排标准定义及其相关信息在数据库中的完整性和准确性，均可能导致纳入研究对象与未纳入对象之间存在系统差异，从而产生选择偏倚。例如，当仅利用特异度较低的国际疾病分类</w:t>
      </w:r>
      <w:r>
        <w:rPr>
          <w:rFonts w:hint="default" w:ascii="Times New Roman" w:hAnsi="Times New Roman" w:eastAsia="仿宋" w:cs="Times New Roman"/>
          <w:color w:val="000000"/>
          <w:kern w:val="0"/>
          <w:sz w:val="32"/>
          <w:szCs w:val="36"/>
          <w:lang w:eastAsia="zh-CN"/>
        </w:rPr>
        <w:t>（International Classification of Diseases，</w:t>
      </w:r>
      <w:r>
        <w:rPr>
          <w:rFonts w:hint="default" w:ascii="Times New Roman" w:hAnsi="Times New Roman" w:eastAsia="仿宋" w:cs="Times New Roman"/>
          <w:color w:val="000000"/>
          <w:kern w:val="0"/>
          <w:sz w:val="32"/>
          <w:szCs w:val="36"/>
        </w:rPr>
        <w:t>ICD</w:t>
      </w:r>
      <w:r>
        <w:rPr>
          <w:rFonts w:hint="default" w:ascii="Times New Roman" w:hAnsi="Times New Roman" w:eastAsia="仿宋" w:cs="Times New Roman"/>
          <w:color w:val="000000"/>
          <w:kern w:val="0"/>
          <w:sz w:val="32"/>
          <w:szCs w:val="36"/>
          <w:lang w:eastAsia="zh-CN"/>
        </w:rPr>
        <w:t>）</w:t>
      </w:r>
      <w:r>
        <w:rPr>
          <w:rFonts w:hint="default" w:ascii="Times New Roman" w:hAnsi="Times New Roman" w:eastAsia="仿宋" w:cs="Times New Roman"/>
          <w:color w:val="000000"/>
          <w:kern w:val="0"/>
          <w:sz w:val="32"/>
          <w:szCs w:val="36"/>
        </w:rPr>
        <w:t>编码识别研究人群时，可能会纳入大量非目标疾病个体。此时，可考虑结合特异性的检验检查或用药信息构建识别算法，提高研究人群识别准确度。建议采用流程图或表格等方式，清晰展示研究人群各阶段纳入排除情况，保证研究的透明度与可重复性。</w:t>
      </w:r>
    </w:p>
    <w:p w14:paraId="545291DF">
      <w:pPr>
        <w:pStyle w:val="3"/>
        <w:overflowPunct/>
        <w:adjustRightInd w:val="0"/>
        <w:snapToGrid w:val="0"/>
        <w:spacing w:line="540" w:lineRule="exact"/>
        <w:ind w:firstLineChars="200"/>
        <w:rPr>
          <w:rFonts w:hint="eastAsia" w:ascii="楷体" w:hAnsi="楷体" w:eastAsia="楷体" w:cs="楷体"/>
          <w:b w:val="0"/>
          <w:bCs/>
          <w:color w:val="000000"/>
          <w:kern w:val="2"/>
          <w:sz w:val="32"/>
          <w:szCs w:val="32"/>
        </w:rPr>
      </w:pPr>
      <w:r>
        <w:rPr>
          <w:rFonts w:hint="eastAsia" w:ascii="楷体" w:hAnsi="楷体" w:eastAsia="楷体" w:cs="楷体"/>
          <w:b w:val="0"/>
          <w:bCs/>
          <w:kern w:val="2"/>
          <w:sz w:val="32"/>
          <w:szCs w:val="32"/>
          <w:lang w:eastAsia="zh-CN"/>
        </w:rPr>
        <w:t>（</w:t>
      </w:r>
      <w:r>
        <w:rPr>
          <w:rFonts w:hint="eastAsia" w:ascii="楷体" w:hAnsi="楷体" w:eastAsia="楷体" w:cs="楷体"/>
          <w:b w:val="0"/>
          <w:bCs/>
          <w:kern w:val="2"/>
          <w:sz w:val="32"/>
          <w:szCs w:val="32"/>
          <w:lang w:val="en-US" w:eastAsia="zh-CN"/>
        </w:rPr>
        <w:t>四</w:t>
      </w:r>
      <w:r>
        <w:rPr>
          <w:rFonts w:hint="eastAsia" w:ascii="楷体" w:hAnsi="楷体" w:eastAsia="楷体" w:cs="楷体"/>
          <w:b w:val="0"/>
          <w:bCs/>
          <w:kern w:val="2"/>
          <w:sz w:val="32"/>
          <w:szCs w:val="32"/>
          <w:lang w:eastAsia="zh-CN"/>
        </w:rPr>
        <w:t>）</w:t>
      </w:r>
      <w:r>
        <w:rPr>
          <w:rFonts w:hint="eastAsia" w:ascii="楷体" w:hAnsi="楷体" w:eastAsia="楷体" w:cs="楷体"/>
          <w:b w:val="0"/>
          <w:bCs/>
          <w:color w:val="000000"/>
          <w:kern w:val="2"/>
          <w:sz w:val="32"/>
          <w:szCs w:val="32"/>
        </w:rPr>
        <w:t>关键变量定义与识别</w:t>
      </w:r>
    </w:p>
    <w:p w14:paraId="55EDE08A">
      <w:pPr>
        <w:pStyle w:val="73"/>
        <w:keepNext w:val="0"/>
        <w:keepLines w:val="0"/>
        <w:pageBreakBefore w:val="0"/>
        <w:widowControl w:val="0"/>
        <w:kinsoku/>
        <w:wordWrap/>
        <w:overflowPunct w:val="0"/>
        <w:topLinePunct w:val="0"/>
        <w:autoSpaceDE/>
        <w:autoSpaceDN/>
        <w:bidi w:val="0"/>
        <w:adjustRightInd w:val="0"/>
        <w:snapToGrid w:val="0"/>
        <w:spacing w:after="0" w:line="540" w:lineRule="exact"/>
        <w:ind w:firstLine="560"/>
        <w:textAlignment w:val="auto"/>
        <w:outlineLvl w:val="2"/>
        <w:rPr>
          <w:rFonts w:hint="default" w:ascii="Times New Roman" w:hAnsi="Times New Roman" w:eastAsia="仿宋" w:cs="Times New Roman"/>
          <w:color w:val="000000"/>
          <w:kern w:val="0"/>
          <w:sz w:val="32"/>
          <w:szCs w:val="36"/>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对照选择</w:t>
      </w:r>
    </w:p>
    <w:p w14:paraId="18D7527A">
      <w:pPr>
        <w:pStyle w:val="69"/>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在观察性研究中，选择适宜的对照组是控制偏倚的有效措施。目前，选择具有相同或类似适应证下临床公认的替代治疗，是最常见且偏倚较小的对照形式，其他类型还包括空白对照、常规治疗、历史对照、自身前后对照以及外部对照等。无论选择何种对照，应阐述原因，并尽量保证对照组人群疾病类型、严重程度、病程及其他治疗方案等重要特征与暴露组人群具有可比性。</w:t>
      </w:r>
    </w:p>
    <w:p w14:paraId="785CA248">
      <w:pPr>
        <w:pStyle w:val="73"/>
        <w:keepNext w:val="0"/>
        <w:keepLines w:val="0"/>
        <w:pageBreakBefore w:val="0"/>
        <w:widowControl w:val="0"/>
        <w:kinsoku/>
        <w:wordWrap/>
        <w:overflowPunct w:val="0"/>
        <w:topLinePunct w:val="0"/>
        <w:autoSpaceDE/>
        <w:autoSpaceDN/>
        <w:bidi w:val="0"/>
        <w:adjustRightInd w:val="0"/>
        <w:snapToGrid w:val="0"/>
        <w:textAlignment w:val="auto"/>
        <w:outlineLvl w:val="2"/>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rPr>
        <w:t>2.</w:t>
      </w:r>
      <w:r>
        <w:rPr>
          <w:rFonts w:hint="default" w:ascii="Times New Roman" w:hAnsi="Times New Roman" w:eastAsia="仿宋" w:cs="Times New Roman"/>
          <w:color w:val="000000"/>
          <w:kern w:val="2"/>
          <w:sz w:val="32"/>
          <w:szCs w:val="32"/>
        </w:rPr>
        <w:t>药品暴露</w:t>
      </w:r>
    </w:p>
    <w:p w14:paraId="1C235443">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首先，针对不同的安全性问题，药品暴露（包括目标可疑药品和对照药品）需考虑的维度和颗粒度不同，可涉及不同用药类型（新用药或现用药、单用或联用）、测量尺度（二分类、连续性等）、测量单位（人数、人时、处方数等）、给药途径（静脉、口服等）、剂量、暴露次数、暴露时长等。</w:t>
      </w:r>
    </w:p>
    <w:p w14:paraId="689B2737">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其次，药物暴露相关时间窗亦是药品暴露定义与识别的关键环节，包括起始/终止用药时间、</w:t>
      </w:r>
      <w:bookmarkStart w:id="4" w:name="OLE_LINK1"/>
      <w:r>
        <w:rPr>
          <w:rFonts w:hint="default" w:ascii="Times New Roman" w:hAnsi="Times New Roman" w:eastAsia="仿宋" w:cs="Times New Roman"/>
          <w:color w:val="000000"/>
          <w:kern w:val="0"/>
          <w:sz w:val="32"/>
          <w:szCs w:val="36"/>
        </w:rPr>
        <w:t>暴露期、诱导期、</w:t>
      </w:r>
      <w:bookmarkEnd w:id="4"/>
      <w:r>
        <w:rPr>
          <w:rFonts w:hint="default" w:ascii="Times New Roman" w:hAnsi="Times New Roman" w:eastAsia="仿宋" w:cs="Times New Roman"/>
          <w:color w:val="000000"/>
          <w:kern w:val="0"/>
          <w:sz w:val="32"/>
          <w:szCs w:val="36"/>
        </w:rPr>
        <w:t>滞后期等（如图1），以判断个体药品暴露状态、用药时长、连续/中断用药、是否可导致目标安全性结局。例如，在实际诊疗中，患者可能因为检查等原因推迟用药，可通过设置宽限期来定义连续或中断用药：宽限期为允许两次药物处方时间上存在最大间隔，即处方时间加上宽限期作为患者的暴露期。</w:t>
      </w:r>
    </w:p>
    <w:p w14:paraId="74A84611">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6"/>
        </w:rPr>
      </w:pPr>
    </w:p>
    <w:p w14:paraId="60887742">
      <w:pPr>
        <w:pStyle w:val="70"/>
        <w:adjustRightInd w:val="0"/>
        <w:snapToGrid w:val="0"/>
        <w:spacing w:before="156" w:beforeLines="50" w:line="240" w:lineRule="auto"/>
        <w:jc w:val="center"/>
        <w:rPr>
          <w:rFonts w:hint="default" w:ascii="Times New Roman" w:hAnsi="Times New Roman" w:eastAsia="仿宋" w:cs="Times New Roman"/>
          <w:color w:val="000000"/>
          <w:kern w:val="0"/>
          <w:sz w:val="28"/>
          <w:szCs w:val="32"/>
        </w:rPr>
      </w:pPr>
      <w:r>
        <w:rPr>
          <w:rFonts w:hint="default" w:ascii="Times New Roman" w:hAnsi="Times New Roman" w:eastAsia="仿宋" w:cs="Times New Roman"/>
          <w:color w:val="000000"/>
          <w:kern w:val="0"/>
          <w:sz w:val="28"/>
          <w:szCs w:val="32"/>
        </w:rPr>
        <w:drawing>
          <wp:inline distT="0" distB="0" distL="0" distR="0">
            <wp:extent cx="5270500" cy="1095375"/>
            <wp:effectExtent l="0" t="0" r="0" b="6985"/>
            <wp:docPr id="20743704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70483"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0500" cy="1095375"/>
                    </a:xfrm>
                    <a:prstGeom prst="rect">
                      <a:avLst/>
                    </a:prstGeom>
                    <a:noFill/>
                    <a:ln>
                      <a:noFill/>
                    </a:ln>
                  </pic:spPr>
                </pic:pic>
              </a:graphicData>
            </a:graphic>
          </wp:inline>
        </w:drawing>
      </w:r>
    </w:p>
    <w:p w14:paraId="31B95965">
      <w:pPr>
        <w:pStyle w:val="70"/>
        <w:adjustRightInd w:val="0"/>
        <w:snapToGrid w:val="0"/>
        <w:spacing w:before="156" w:beforeLines="50" w:line="240" w:lineRule="auto"/>
        <w:jc w:val="center"/>
        <w:rPr>
          <w:rFonts w:hint="default" w:ascii="Times New Roman" w:hAnsi="Times New Roman" w:eastAsia="仿宋" w:cs="Times New Roman"/>
          <w:color w:val="000000"/>
          <w:kern w:val="0"/>
          <w:sz w:val="28"/>
          <w:szCs w:val="32"/>
        </w:rPr>
      </w:pPr>
      <w:r>
        <w:rPr>
          <w:rFonts w:hint="default" w:ascii="Times New Roman" w:hAnsi="Times New Roman" w:eastAsia="仿宋" w:cs="Times New Roman"/>
          <w:color w:val="000000"/>
          <w:kern w:val="0"/>
          <w:sz w:val="28"/>
          <w:szCs w:val="32"/>
        </w:rPr>
        <w:t>图</w:t>
      </w:r>
      <w:r>
        <w:rPr>
          <w:rFonts w:hint="default" w:ascii="Times New Roman" w:hAnsi="Times New Roman" w:eastAsia="仿宋" w:cs="Times New Roman"/>
          <w:b w:val="0"/>
          <w:bCs w:val="0"/>
          <w:color w:val="000000"/>
          <w:kern w:val="0"/>
          <w:sz w:val="28"/>
          <w:szCs w:val="32"/>
        </w:rPr>
        <w:t>1</w:t>
      </w:r>
      <w:r>
        <w:rPr>
          <w:rFonts w:hint="default" w:ascii="Times New Roman" w:hAnsi="Times New Roman" w:eastAsia="仿宋" w:cs="Times New Roman"/>
          <w:b/>
          <w:bCs/>
          <w:color w:val="000000"/>
          <w:kern w:val="0"/>
          <w:sz w:val="28"/>
          <w:szCs w:val="32"/>
        </w:rPr>
        <w:t xml:space="preserve"> </w:t>
      </w:r>
      <w:r>
        <w:rPr>
          <w:rFonts w:hint="default" w:ascii="Times New Roman" w:hAnsi="Times New Roman" w:eastAsia="仿宋" w:cs="Times New Roman"/>
          <w:color w:val="000000"/>
          <w:kern w:val="0"/>
          <w:sz w:val="28"/>
          <w:szCs w:val="32"/>
        </w:rPr>
        <w:t>药物暴露相关时间窗示意图</w:t>
      </w:r>
    </w:p>
    <w:p w14:paraId="2D4DEA13">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与传统临床试验不同，实际诊疗中发生用药状态变化（停药、转换、加载等）普遍存在。除需明确定义和识别用药变化，还应根据变化比例以及对结局潜在影响，选择适宜的暴露定义方式和分析策略。此外，在可行情况下，鼓励采用新用药设计，从一定程度上控制幸存者偏倚（即研究纳入已接受治疗一段时间的患者，往往代表了对药物治疗耐受而不良反应发生率较低的人群，而排除了可能已经发生不良反应的患者）。新用药者可以是新发病例首次用药、停药足够长时间后再次用药或是在现有治疗基础上加载某种新用药的患者，并通过设置合理的回顾期进行识别。回顾期的设置，或使用现用药者定义均应在研究方案中充分说明理由并分析其可能对结果的影响。</w:t>
      </w:r>
    </w:p>
    <w:p w14:paraId="6AFC5510">
      <w:pPr>
        <w:pStyle w:val="73"/>
        <w:keepNext w:val="0"/>
        <w:keepLines w:val="0"/>
        <w:pageBreakBefore w:val="0"/>
        <w:widowControl w:val="0"/>
        <w:kinsoku/>
        <w:wordWrap/>
        <w:overflowPunct w:val="0"/>
        <w:topLinePunct w:val="0"/>
        <w:autoSpaceDE/>
        <w:autoSpaceDN/>
        <w:bidi w:val="0"/>
        <w:adjustRightInd w:val="0"/>
        <w:snapToGrid w:val="0"/>
        <w:spacing w:after="0" w:line="540" w:lineRule="exact"/>
        <w:ind w:firstLine="560"/>
        <w:textAlignment w:val="auto"/>
        <w:outlineLvl w:val="2"/>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随访</w:t>
      </w:r>
    </w:p>
    <w:p w14:paraId="280CAE9B">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随访窗口指研究人群在进入队列后，其不良反应</w:t>
      </w:r>
      <w:r>
        <w:rPr>
          <w:rFonts w:hint="default" w:ascii="Times New Roman" w:hAnsi="Times New Roman" w:eastAsia="仿宋" w:cs="Times New Roman"/>
          <w:color w:val="000000"/>
          <w:kern w:val="0"/>
          <w:sz w:val="32"/>
          <w:szCs w:val="32"/>
          <w:lang w:val="en-US" w:eastAsia="zh-CN"/>
        </w:rPr>
        <w:t>/</w:t>
      </w:r>
      <w:r>
        <w:rPr>
          <w:rFonts w:hint="default" w:ascii="Times New Roman" w:hAnsi="Times New Roman" w:eastAsia="仿宋" w:cs="Times New Roman"/>
          <w:color w:val="000000"/>
          <w:kern w:val="0"/>
          <w:sz w:val="32"/>
          <w:szCs w:val="32"/>
        </w:rPr>
        <w:t>事件可归因于药品暴露的时间范围。应合理、清晰定义该窗口的起止时间，避免将暴露前发生或与暴露无关的事件误判为药物效应。通常，随访窗口应基于暴露风险窗口进行设定，即介于最短与最长诱导期之间的时段，同时考虑删失机制（如失访、退出、停药、转换、研究截止等）。</w:t>
      </w:r>
    </w:p>
    <w:p w14:paraId="6A4304DF">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2"/>
        </w:rPr>
      </w:pPr>
    </w:p>
    <w:p w14:paraId="79581912">
      <w:pPr>
        <w:pStyle w:val="73"/>
        <w:keepNext w:val="0"/>
        <w:keepLines w:val="0"/>
        <w:pageBreakBefore w:val="0"/>
        <w:widowControl w:val="0"/>
        <w:kinsoku/>
        <w:wordWrap/>
        <w:overflowPunct w:val="0"/>
        <w:topLinePunct w:val="0"/>
        <w:autoSpaceDE/>
        <w:autoSpaceDN/>
        <w:bidi w:val="0"/>
        <w:adjustRightInd w:val="0"/>
        <w:snapToGrid w:val="0"/>
        <w:ind w:firstLine="640" w:firstLineChars="200"/>
        <w:textAlignment w:val="auto"/>
        <w:outlineLvl w:val="2"/>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rPr>
        <w:t>4.</w:t>
      </w:r>
      <w:r>
        <w:rPr>
          <w:rFonts w:hint="default" w:ascii="Times New Roman" w:hAnsi="Times New Roman" w:eastAsia="仿宋" w:cs="Times New Roman"/>
          <w:sz w:val="32"/>
          <w:szCs w:val="32"/>
        </w:rPr>
        <w:t>安全性结局事件</w:t>
      </w:r>
    </w:p>
    <w:p w14:paraId="45EBFCF2">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研究关注的药品不良事件可能涉及主观症状、生物标志物、疾病诊断、死亡、生活质量等不同类型指标，应明确定义所关注的不良反应</w:t>
      </w:r>
      <w:r>
        <w:rPr>
          <w:rFonts w:hint="default" w:ascii="Times New Roman" w:hAnsi="Times New Roman" w:eastAsia="仿宋" w:cs="Times New Roman"/>
          <w:color w:val="000000"/>
          <w:kern w:val="0"/>
          <w:sz w:val="32"/>
          <w:szCs w:val="32"/>
          <w:lang w:val="en-US" w:eastAsia="zh-CN"/>
        </w:rPr>
        <w:t>/</w:t>
      </w:r>
      <w:r>
        <w:rPr>
          <w:rFonts w:hint="default" w:ascii="Times New Roman" w:hAnsi="Times New Roman" w:eastAsia="仿宋" w:cs="Times New Roman"/>
          <w:color w:val="000000"/>
          <w:kern w:val="0"/>
          <w:sz w:val="32"/>
          <w:szCs w:val="32"/>
        </w:rPr>
        <w:t>事件。在构建结局事件的概念性定义时，充分考虑当前医学对该事件的普遍认知（如公认的诊断标准及依据等），详细说明所需变量以及判断时点，明确是纳入现患病例或仅为新发病例、是疾病的恶化或是复发等。结局的定义应独立于目标药品暴露状态，即药品暴露不应作为结局定义的组成。</w:t>
      </w:r>
    </w:p>
    <w:p w14:paraId="7DC8D4BD">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color w:val="000000"/>
          <w:kern w:val="0"/>
          <w:sz w:val="32"/>
          <w:szCs w:val="32"/>
        </w:rPr>
        <w:t>与研究人群相同，在构建安全性结局事件的操作性定义时，应说明上述概念性定义中所涉及变量（疾病诊断、临床操作、实验室指标、病历文本等）识别方法、详细陈列相关编码或算法、并充分报告算法准确性。例如，在采用疾病诊断编码识别时，需明确诊断编码来源（门诊或出院诊断）、诊断顺序（如仅以主要诊断为主、或利用出院记录前三位诊断等）、诊断编码列表、以及诊断编码的准确性评价指标。</w:t>
      </w:r>
    </w:p>
    <w:p w14:paraId="06B31C38">
      <w:pPr>
        <w:pStyle w:val="73"/>
        <w:keepNext w:val="0"/>
        <w:keepLines w:val="0"/>
        <w:pageBreakBefore w:val="0"/>
        <w:widowControl w:val="0"/>
        <w:kinsoku/>
        <w:wordWrap/>
        <w:overflowPunct w:val="0"/>
        <w:topLinePunct w:val="0"/>
        <w:autoSpaceDE/>
        <w:autoSpaceDN/>
        <w:bidi w:val="0"/>
        <w:adjustRightInd w:val="0"/>
        <w:snapToGrid w:val="0"/>
        <w:spacing w:after="0" w:line="540" w:lineRule="exact"/>
        <w:ind w:firstLine="560"/>
        <w:textAlignment w:val="auto"/>
        <w:outlineLvl w:val="2"/>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协变量</w:t>
      </w:r>
    </w:p>
    <w:p w14:paraId="67C1F9F9">
      <w:pPr>
        <w:pStyle w:val="70"/>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基于临床背景知识、既往研究综述、专家咨询等方式，确定影响可疑药品与结局间关联判断的重要协变量（如患者人口学特征、合并疾病、合并治疗等）。可通过绘制因果有向无环图（Directed Acyclic Graphs，DAGs）清晰展示暴露、协变量以及结局间关系，区分协变量的类型如时依性混杂、中介变量、效应修饰因子、碰撞变量等。与上述研究变量相同，研究者应完整列出协变量所涉及的变量、识别方法、是否验证以及评估时间窗。药品安全性主动监测研究设计关键要素考量见表2。</w:t>
      </w:r>
    </w:p>
    <w:p w14:paraId="0D27B0E5">
      <w:pPr>
        <w:pStyle w:val="69"/>
        <w:adjustRightInd w:val="0"/>
        <w:snapToGrid w:val="0"/>
        <w:spacing w:line="600" w:lineRule="exact"/>
        <w:ind w:firstLine="0" w:firstLineChars="0"/>
        <w:jc w:val="center"/>
        <w:rPr>
          <w:rFonts w:hint="eastAsia" w:ascii="仿宋" w:hAnsi="仿宋" w:eastAsia="仿宋" w:cs="仿宋"/>
          <w:b/>
          <w:bCs/>
          <w:color w:val="000000"/>
          <w:kern w:val="0"/>
          <w:sz w:val="28"/>
          <w:szCs w:val="32"/>
        </w:rPr>
      </w:pPr>
      <w:r>
        <w:rPr>
          <w:rFonts w:hint="eastAsia" w:ascii="仿宋" w:hAnsi="仿宋" w:eastAsia="仿宋" w:cs="仿宋"/>
          <w:b/>
          <w:bCs/>
          <w:color w:val="000000"/>
          <w:kern w:val="0"/>
          <w:sz w:val="28"/>
          <w:szCs w:val="32"/>
        </w:rPr>
        <w:t>表2 基于</w:t>
      </w:r>
      <w:r>
        <w:rPr>
          <w:rFonts w:hint="eastAsia" w:ascii="仿宋" w:hAnsi="仿宋" w:eastAsia="仿宋" w:cs="仿宋"/>
          <w:b/>
          <w:bCs/>
          <w:color w:val="000000"/>
          <w:kern w:val="0"/>
          <w:sz w:val="28"/>
          <w:szCs w:val="32"/>
          <w:lang w:val="en-US" w:eastAsia="zh-CN"/>
        </w:rPr>
        <w:t>真实世界数据</w:t>
      </w:r>
      <w:r>
        <w:rPr>
          <w:rFonts w:hint="eastAsia" w:ascii="仿宋" w:hAnsi="仿宋" w:eastAsia="仿宋" w:cs="仿宋"/>
          <w:b/>
          <w:bCs/>
          <w:color w:val="000000"/>
          <w:kern w:val="0"/>
          <w:sz w:val="28"/>
          <w:szCs w:val="32"/>
        </w:rPr>
        <w:t>的药品安全性主动监测研究设计关键要素</w:t>
      </w:r>
    </w:p>
    <w:tbl>
      <w:tblPr>
        <w:tblStyle w:val="23"/>
        <w:tblW w:w="864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6520"/>
      </w:tblGrid>
      <w:tr w14:paraId="16439F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27" w:type="dxa"/>
            <w:tcBorders>
              <w:top w:val="single" w:color="auto" w:sz="12" w:space="0"/>
              <w:bottom w:val="single" w:color="auto" w:sz="4" w:space="0"/>
            </w:tcBorders>
            <w:shd w:val="clear" w:color="auto" w:fill="D1D1D1" w:themeFill="background2" w:themeFillShade="E6"/>
            <w:vAlign w:val="center"/>
          </w:tcPr>
          <w:p w14:paraId="2A6A2D38">
            <w:pPr>
              <w:adjustRightInd w:val="0"/>
              <w:snapToGrid w:val="0"/>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关键设计要素</w:t>
            </w:r>
          </w:p>
        </w:tc>
        <w:tc>
          <w:tcPr>
            <w:tcW w:w="6520" w:type="dxa"/>
            <w:tcBorders>
              <w:top w:val="single" w:color="auto" w:sz="12" w:space="0"/>
              <w:bottom w:val="single" w:color="auto" w:sz="4" w:space="0"/>
            </w:tcBorders>
            <w:shd w:val="clear" w:color="auto" w:fill="D1D1D1" w:themeFill="background2" w:themeFillShade="E6"/>
            <w:vAlign w:val="center"/>
          </w:tcPr>
          <w:p w14:paraId="52E754E5">
            <w:pPr>
              <w:adjustRightInd w:val="0"/>
              <w:snapToGrid w:val="0"/>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具体考量</w:t>
            </w:r>
          </w:p>
        </w:tc>
      </w:tr>
      <w:tr w14:paraId="7F9639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7" w:type="dxa"/>
            <w:tcBorders>
              <w:top w:val="single" w:color="auto" w:sz="4" w:space="0"/>
            </w:tcBorders>
            <w:vAlign w:val="center"/>
          </w:tcPr>
          <w:p w14:paraId="061AAF85">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研究对象</w:t>
            </w:r>
          </w:p>
        </w:tc>
        <w:tc>
          <w:tcPr>
            <w:tcW w:w="6520" w:type="dxa"/>
            <w:tcBorders>
              <w:top w:val="single" w:color="auto" w:sz="4" w:space="0"/>
            </w:tcBorders>
            <w:vAlign w:val="center"/>
          </w:tcPr>
          <w:p w14:paraId="5CA217D3">
            <w:pPr>
              <w:pStyle w:val="42"/>
              <w:numPr>
                <w:ilvl w:val="0"/>
                <w:numId w:val="1"/>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制定清晰、合理的纳入排除标准；</w:t>
            </w:r>
          </w:p>
          <w:p w14:paraId="6EAFD071">
            <w:pPr>
              <w:pStyle w:val="42"/>
              <w:numPr>
                <w:ilvl w:val="0"/>
                <w:numId w:val="1"/>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采用流程图等方式清晰展示纳排标准评估时间窗、以及各阶段纳入排除人数情况；</w:t>
            </w:r>
          </w:p>
          <w:p w14:paraId="4A3884AC">
            <w:pPr>
              <w:pStyle w:val="42"/>
              <w:numPr>
                <w:ilvl w:val="0"/>
                <w:numId w:val="1"/>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评估研究对象代表性以及识别算法准确性指标，如灵敏度、特异度等；</w:t>
            </w:r>
          </w:p>
        </w:tc>
      </w:tr>
      <w:tr w14:paraId="6C6E34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7" w:type="dxa"/>
            <w:shd w:val="clear" w:color="auto" w:fill="F1F1F1" w:themeFill="background1" w:themeFillShade="F2"/>
            <w:vAlign w:val="center"/>
          </w:tcPr>
          <w:p w14:paraId="1EF81462">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目标药品暴露</w:t>
            </w:r>
          </w:p>
        </w:tc>
        <w:tc>
          <w:tcPr>
            <w:tcW w:w="6520" w:type="dxa"/>
            <w:shd w:val="clear" w:color="auto" w:fill="F1F1F1" w:themeFill="background1" w:themeFillShade="F2"/>
            <w:vAlign w:val="center"/>
          </w:tcPr>
          <w:p w14:paraId="37F06745">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明确定义暴露特征，包括类型、测量尺度、测量单位、给药途径、剂量、暴露次数、暴露相关时间窗等；</w:t>
            </w:r>
          </w:p>
          <w:p w14:paraId="4ABE3BA5">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在可行情况下，鼓励采用新用药设计；</w:t>
            </w:r>
          </w:p>
          <w:p w14:paraId="16F71FEF">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充分识别、定义和处理用药动态变化；</w:t>
            </w:r>
          </w:p>
        </w:tc>
      </w:tr>
      <w:tr w14:paraId="00E0A8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7" w:type="dxa"/>
            <w:vAlign w:val="center"/>
          </w:tcPr>
          <w:p w14:paraId="7BF5C2E3">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对照</w:t>
            </w:r>
          </w:p>
        </w:tc>
        <w:tc>
          <w:tcPr>
            <w:tcW w:w="6520" w:type="dxa"/>
            <w:vAlign w:val="center"/>
          </w:tcPr>
          <w:p w14:paraId="6DC22858">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尽量保证对照组与暴露组在重要特征上具有可比性；</w:t>
            </w:r>
          </w:p>
          <w:p w14:paraId="79FA0B06">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推荐采用相同或相似适应证下临床公认的阳性对照；</w:t>
            </w:r>
          </w:p>
        </w:tc>
      </w:tr>
      <w:tr w14:paraId="503A15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7" w:type="dxa"/>
            <w:shd w:val="clear" w:color="auto" w:fill="F1F1F1" w:themeFill="background1" w:themeFillShade="F2"/>
            <w:vAlign w:val="center"/>
          </w:tcPr>
          <w:p w14:paraId="0FF76304">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安全性结局指标</w:t>
            </w:r>
          </w:p>
        </w:tc>
        <w:tc>
          <w:tcPr>
            <w:tcW w:w="6520" w:type="dxa"/>
            <w:shd w:val="clear" w:color="auto" w:fill="F1F1F1" w:themeFill="background1" w:themeFillShade="F2"/>
            <w:vAlign w:val="center"/>
          </w:tcPr>
          <w:p w14:paraId="499BE36D">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明确需评价的安全性结局指标；</w:t>
            </w:r>
          </w:p>
          <w:p w14:paraId="200DBC4E">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详细说明结局指标的识别方法、完整的编码或算法内容；</w:t>
            </w:r>
          </w:p>
          <w:p w14:paraId="344656D1">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报告算法准确性指标，如灵敏度、特异度等；</w:t>
            </w:r>
          </w:p>
        </w:tc>
      </w:tr>
      <w:tr w14:paraId="008EC7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7" w:type="dxa"/>
            <w:vAlign w:val="center"/>
          </w:tcPr>
          <w:p w14:paraId="203058B3">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随访</w:t>
            </w:r>
          </w:p>
        </w:tc>
        <w:tc>
          <w:tcPr>
            <w:tcW w:w="6520" w:type="dxa"/>
            <w:vAlign w:val="center"/>
          </w:tcPr>
          <w:p w14:paraId="6504F899">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合理、清晰定义该窗口的开始和结束，包括删失条件；</w:t>
            </w:r>
          </w:p>
        </w:tc>
      </w:tr>
      <w:tr w14:paraId="0E3966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7" w:type="dxa"/>
            <w:tcBorders>
              <w:bottom w:val="single" w:color="auto" w:sz="12" w:space="0"/>
            </w:tcBorders>
            <w:shd w:val="clear" w:color="auto" w:fill="F1F1F1" w:themeFill="background1" w:themeFillShade="F2"/>
            <w:vAlign w:val="center"/>
          </w:tcPr>
          <w:p w14:paraId="66425457">
            <w:pPr>
              <w:adjustRightInd w:val="0"/>
              <w:snapToGrid w:val="0"/>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协变量</w:t>
            </w:r>
          </w:p>
        </w:tc>
        <w:tc>
          <w:tcPr>
            <w:tcW w:w="6520" w:type="dxa"/>
            <w:tcBorders>
              <w:bottom w:val="single" w:color="auto" w:sz="12" w:space="0"/>
            </w:tcBorders>
            <w:shd w:val="clear" w:color="auto" w:fill="F1F1F1" w:themeFill="background1" w:themeFillShade="F2"/>
            <w:vAlign w:val="center"/>
          </w:tcPr>
          <w:p w14:paraId="63EF200C">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充分识别影响可疑药品与结局间关联判断的重要协变量；</w:t>
            </w:r>
          </w:p>
          <w:p w14:paraId="10C72AD8">
            <w:pPr>
              <w:pStyle w:val="42"/>
              <w:numPr>
                <w:ilvl w:val="0"/>
                <w:numId w:val="2"/>
              </w:numPr>
              <w:adjustRightInd w:val="0"/>
              <w:snapToGrid w:val="0"/>
              <w:spacing w:line="240" w:lineRule="auto"/>
              <w:ind w:left="284" w:hanging="284" w:firstLineChars="0"/>
              <w:rPr>
                <w:rFonts w:hint="eastAsia" w:ascii="仿宋" w:hAnsi="仿宋" w:eastAsia="仿宋" w:cs="仿宋"/>
                <w:kern w:val="0"/>
                <w:sz w:val="24"/>
                <w:szCs w:val="24"/>
              </w:rPr>
            </w:pPr>
            <w:r>
              <w:rPr>
                <w:rFonts w:hint="eastAsia" w:ascii="仿宋" w:hAnsi="仿宋" w:eastAsia="仿宋" w:cs="仿宋"/>
                <w:kern w:val="0"/>
                <w:sz w:val="24"/>
                <w:szCs w:val="24"/>
              </w:rPr>
              <w:t>借助因果图等方法，区分协变量的类型如混杂因素、中介变量、效应修饰因子、碰撞变量等。</w:t>
            </w:r>
          </w:p>
        </w:tc>
      </w:tr>
    </w:tbl>
    <w:p w14:paraId="0A3784A5">
      <w:pPr>
        <w:pStyle w:val="3"/>
        <w:overflowPunct/>
        <w:adjustRightInd w:val="0"/>
        <w:snapToGrid w:val="0"/>
        <w:spacing w:after="0" w:line="540" w:lineRule="exact"/>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潜在偏倚识别及控制</w:t>
      </w:r>
    </w:p>
    <w:p w14:paraId="399B60F5">
      <w:pPr>
        <w:pStyle w:val="70"/>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与随机对照试验不同，基于真实世界数据的观察性研究在开展药品安全性主动监测时，不可避免地面临多种偏倚风险。在研究方案中，应充分考虑研究设计、实施和分析阶段的潜在偏倚及其影响，并制定相应的有效控制措施。</w:t>
      </w:r>
    </w:p>
    <w:p w14:paraId="54861F9B">
      <w:pPr>
        <w:pStyle w:val="70"/>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选择偏倚是指研究样本选择过程中，实际入选的分析人群与研究目标人群间存在系统性差异，常见类型包括入院率偏倚、健康受试者偏倚、现用药者偏倚、检出症候偏倚等。例如，采用现用药者设计可能导致现用药者偏倚或幸存者偏倚。此时，可考虑采用新用药者设计将研究人群局限于处于疗程初期的患者，比较两组人群中暴露与不良结局的效应值差异。</w:t>
      </w:r>
    </w:p>
    <w:p w14:paraId="5366AB29">
      <w:pPr>
        <w:pStyle w:val="70"/>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 xml:space="preserve">信息偏倚主要源于测量或识别方法不准确，导致暴露、结局等研究变量的错误分类。在基于常规收集健康医疗数据的研究中，由于此类数据并非基于研究目的产生，错分偏倚（即变量被错误分类到不同组别，导致效应估计偏离真实值）更为常见。为识别和控制错分偏倚，建议对变量识别算法开展验证研究，评估潜在错分的可能性、方向及其程度；必要时可采用定量偏倚分析对研究结果进行校正。其次，建议采用不同的定义和识别方法，通过敏感性分析对结果稳健性进行检验。在可接受范围内，应尽可能降低错分偏倚对结果的影响，保证结果的可信度。 </w:t>
      </w:r>
    </w:p>
    <w:p w14:paraId="5AEB5D7C">
      <w:pPr>
        <w:pStyle w:val="70"/>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kern w:val="0"/>
          <w:sz w:val="32"/>
          <w:szCs w:val="36"/>
        </w:rPr>
      </w:pPr>
      <w:r>
        <w:rPr>
          <w:rFonts w:hint="default" w:ascii="Times New Roman" w:hAnsi="Times New Roman" w:eastAsia="仿宋" w:cs="Times New Roman"/>
          <w:color w:val="000000"/>
          <w:kern w:val="0"/>
          <w:sz w:val="32"/>
          <w:szCs w:val="36"/>
        </w:rPr>
        <w:t>混杂偏倚则是由于混杂因素在暴露和对照组间的分布不均衡，导致药品暴露与安全性结局之间的真实关联被高估、低估甚至发生方向性偏离。基于研究问题，在研究阶段应充分考虑潜在可能的混杂因素，包括人口学特征、适应证、疾病严重程度、合并疾病、合并用药、既往史等。同时，还应分析纳入的混杂因素是否随时间动态变化并影响暴露与结局的发生，即是否存在时依性混杂。建议绘制DAG图以辅助判断变量间关系，识别潜在混杂因素。</w:t>
      </w:r>
    </w:p>
    <w:p w14:paraId="281DAB01">
      <w:pPr>
        <w:keepNext w:val="0"/>
        <w:keepLines w:val="0"/>
        <w:pageBreakBefore w:val="0"/>
        <w:widowControl w:val="0"/>
        <w:kinsoku/>
        <w:wordWrap/>
        <w:topLinePunct w:val="0"/>
        <w:autoSpaceDE/>
        <w:autoSpaceDN/>
        <w:bidi w:val="0"/>
        <w:adjustRightInd/>
        <w:snapToGrid/>
        <w:spacing w:line="540" w:lineRule="exact"/>
        <w:ind w:left="420" w:firstLine="320" w:firstLineChars="100"/>
        <w:textAlignment w:val="auto"/>
        <w:outlineLvl w:val="0"/>
        <w:rPr>
          <w:rFonts w:hint="eastAsia" w:ascii="黑体" w:hAnsi="黑体" w:eastAsia="黑体"/>
          <w:b w:val="0"/>
          <w:bCs w:val="0"/>
          <w:sz w:val="32"/>
          <w:szCs w:val="32"/>
        </w:rPr>
      </w:pPr>
      <w:bookmarkStart w:id="5" w:name="_Toc230856995"/>
      <w:r>
        <w:rPr>
          <w:rFonts w:hint="eastAsia" w:ascii="Times New Roman" w:hAnsi="Times New Roman" w:eastAsia="黑体" w:cs="Times New Roman"/>
          <w:b w:val="0"/>
          <w:bCs w:val="0"/>
          <w:kern w:val="0"/>
          <w:sz w:val="32"/>
          <w:szCs w:val="32"/>
          <w:lang w:val="en-US" w:eastAsia="zh-CN"/>
        </w:rPr>
        <w:t>三</w:t>
      </w:r>
      <w:r>
        <w:rPr>
          <w:rFonts w:hint="eastAsia" w:ascii="Times New Roman" w:hAnsi="Times New Roman" w:eastAsia="黑体" w:cs="Times New Roman"/>
          <w:b w:val="0"/>
          <w:bCs w:val="0"/>
          <w:kern w:val="0"/>
          <w:sz w:val="32"/>
          <w:szCs w:val="32"/>
        </w:rPr>
        <w:t>、统</w:t>
      </w:r>
      <w:r>
        <w:rPr>
          <w:rFonts w:hint="eastAsia" w:ascii="黑体" w:hAnsi="黑体" w:eastAsia="黑体"/>
          <w:b w:val="0"/>
          <w:bCs w:val="0"/>
          <w:sz w:val="32"/>
          <w:szCs w:val="32"/>
        </w:rPr>
        <w:t>计分析</w:t>
      </w:r>
      <w:bookmarkEnd w:id="5"/>
    </w:p>
    <w:p w14:paraId="0089CD55">
      <w:pPr>
        <w:pStyle w:val="3"/>
        <w:overflowPunct/>
        <w:adjustRightInd w:val="0"/>
        <w:snapToGrid w:val="0"/>
        <w:spacing w:after="0" w:line="540" w:lineRule="exact"/>
        <w:ind w:left="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制定统计分析计划</w:t>
      </w:r>
    </w:p>
    <w:p w14:paraId="11D381EC">
      <w:pPr>
        <w:keepNext w:val="0"/>
        <w:keepLines w:val="0"/>
        <w:pageBreakBefore w:val="0"/>
        <w:widowControl w:val="0"/>
        <w:kinsoku/>
        <w:wordWrap/>
        <w:topLinePunct w:val="0"/>
        <w:autoSpaceDE/>
        <w:autoSpaceDN/>
        <w:bidi w:val="0"/>
        <w:adjustRightInd/>
        <w:snapToGrid/>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在基于真实世界数据进行药品安全性主动监测时，应事先制订统计分析计划（Statistical Analysis Plan，SAP），说明主分析统计方法、样本量估计、显著性水平、检验效能、缺失数据处理、亚组分析以及敏感性分析等内容。在安全性信号评价部分，需在统计方法中说明如何控制混杂因素，以实现暴露和不良反应间的因果推断。当涉及多个亚组间比较等多次分析或多组比较的情况，应说明对检验水准α进行校正的方式，或采用其他多重检验方法，以控制假阳性风险。</w:t>
      </w:r>
    </w:p>
    <w:p w14:paraId="4072C7E4">
      <w:pPr>
        <w:keepNext w:val="0"/>
        <w:keepLines w:val="0"/>
        <w:pageBreakBefore w:val="0"/>
        <w:widowControl w:val="0"/>
        <w:kinsoku/>
        <w:wordWrap/>
        <w:topLinePunct w:val="0"/>
        <w:autoSpaceDE/>
        <w:autoSpaceDN/>
        <w:bidi w:val="0"/>
        <w:adjustRightInd/>
        <w:snapToGrid/>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在分析结果中，应提供关于风险估计（包括绝对和相对风险）的点估计值、假设检验结果（如</w:t>
      </w:r>
      <w:r>
        <w:rPr>
          <w:rFonts w:hint="default" w:ascii="Times New Roman" w:hAnsi="Times New Roman" w:eastAsia="仿宋" w:cs="Times New Roman"/>
          <w:i/>
          <w:iCs/>
          <w:sz w:val="32"/>
          <w:szCs w:val="32"/>
        </w:rPr>
        <w:t>P</w:t>
      </w:r>
      <w:r>
        <w:rPr>
          <w:rFonts w:hint="default" w:ascii="Times New Roman" w:hAnsi="Times New Roman" w:eastAsia="仿宋" w:cs="Times New Roman"/>
          <w:sz w:val="32"/>
          <w:szCs w:val="32"/>
        </w:rPr>
        <w:t>值）以及置信区间。</w:t>
      </w:r>
      <w:r>
        <w:rPr>
          <w:rFonts w:hint="default" w:ascii="Times New Roman" w:hAnsi="Times New Roman" w:eastAsia="仿宋" w:cs="Times New Roman"/>
          <w:i/>
          <w:iCs/>
          <w:sz w:val="32"/>
          <w:szCs w:val="32"/>
        </w:rPr>
        <w:t>P</w:t>
      </w:r>
      <w:r>
        <w:rPr>
          <w:rFonts w:hint="default" w:ascii="Times New Roman" w:hAnsi="Times New Roman" w:eastAsia="仿宋" w:cs="Times New Roman"/>
          <w:sz w:val="32"/>
          <w:szCs w:val="32"/>
        </w:rPr>
        <w:t>值用于判断统计显著性，置信区间可量化风险估计的精度，应综合点估计值和置信区间，对安全性信号评价结果进行科学解读。</w:t>
      </w:r>
    </w:p>
    <w:p w14:paraId="64300322">
      <w:pPr>
        <w:pStyle w:val="3"/>
        <w:overflowPunct/>
        <w:adjustRightInd/>
        <w:snapToGrid/>
        <w:spacing w:after="0" w:line="540" w:lineRule="exact"/>
        <w:ind w:left="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样本量确定</w:t>
      </w:r>
    </w:p>
    <w:p w14:paraId="46F8C3C8">
      <w:pPr>
        <w:keepNext w:val="0"/>
        <w:keepLines w:val="0"/>
        <w:pageBreakBefore w:val="0"/>
        <w:widowControl w:val="0"/>
        <w:kinsoku/>
        <w:wordWrap/>
        <w:topLinePunct w:val="0"/>
        <w:autoSpaceDE/>
        <w:autoSpaceDN/>
        <w:bidi w:val="0"/>
        <w:adjustRightInd/>
        <w:snapToGrid/>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在基于真实世界数据开展安全性主动监测研究中，特别是对于罕见严重不良反应，应充分考量数据源中符合纳入排除标准的研究对象数量以及预期可以获得的阳性事件数，是否满足分析所需。</w:t>
      </w:r>
    </w:p>
    <w:p w14:paraId="37158465">
      <w:pPr>
        <w:keepNext w:val="0"/>
        <w:keepLines w:val="0"/>
        <w:pageBreakBefore w:val="0"/>
        <w:widowControl w:val="0"/>
        <w:kinsoku/>
        <w:wordWrap/>
        <w:topLinePunct w:val="0"/>
        <w:autoSpaceDE/>
        <w:autoSpaceDN/>
        <w:bidi w:val="0"/>
        <w:adjustRightInd/>
        <w:snapToGrid/>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SAP中，研究者应对确定样本量的方法予以详细描述，提供相关假设和理由、计算公式，并说明纳入排除标准对样本量计算的影响。针对罕见或迟发的安全性事件，样本量计算的理由说明尤为重要，需充分考虑是否可收集到足够的阳性事件数。在分析结束时，应根据研究结果重新审视初始的统计效能对于检验基本假设的有效性，特别是在出现阴性结果的情况下。</w:t>
      </w:r>
    </w:p>
    <w:p w14:paraId="1DD727EE">
      <w:pPr>
        <w:pStyle w:val="3"/>
        <w:overflowPunct/>
        <w:adjustRightInd/>
        <w:snapToGrid/>
        <w:spacing w:after="0" w:line="540" w:lineRule="exact"/>
        <w:ind w:left="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药品不良反应信号评价的统计分析方法</w:t>
      </w:r>
    </w:p>
    <w:p w14:paraId="35038464">
      <w:pPr>
        <w:keepNext w:val="0"/>
        <w:keepLines w:val="0"/>
        <w:pageBreakBefore w:val="0"/>
        <w:widowControl w:val="0"/>
        <w:kinsoku/>
        <w:wordWrap/>
        <w:topLinePunct w:val="0"/>
        <w:autoSpaceDE/>
        <w:autoSpaceDN/>
        <w:bidi w:val="0"/>
        <w:adjustRightInd/>
        <w:snapToGrid/>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基于真实世界数据开展药品上市后安全性评价研究时，研究者应依据其研究目的、数据类型以及研究设计类型，合理选择统计分析方法，并说明所选方法的相关假设及局限性。安全性结局通常为罕见事件，在选择方法时应考虑事件发生率的影响。同时，实际临床诊疗过程中，患者用药模式复杂，合并用药、多种干预联合治疗以及用药方案的动态调整普遍存在，从而引入了高维、时序性等复杂混杂结构。因此，在选择统计分析方法时，应充分考虑：①潜在的混杂因素间是否存在共线性或交互作用；②是否存在随时间变化的时间依赖性混杂；③是否存在未观测混杂，及其对主分析结果的影响。</w:t>
      </w:r>
    </w:p>
    <w:p w14:paraId="5517D227">
      <w:pPr>
        <w:keepNext w:val="0"/>
        <w:keepLines w:val="0"/>
        <w:pageBreakBefore w:val="0"/>
        <w:widowControl w:val="0"/>
        <w:kinsoku/>
        <w:wordWrap/>
        <w:topLinePunct w:val="0"/>
        <w:autoSpaceDE/>
        <w:autoSpaceDN/>
        <w:bidi w:val="0"/>
        <w:adjustRightInd/>
        <w:snapToGrid/>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观察性研究中，多变量广义线性回归是常用的混杂控制方法，其中泊松回归和负二项回归可用于罕见结局的分析。此外，针对混杂控制，还可选择倾向评分分析、工具变量等方法。对于统计方法而言没有绝对的优劣，不推荐某种统计方法一定优于其他方法。研究者需根据拟解决的问题和数据情况选择合适的方法。例如，潜在的混杂因素存在高维且共线交互，可采用机器学习方法进行控制；若混杂具有时间依赖性，可选择风险集匹配、G方法等进行分析；如未观测混杂对结果具有较大影响时，工具变量法可作为有效的分析手段。常用控制混杂因素的方法优缺点如表3所示。其基本原理见附1。</w:t>
      </w:r>
    </w:p>
    <w:p w14:paraId="0DDEB3EE">
      <w:pPr>
        <w:adjustRightInd w:val="0"/>
        <w:snapToGrid w:val="0"/>
        <w:spacing w:line="600" w:lineRule="exact"/>
        <w:ind w:firstLine="560"/>
        <w:rPr>
          <w:rFonts w:ascii="Times New Roman" w:hAnsi="Times New Roman" w:eastAsia="仿宋_GB2312"/>
          <w:sz w:val="28"/>
          <w:szCs w:val="28"/>
        </w:rPr>
      </w:pPr>
    </w:p>
    <w:p w14:paraId="600555F4">
      <w:pPr>
        <w:adjustRightInd w:val="0"/>
        <w:snapToGrid w:val="0"/>
        <w:spacing w:line="600" w:lineRule="exact"/>
        <w:ind w:firstLine="560"/>
        <w:rPr>
          <w:rFonts w:ascii="Times New Roman" w:hAnsi="Times New Roman" w:eastAsia="仿宋_GB2312"/>
          <w:sz w:val="28"/>
          <w:szCs w:val="28"/>
        </w:rPr>
      </w:pPr>
    </w:p>
    <w:p w14:paraId="2346A7C1">
      <w:pPr>
        <w:adjustRightInd w:val="0"/>
        <w:snapToGrid w:val="0"/>
        <w:spacing w:line="600" w:lineRule="exact"/>
        <w:ind w:firstLine="560"/>
        <w:rPr>
          <w:rFonts w:ascii="Times New Roman" w:hAnsi="Times New Roman" w:eastAsia="仿宋_GB2312"/>
          <w:sz w:val="28"/>
          <w:szCs w:val="28"/>
        </w:rPr>
      </w:pPr>
    </w:p>
    <w:p w14:paraId="6411B51F">
      <w:pPr>
        <w:adjustRightInd w:val="0"/>
        <w:snapToGrid w:val="0"/>
        <w:spacing w:line="600" w:lineRule="exact"/>
        <w:ind w:firstLine="560"/>
        <w:rPr>
          <w:rFonts w:ascii="Times New Roman" w:hAnsi="Times New Roman" w:eastAsia="仿宋_GB2312"/>
          <w:sz w:val="28"/>
          <w:szCs w:val="28"/>
        </w:rPr>
      </w:pPr>
    </w:p>
    <w:p w14:paraId="166AF1DD">
      <w:pPr>
        <w:adjustRightInd w:val="0"/>
        <w:snapToGrid w:val="0"/>
        <w:spacing w:line="600" w:lineRule="exact"/>
        <w:ind w:firstLine="560"/>
        <w:rPr>
          <w:rFonts w:ascii="Times New Roman" w:hAnsi="Times New Roman" w:eastAsia="仿宋_GB2312"/>
          <w:sz w:val="28"/>
          <w:szCs w:val="28"/>
        </w:rPr>
      </w:pPr>
    </w:p>
    <w:p w14:paraId="481E83E3">
      <w:pPr>
        <w:adjustRightInd w:val="0"/>
        <w:snapToGrid w:val="0"/>
        <w:spacing w:line="600" w:lineRule="exact"/>
        <w:ind w:firstLine="560"/>
        <w:rPr>
          <w:rFonts w:ascii="Times New Roman" w:hAnsi="Times New Roman" w:eastAsia="仿宋_GB2312"/>
          <w:sz w:val="28"/>
          <w:szCs w:val="28"/>
        </w:rPr>
      </w:pPr>
    </w:p>
    <w:p w14:paraId="53E9D282">
      <w:pPr>
        <w:adjustRightInd w:val="0"/>
        <w:snapToGrid w:val="0"/>
        <w:spacing w:line="240" w:lineRule="auto"/>
        <w:ind w:firstLine="0" w:firstLineChars="0"/>
        <w:jc w:val="center"/>
        <w:rPr>
          <w:rFonts w:hint="eastAsia" w:ascii="仿宋" w:hAnsi="仿宋" w:eastAsia="仿宋" w:cs="仿宋"/>
          <w:b/>
          <w:bCs/>
          <w:color w:val="000000" w:themeColor="text1"/>
          <w:spacing w:val="15"/>
          <w:kern w:val="28"/>
          <w:sz w:val="28"/>
          <w:szCs w:val="32"/>
          <w14:textFill>
            <w14:solidFill>
              <w14:schemeClr w14:val="tx1"/>
            </w14:solidFill>
          </w14:textFill>
        </w:rPr>
      </w:pPr>
      <w:r>
        <w:rPr>
          <w:rFonts w:hint="eastAsia" w:ascii="仿宋" w:hAnsi="仿宋" w:eastAsia="仿宋" w:cs="仿宋"/>
          <w:b/>
          <w:bCs/>
          <w:color w:val="000000"/>
          <w:kern w:val="0"/>
          <w:sz w:val="28"/>
          <w:szCs w:val="32"/>
        </w:rPr>
        <w:t>表3 基于</w:t>
      </w:r>
      <w:r>
        <w:rPr>
          <w:rFonts w:hint="eastAsia" w:ascii="仿宋" w:hAnsi="仿宋" w:eastAsia="仿宋" w:cs="仿宋"/>
          <w:b/>
          <w:bCs/>
          <w:color w:val="000000"/>
          <w:kern w:val="0"/>
          <w:sz w:val="28"/>
          <w:szCs w:val="32"/>
          <w:lang w:val="en-US" w:eastAsia="zh-CN"/>
        </w:rPr>
        <w:t>真实世界数据</w:t>
      </w:r>
      <w:r>
        <w:rPr>
          <w:rFonts w:hint="eastAsia" w:ascii="仿宋" w:hAnsi="仿宋" w:eastAsia="仿宋" w:cs="仿宋"/>
          <w:b/>
          <w:bCs/>
          <w:color w:val="000000"/>
          <w:kern w:val="0"/>
          <w:sz w:val="28"/>
          <w:szCs w:val="32"/>
        </w:rPr>
        <w:t>不良反应评价的统计分析技术特征一览表</w:t>
      </w:r>
    </w:p>
    <w:tbl>
      <w:tblPr>
        <w:tblStyle w:val="22"/>
        <w:tblW w:w="5576" w:type="pct"/>
        <w:jc w:val="center"/>
        <w:tblLayout w:type="autofit"/>
        <w:tblCellMar>
          <w:top w:w="0" w:type="dxa"/>
          <w:left w:w="0" w:type="dxa"/>
          <w:bottom w:w="0" w:type="dxa"/>
          <w:right w:w="0" w:type="dxa"/>
        </w:tblCellMar>
      </w:tblPr>
      <w:tblGrid>
        <w:gridCol w:w="1362"/>
        <w:gridCol w:w="2419"/>
        <w:gridCol w:w="2724"/>
        <w:gridCol w:w="3378"/>
      </w:tblGrid>
      <w:tr w14:paraId="5F0BCDA8">
        <w:tblPrEx>
          <w:tblCellMar>
            <w:top w:w="0" w:type="dxa"/>
            <w:left w:w="0" w:type="dxa"/>
            <w:bottom w:w="0" w:type="dxa"/>
            <w:right w:w="0" w:type="dxa"/>
          </w:tblCellMar>
        </w:tblPrEx>
        <w:trPr>
          <w:trHeight w:val="520" w:hRule="atLeast"/>
          <w:jc w:val="center"/>
        </w:trPr>
        <w:tc>
          <w:tcPr>
            <w:tcW w:w="689" w:type="pct"/>
            <w:tcBorders>
              <w:top w:val="single" w:color="000000" w:sz="8" w:space="0"/>
              <w:left w:val="nil"/>
              <w:bottom w:val="single" w:color="000000" w:sz="8" w:space="0"/>
              <w:right w:val="nil"/>
            </w:tcBorders>
            <w:shd w:val="clear" w:color="auto" w:fill="D1D1D1" w:themeFill="background2" w:themeFillShade="E6"/>
            <w:tcMar>
              <w:top w:w="9" w:type="dxa"/>
              <w:left w:w="9" w:type="dxa"/>
              <w:bottom w:w="0" w:type="dxa"/>
              <w:right w:w="9" w:type="dxa"/>
            </w:tcMar>
            <w:vAlign w:val="center"/>
          </w:tcPr>
          <w:p w14:paraId="77C27FFB">
            <w:pPr>
              <w:adjustRightInd w:val="0"/>
              <w:snapToGrid w:val="0"/>
              <w:spacing w:line="240" w:lineRule="auto"/>
              <w:ind w:firstLine="0" w:firstLineChars="0"/>
              <w:jc w:val="center"/>
              <w:rPr>
                <w:rFonts w:hint="eastAsia" w:ascii="黑体" w:hAnsi="黑体" w:eastAsia="黑体" w:cs="黑体"/>
                <w:b w:val="0"/>
                <w:bCs/>
                <w:color w:val="000000" w:themeColor="text1"/>
                <w:spacing w:val="15"/>
                <w:kern w:val="28"/>
                <w:sz w:val="24"/>
                <w:szCs w:val="32"/>
                <w14:textFill>
                  <w14:solidFill>
                    <w14:schemeClr w14:val="tx1"/>
                  </w14:solidFill>
                </w14:textFill>
              </w:rPr>
            </w:pPr>
            <w:r>
              <w:rPr>
                <w:rFonts w:hint="eastAsia" w:ascii="黑体" w:hAnsi="黑体" w:eastAsia="黑体" w:cs="黑体"/>
                <w:b w:val="0"/>
                <w:bCs/>
                <w:color w:val="000000" w:themeColor="text1"/>
                <w:spacing w:val="15"/>
                <w:kern w:val="28"/>
                <w:sz w:val="24"/>
                <w:szCs w:val="32"/>
                <w14:textFill>
                  <w14:solidFill>
                    <w14:schemeClr w14:val="tx1"/>
                  </w14:solidFill>
                </w14:textFill>
              </w:rPr>
              <w:t>统计分析技术</w:t>
            </w:r>
          </w:p>
        </w:tc>
        <w:tc>
          <w:tcPr>
            <w:tcW w:w="1224" w:type="pct"/>
            <w:tcBorders>
              <w:top w:val="single" w:color="000000" w:sz="8" w:space="0"/>
              <w:left w:val="nil"/>
              <w:bottom w:val="single" w:color="000000" w:sz="8" w:space="0"/>
              <w:right w:val="single" w:color="FFFFFF" w:themeColor="background1" w:sz="4" w:space="0"/>
            </w:tcBorders>
            <w:shd w:val="clear" w:color="auto" w:fill="D1D1D1" w:themeFill="background2" w:themeFillShade="E6"/>
            <w:tcMar>
              <w:top w:w="9" w:type="dxa"/>
              <w:left w:w="9" w:type="dxa"/>
              <w:bottom w:w="0" w:type="dxa"/>
              <w:right w:w="9" w:type="dxa"/>
            </w:tcMar>
            <w:vAlign w:val="center"/>
          </w:tcPr>
          <w:p w14:paraId="238DCED3">
            <w:pPr>
              <w:adjustRightInd w:val="0"/>
              <w:snapToGrid w:val="0"/>
              <w:spacing w:line="240" w:lineRule="auto"/>
              <w:ind w:firstLine="0" w:firstLineChars="0"/>
              <w:jc w:val="center"/>
              <w:rPr>
                <w:rFonts w:hint="eastAsia" w:ascii="黑体" w:hAnsi="黑体" w:eastAsia="黑体" w:cs="黑体"/>
                <w:b w:val="0"/>
                <w:bCs/>
                <w:color w:val="000000" w:themeColor="text1"/>
                <w:spacing w:val="15"/>
                <w:kern w:val="28"/>
                <w:sz w:val="24"/>
                <w:szCs w:val="32"/>
                <w14:textFill>
                  <w14:solidFill>
                    <w14:schemeClr w14:val="tx1"/>
                  </w14:solidFill>
                </w14:textFill>
              </w:rPr>
            </w:pPr>
            <w:r>
              <w:rPr>
                <w:rFonts w:hint="eastAsia" w:ascii="黑体" w:hAnsi="黑体" w:eastAsia="黑体" w:cs="黑体"/>
                <w:b w:val="0"/>
                <w:bCs/>
                <w:color w:val="000000" w:themeColor="text1"/>
                <w:spacing w:val="15"/>
                <w:kern w:val="28"/>
                <w:sz w:val="24"/>
                <w:szCs w:val="32"/>
                <w14:textFill>
                  <w14:solidFill>
                    <w14:schemeClr w14:val="tx1"/>
                  </w14:solidFill>
                </w14:textFill>
              </w:rPr>
              <w:t>使用条件</w:t>
            </w:r>
          </w:p>
        </w:tc>
        <w:tc>
          <w:tcPr>
            <w:tcW w:w="1378" w:type="pct"/>
            <w:tcBorders>
              <w:top w:val="single" w:color="000000" w:sz="8" w:space="0"/>
              <w:left w:val="single" w:color="FFFFFF" w:themeColor="background1" w:sz="4" w:space="0"/>
              <w:bottom w:val="single" w:color="000000" w:sz="8" w:space="0"/>
              <w:right w:val="single" w:color="FFFFFF" w:themeColor="background1" w:sz="4" w:space="0"/>
            </w:tcBorders>
            <w:shd w:val="clear" w:color="auto" w:fill="D1D1D1" w:themeFill="background2" w:themeFillShade="E6"/>
            <w:tcMar>
              <w:top w:w="9" w:type="dxa"/>
              <w:left w:w="9" w:type="dxa"/>
              <w:bottom w:w="0" w:type="dxa"/>
              <w:right w:w="9" w:type="dxa"/>
            </w:tcMar>
            <w:vAlign w:val="center"/>
          </w:tcPr>
          <w:p w14:paraId="5C976B40">
            <w:pPr>
              <w:adjustRightInd w:val="0"/>
              <w:snapToGrid w:val="0"/>
              <w:spacing w:line="240" w:lineRule="auto"/>
              <w:ind w:firstLine="0" w:firstLineChars="0"/>
              <w:jc w:val="center"/>
              <w:rPr>
                <w:rFonts w:hint="eastAsia" w:ascii="黑体" w:hAnsi="黑体" w:eastAsia="黑体" w:cs="黑体"/>
                <w:b w:val="0"/>
                <w:bCs/>
                <w:color w:val="000000" w:themeColor="text1"/>
                <w:spacing w:val="15"/>
                <w:kern w:val="28"/>
                <w:sz w:val="24"/>
                <w:szCs w:val="32"/>
                <w14:textFill>
                  <w14:solidFill>
                    <w14:schemeClr w14:val="tx1"/>
                  </w14:solidFill>
                </w14:textFill>
              </w:rPr>
            </w:pPr>
            <w:r>
              <w:rPr>
                <w:rFonts w:hint="eastAsia" w:ascii="黑体" w:hAnsi="黑体" w:eastAsia="黑体" w:cs="黑体"/>
                <w:b w:val="0"/>
                <w:bCs/>
                <w:color w:val="000000" w:themeColor="text1"/>
                <w:spacing w:val="15"/>
                <w:kern w:val="28"/>
                <w:sz w:val="24"/>
                <w:szCs w:val="32"/>
                <w14:textFill>
                  <w14:solidFill>
                    <w14:schemeClr w14:val="tx1"/>
                  </w14:solidFill>
                </w14:textFill>
              </w:rPr>
              <w:t>优势</w:t>
            </w:r>
          </w:p>
        </w:tc>
        <w:tc>
          <w:tcPr>
            <w:tcW w:w="1709" w:type="pct"/>
            <w:tcBorders>
              <w:top w:val="single" w:color="000000" w:sz="8" w:space="0"/>
              <w:left w:val="single" w:color="FFFFFF" w:themeColor="background1" w:sz="4" w:space="0"/>
              <w:bottom w:val="single" w:color="000000" w:sz="8" w:space="0"/>
              <w:right w:val="nil"/>
            </w:tcBorders>
            <w:shd w:val="clear" w:color="auto" w:fill="D1D1D1" w:themeFill="background2" w:themeFillShade="E6"/>
            <w:tcMar>
              <w:top w:w="9" w:type="dxa"/>
              <w:left w:w="9" w:type="dxa"/>
              <w:bottom w:w="0" w:type="dxa"/>
              <w:right w:w="9" w:type="dxa"/>
            </w:tcMar>
            <w:vAlign w:val="center"/>
          </w:tcPr>
          <w:p w14:paraId="260559C9">
            <w:pPr>
              <w:adjustRightInd w:val="0"/>
              <w:snapToGrid w:val="0"/>
              <w:spacing w:line="240" w:lineRule="auto"/>
              <w:ind w:firstLine="0" w:firstLineChars="0"/>
              <w:jc w:val="center"/>
              <w:rPr>
                <w:rFonts w:hint="eastAsia" w:ascii="黑体" w:hAnsi="黑体" w:eastAsia="黑体" w:cs="黑体"/>
                <w:b w:val="0"/>
                <w:bCs/>
                <w:color w:val="000000" w:themeColor="text1"/>
                <w:spacing w:val="15"/>
                <w:kern w:val="28"/>
                <w:sz w:val="24"/>
                <w:szCs w:val="32"/>
                <w14:textFill>
                  <w14:solidFill>
                    <w14:schemeClr w14:val="tx1"/>
                  </w14:solidFill>
                </w14:textFill>
              </w:rPr>
            </w:pPr>
            <w:r>
              <w:rPr>
                <w:rFonts w:hint="eastAsia" w:ascii="黑体" w:hAnsi="黑体" w:eastAsia="黑体" w:cs="黑体"/>
                <w:b w:val="0"/>
                <w:bCs/>
                <w:color w:val="000000" w:themeColor="text1"/>
                <w:spacing w:val="15"/>
                <w:kern w:val="28"/>
                <w:sz w:val="24"/>
                <w:szCs w:val="32"/>
                <w14:textFill>
                  <w14:solidFill>
                    <w14:schemeClr w14:val="tx1"/>
                  </w14:solidFill>
                </w14:textFill>
              </w:rPr>
              <w:t>局限性</w:t>
            </w:r>
          </w:p>
        </w:tc>
      </w:tr>
      <w:tr w14:paraId="151B6BB3">
        <w:tblPrEx>
          <w:tblCellMar>
            <w:top w:w="0" w:type="dxa"/>
            <w:left w:w="0" w:type="dxa"/>
            <w:bottom w:w="0" w:type="dxa"/>
            <w:right w:w="0" w:type="dxa"/>
          </w:tblCellMar>
        </w:tblPrEx>
        <w:trPr>
          <w:trHeight w:val="873" w:hRule="atLeast"/>
          <w:jc w:val="center"/>
        </w:trPr>
        <w:tc>
          <w:tcPr>
            <w:tcW w:w="689" w:type="pct"/>
            <w:tcBorders>
              <w:top w:val="nil"/>
              <w:left w:val="nil"/>
              <w:bottom w:val="nil"/>
              <w:right w:val="nil"/>
            </w:tcBorders>
            <w:tcMar>
              <w:top w:w="9" w:type="dxa"/>
              <w:left w:w="9" w:type="dxa"/>
              <w:bottom w:w="0" w:type="dxa"/>
              <w:right w:w="9" w:type="dxa"/>
            </w:tcMar>
            <w:vAlign w:val="center"/>
          </w:tcPr>
          <w:p w14:paraId="13639B6B">
            <w:pPr>
              <w:adjustRightInd w:val="0"/>
              <w:snapToGrid w:val="0"/>
              <w:spacing w:after="156" w:afterLines="50" w:line="240" w:lineRule="auto"/>
              <w:ind w:firstLine="0" w:firstLineChars="0"/>
              <w:jc w:val="center"/>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b/>
                <w:sz w:val="24"/>
                <w:szCs w:val="32"/>
              </w:rPr>
              <w:t>多变量回归分析</w:t>
            </w:r>
          </w:p>
        </w:tc>
        <w:tc>
          <w:tcPr>
            <w:tcW w:w="1224" w:type="pct"/>
            <w:tcBorders>
              <w:top w:val="nil"/>
              <w:left w:val="nil"/>
              <w:bottom w:val="nil"/>
              <w:right w:val="single" w:color="FFFFFF" w:themeColor="background1" w:sz="4" w:space="0"/>
            </w:tcBorders>
            <w:tcMar>
              <w:top w:w="9" w:type="dxa"/>
              <w:left w:w="9" w:type="dxa"/>
              <w:bottom w:w="0" w:type="dxa"/>
              <w:right w:w="9" w:type="dxa"/>
            </w:tcMar>
          </w:tcPr>
          <w:p w14:paraId="548A4617">
            <w:pPr>
              <w:adjustRightInd w:val="0"/>
              <w:snapToGrid w:val="0"/>
              <w:spacing w:after="156" w:afterLines="50" w:line="240" w:lineRule="auto"/>
              <w:ind w:left="105" w:leftChars="50" w:right="-105" w:righ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color w:val="000000" w:themeColor="text1"/>
                <w:spacing w:val="15"/>
                <w:kern w:val="28"/>
                <w:sz w:val="24"/>
                <w:szCs w:val="32"/>
                <w14:textFill>
                  <w14:solidFill>
                    <w14:schemeClr w14:val="tx1"/>
                  </w14:solidFill>
                </w14:textFill>
              </w:rPr>
              <w:t>针对含有较多协变量情况的混杂效应调整方法</w:t>
            </w:r>
          </w:p>
        </w:tc>
        <w:tc>
          <w:tcPr>
            <w:tcW w:w="1378" w:type="pct"/>
            <w:tcBorders>
              <w:top w:val="nil"/>
              <w:left w:val="single" w:color="FFFFFF" w:themeColor="background1" w:sz="4" w:space="0"/>
              <w:bottom w:val="nil"/>
              <w:right w:val="single" w:color="FFFFFF" w:themeColor="background1" w:sz="4" w:space="0"/>
            </w:tcBorders>
            <w:tcMar>
              <w:top w:w="9" w:type="dxa"/>
              <w:left w:w="9" w:type="dxa"/>
              <w:bottom w:w="0" w:type="dxa"/>
              <w:right w:w="9" w:type="dxa"/>
            </w:tcMar>
            <w:vAlign w:val="center"/>
          </w:tcPr>
          <w:p w14:paraId="736D5E04">
            <w:pPr>
              <w:adjustRightInd w:val="0"/>
              <w:snapToGrid w:val="0"/>
              <w:spacing w:after="156" w:afterLines="50" w:line="240" w:lineRule="auto"/>
              <w:ind w:left="105" w:lef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是最常见的控制混杂因素的统计分析方法，简易高效，易操作</w:t>
            </w:r>
          </w:p>
        </w:tc>
        <w:tc>
          <w:tcPr>
            <w:tcW w:w="1709" w:type="pct"/>
            <w:tcBorders>
              <w:top w:val="nil"/>
              <w:left w:val="single" w:color="FFFFFF" w:themeColor="background1" w:sz="4" w:space="0"/>
              <w:bottom w:val="nil"/>
              <w:right w:val="nil"/>
            </w:tcBorders>
            <w:tcMar>
              <w:top w:w="9" w:type="dxa"/>
              <w:left w:w="9" w:type="dxa"/>
              <w:bottom w:w="0" w:type="dxa"/>
              <w:right w:w="9" w:type="dxa"/>
            </w:tcMar>
            <w:vAlign w:val="center"/>
          </w:tcPr>
          <w:p w14:paraId="5464DFCC">
            <w:pPr>
              <w:adjustRightInd w:val="0"/>
              <w:snapToGrid w:val="0"/>
              <w:spacing w:after="156" w:afterLines="50" w:line="240" w:lineRule="auto"/>
              <w:ind w:left="105" w:lef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当混杂因素较多时，易出现多重共线性，需考虑模型的适用性</w:t>
            </w:r>
          </w:p>
        </w:tc>
      </w:tr>
      <w:tr w14:paraId="3E97F257">
        <w:tblPrEx>
          <w:tblCellMar>
            <w:top w:w="0" w:type="dxa"/>
            <w:left w:w="0" w:type="dxa"/>
            <w:bottom w:w="0" w:type="dxa"/>
            <w:right w:w="0" w:type="dxa"/>
          </w:tblCellMar>
        </w:tblPrEx>
        <w:trPr>
          <w:trHeight w:val="1583" w:hRule="atLeast"/>
          <w:jc w:val="center"/>
        </w:trPr>
        <w:tc>
          <w:tcPr>
            <w:tcW w:w="689" w:type="pct"/>
            <w:tcBorders>
              <w:top w:val="nil"/>
              <w:left w:val="nil"/>
              <w:bottom w:val="nil"/>
              <w:right w:val="nil"/>
            </w:tcBorders>
            <w:shd w:val="clear" w:color="auto" w:fill="F1F1F1" w:themeFill="background1" w:themeFillShade="F2"/>
            <w:tcMar>
              <w:top w:w="9" w:type="dxa"/>
              <w:left w:w="9" w:type="dxa"/>
              <w:bottom w:w="0" w:type="dxa"/>
              <w:right w:w="9" w:type="dxa"/>
            </w:tcMar>
            <w:vAlign w:val="center"/>
          </w:tcPr>
          <w:p w14:paraId="3997A5B9">
            <w:pPr>
              <w:adjustRightInd w:val="0"/>
              <w:snapToGrid w:val="0"/>
              <w:spacing w:after="156" w:afterLines="50" w:line="240" w:lineRule="auto"/>
              <w:ind w:firstLine="0" w:firstLineChars="0"/>
              <w:jc w:val="center"/>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b/>
                <w:bCs/>
                <w:color w:val="000000" w:themeColor="text1"/>
                <w:spacing w:val="15"/>
                <w:kern w:val="28"/>
                <w:sz w:val="24"/>
                <w:szCs w:val="32"/>
                <w14:textFill>
                  <w14:solidFill>
                    <w14:schemeClr w14:val="tx1"/>
                  </w14:solidFill>
                </w14:textFill>
              </w:rPr>
              <w:t>倾向评分分析</w:t>
            </w:r>
          </w:p>
        </w:tc>
        <w:tc>
          <w:tcPr>
            <w:tcW w:w="1224" w:type="pct"/>
            <w:tcBorders>
              <w:top w:val="nil"/>
              <w:left w:val="nil"/>
              <w:bottom w:val="nil"/>
              <w:right w:val="single" w:color="FFFFFF" w:themeColor="background1" w:sz="4" w:space="0"/>
            </w:tcBorders>
            <w:shd w:val="clear" w:color="auto" w:fill="F1F1F1" w:themeFill="background1" w:themeFillShade="F2"/>
            <w:tcMar>
              <w:top w:w="9" w:type="dxa"/>
              <w:left w:w="9" w:type="dxa"/>
              <w:bottom w:w="0" w:type="dxa"/>
              <w:right w:w="9" w:type="dxa"/>
            </w:tcMar>
          </w:tcPr>
          <w:p w14:paraId="44BEE6A3">
            <w:pPr>
              <w:adjustRightInd w:val="0"/>
              <w:snapToGrid w:val="0"/>
              <w:spacing w:after="156" w:afterLines="50" w:line="240" w:lineRule="auto"/>
              <w:ind w:left="105" w:leftChars="50" w:right="-105" w:righ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color w:val="000000" w:themeColor="text1"/>
                <w:spacing w:val="15"/>
                <w:kern w:val="28"/>
                <w:sz w:val="24"/>
                <w:szCs w:val="32"/>
                <w14:textFill>
                  <w14:solidFill>
                    <w14:schemeClr w14:val="tx1"/>
                  </w14:solidFill>
                </w14:textFill>
              </w:rPr>
              <w:t xml:space="preserve">适用于含有多个结局变量，或暴露因素常见而结局事件罕见的研究 </w:t>
            </w:r>
          </w:p>
        </w:tc>
        <w:tc>
          <w:tcPr>
            <w:tcW w:w="1378" w:type="pct"/>
            <w:tcBorders>
              <w:top w:val="nil"/>
              <w:left w:val="single" w:color="FFFFFF" w:themeColor="background1" w:sz="4" w:space="0"/>
              <w:bottom w:val="nil"/>
              <w:right w:val="single" w:color="FFFFFF" w:themeColor="background1" w:sz="4" w:space="0"/>
            </w:tcBorders>
            <w:shd w:val="clear" w:color="auto" w:fill="F1F1F1" w:themeFill="background1" w:themeFillShade="F2"/>
            <w:tcMar>
              <w:top w:w="9" w:type="dxa"/>
              <w:left w:w="9" w:type="dxa"/>
              <w:bottom w:w="0" w:type="dxa"/>
              <w:right w:w="9" w:type="dxa"/>
            </w:tcMar>
            <w:vAlign w:val="center"/>
          </w:tcPr>
          <w:p w14:paraId="0C8BFFD8">
            <w:pPr>
              <w:adjustRightInd w:val="0"/>
              <w:snapToGrid w:val="0"/>
              <w:spacing w:after="156" w:afterLines="50" w:line="240" w:lineRule="auto"/>
              <w:ind w:left="105" w:lef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观察性研究中常用的控制混杂因素的方法，可同时调整多种混杂因素进行事后随机化</w:t>
            </w:r>
          </w:p>
        </w:tc>
        <w:tc>
          <w:tcPr>
            <w:tcW w:w="1709" w:type="pct"/>
            <w:tcBorders>
              <w:top w:val="nil"/>
              <w:left w:val="single" w:color="FFFFFF" w:themeColor="background1" w:sz="4" w:space="0"/>
              <w:bottom w:val="nil"/>
              <w:right w:val="nil"/>
            </w:tcBorders>
            <w:shd w:val="clear" w:color="auto" w:fill="F1F1F1" w:themeFill="background1" w:themeFillShade="F2"/>
            <w:tcMar>
              <w:top w:w="9" w:type="dxa"/>
              <w:left w:w="9" w:type="dxa"/>
              <w:bottom w:w="0" w:type="dxa"/>
              <w:right w:w="9" w:type="dxa"/>
            </w:tcMar>
            <w:vAlign w:val="center"/>
          </w:tcPr>
          <w:p w14:paraId="682A4325">
            <w:pPr>
              <w:adjustRightInd w:val="0"/>
              <w:snapToGrid w:val="0"/>
              <w:spacing w:after="156" w:afterLines="50" w:line="240" w:lineRule="auto"/>
              <w:ind w:left="105" w:lef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不能控制未知未测的混杂因素，匹配基于特定假设，匹配后减少样本量，降低估计精度和原人群代表性</w:t>
            </w:r>
          </w:p>
        </w:tc>
      </w:tr>
      <w:tr w14:paraId="3A404CE0">
        <w:tblPrEx>
          <w:tblCellMar>
            <w:top w:w="0" w:type="dxa"/>
            <w:left w:w="0" w:type="dxa"/>
            <w:bottom w:w="0" w:type="dxa"/>
            <w:right w:w="0" w:type="dxa"/>
          </w:tblCellMar>
        </w:tblPrEx>
        <w:trPr>
          <w:trHeight w:val="612" w:hRule="atLeast"/>
          <w:jc w:val="center"/>
        </w:trPr>
        <w:tc>
          <w:tcPr>
            <w:tcW w:w="689" w:type="pct"/>
            <w:tcBorders>
              <w:top w:val="nil"/>
              <w:left w:val="nil"/>
              <w:bottom w:val="nil"/>
              <w:right w:val="nil"/>
            </w:tcBorders>
            <w:tcMar>
              <w:top w:w="9" w:type="dxa"/>
              <w:left w:w="9" w:type="dxa"/>
              <w:bottom w:w="0" w:type="dxa"/>
              <w:right w:w="9" w:type="dxa"/>
            </w:tcMar>
            <w:vAlign w:val="center"/>
          </w:tcPr>
          <w:p w14:paraId="63E04026">
            <w:pPr>
              <w:adjustRightInd w:val="0"/>
              <w:snapToGrid w:val="0"/>
              <w:spacing w:after="156" w:afterLines="50" w:line="240" w:lineRule="auto"/>
              <w:ind w:firstLine="0" w:firstLineChars="0"/>
              <w:jc w:val="center"/>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b/>
                <w:bCs/>
                <w:color w:val="000000" w:themeColor="text1"/>
                <w:spacing w:val="15"/>
                <w:kern w:val="28"/>
                <w:sz w:val="24"/>
                <w:szCs w:val="32"/>
                <w14:textFill>
                  <w14:solidFill>
                    <w14:schemeClr w14:val="tx1"/>
                  </w14:solidFill>
                </w14:textFill>
              </w:rPr>
              <w:t>工具变量分析</w:t>
            </w:r>
          </w:p>
        </w:tc>
        <w:tc>
          <w:tcPr>
            <w:tcW w:w="1224" w:type="pct"/>
            <w:tcBorders>
              <w:top w:val="nil"/>
              <w:left w:val="nil"/>
              <w:bottom w:val="nil"/>
              <w:right w:val="single" w:color="FFFFFF" w:themeColor="background1" w:sz="4" w:space="0"/>
            </w:tcBorders>
            <w:tcMar>
              <w:top w:w="9" w:type="dxa"/>
              <w:left w:w="9" w:type="dxa"/>
              <w:bottom w:w="0" w:type="dxa"/>
              <w:right w:w="9" w:type="dxa"/>
            </w:tcMar>
          </w:tcPr>
          <w:p w14:paraId="79DA1375">
            <w:pPr>
              <w:adjustRightInd w:val="0"/>
              <w:snapToGrid w:val="0"/>
              <w:spacing w:after="156" w:afterLines="50" w:line="240" w:lineRule="auto"/>
              <w:ind w:left="105" w:leftChars="50" w:right="-105" w:righ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color w:val="000000" w:themeColor="text1"/>
                <w:spacing w:val="15"/>
                <w:kern w:val="28"/>
                <w:sz w:val="24"/>
                <w:szCs w:val="32"/>
                <w14:textFill>
                  <w14:solidFill>
                    <w14:schemeClr w14:val="tx1"/>
                  </w14:solidFill>
                </w14:textFill>
              </w:rPr>
              <w:t>存在未知未测的混杂因素，且具有可用的工具变量</w:t>
            </w:r>
          </w:p>
        </w:tc>
        <w:tc>
          <w:tcPr>
            <w:tcW w:w="1378" w:type="pct"/>
            <w:tcBorders>
              <w:top w:val="nil"/>
              <w:left w:val="single" w:color="FFFFFF" w:themeColor="background1" w:sz="4" w:space="0"/>
              <w:bottom w:val="nil"/>
              <w:right w:val="single" w:color="FFFFFF" w:themeColor="background1" w:sz="4" w:space="0"/>
            </w:tcBorders>
            <w:tcMar>
              <w:top w:w="9" w:type="dxa"/>
              <w:left w:w="9" w:type="dxa"/>
              <w:bottom w:w="0" w:type="dxa"/>
              <w:right w:w="9" w:type="dxa"/>
            </w:tcMar>
          </w:tcPr>
          <w:p w14:paraId="61A06EC4">
            <w:pPr>
              <w:adjustRightInd w:val="0"/>
              <w:snapToGrid w:val="0"/>
              <w:spacing w:after="156" w:afterLines="50" w:line="240" w:lineRule="auto"/>
              <w:ind w:left="105" w:lef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能控制未知混杂因素如患者健康意识对不良反应评价结果的影响</w:t>
            </w:r>
          </w:p>
        </w:tc>
        <w:tc>
          <w:tcPr>
            <w:tcW w:w="1709" w:type="pct"/>
            <w:tcBorders>
              <w:top w:val="nil"/>
              <w:left w:val="single" w:color="FFFFFF" w:themeColor="background1" w:sz="4" w:space="0"/>
              <w:bottom w:val="nil"/>
              <w:right w:val="nil"/>
            </w:tcBorders>
            <w:tcMar>
              <w:top w:w="9" w:type="dxa"/>
              <w:left w:w="9" w:type="dxa"/>
              <w:bottom w:w="0" w:type="dxa"/>
              <w:right w:w="9" w:type="dxa"/>
            </w:tcMar>
            <w:vAlign w:val="center"/>
          </w:tcPr>
          <w:p w14:paraId="46CBDC30">
            <w:pPr>
              <w:adjustRightInd w:val="0"/>
              <w:snapToGrid w:val="0"/>
              <w:spacing w:after="156" w:afterLines="50" w:line="240" w:lineRule="auto"/>
              <w:ind w:left="105" w:leftChars="50" w:firstLine="0" w:firstLineChars="0"/>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难以找到合适的工具变量，使用不合适的工具变量会带来更严重的估计问题</w:t>
            </w:r>
            <w:r>
              <w:rPr>
                <w:rFonts w:ascii="Times New Roman" w:hAnsi="Times New Roman" w:eastAsia="仿宋"/>
                <w:color w:val="000000" w:themeColor="text1"/>
                <w:spacing w:val="15"/>
                <w:kern w:val="28"/>
                <w:sz w:val="24"/>
                <w:szCs w:val="32"/>
                <w14:textFill>
                  <w14:solidFill>
                    <w14:schemeClr w14:val="tx1"/>
                  </w14:solidFill>
                </w14:textFill>
              </w:rPr>
              <w:t xml:space="preserve"> </w:t>
            </w:r>
          </w:p>
        </w:tc>
      </w:tr>
      <w:tr w14:paraId="4B226501">
        <w:tblPrEx>
          <w:tblCellMar>
            <w:top w:w="0" w:type="dxa"/>
            <w:left w:w="0" w:type="dxa"/>
            <w:bottom w:w="0" w:type="dxa"/>
            <w:right w:w="0" w:type="dxa"/>
          </w:tblCellMar>
        </w:tblPrEx>
        <w:trPr>
          <w:trHeight w:val="417" w:hRule="atLeast"/>
          <w:jc w:val="center"/>
        </w:trPr>
        <w:tc>
          <w:tcPr>
            <w:tcW w:w="689" w:type="pct"/>
            <w:tcBorders>
              <w:top w:val="nil"/>
              <w:left w:val="nil"/>
              <w:bottom w:val="nil"/>
              <w:right w:val="nil"/>
            </w:tcBorders>
            <w:shd w:val="clear" w:color="auto" w:fill="F1F1F1" w:themeFill="background1" w:themeFillShade="F2"/>
            <w:tcMar>
              <w:top w:w="9" w:type="dxa"/>
              <w:left w:w="9" w:type="dxa"/>
              <w:bottom w:w="0" w:type="dxa"/>
              <w:right w:w="9" w:type="dxa"/>
            </w:tcMar>
            <w:vAlign w:val="center"/>
          </w:tcPr>
          <w:p w14:paraId="574ECDA2">
            <w:pPr>
              <w:adjustRightInd w:val="0"/>
              <w:snapToGrid w:val="0"/>
              <w:spacing w:after="156" w:afterLines="50" w:line="240" w:lineRule="auto"/>
              <w:ind w:firstLine="0" w:firstLineChars="0"/>
              <w:jc w:val="center"/>
              <w:rPr>
                <w:rFonts w:ascii="Times New Roman" w:hAnsi="Times New Roman" w:eastAsia="仿宋"/>
                <w:b/>
                <w:bCs/>
                <w:color w:val="000000" w:themeColor="text1"/>
                <w:spacing w:val="15"/>
                <w:kern w:val="28"/>
                <w:sz w:val="24"/>
                <w:szCs w:val="32"/>
                <w14:textFill>
                  <w14:solidFill>
                    <w14:schemeClr w14:val="tx1"/>
                  </w14:solidFill>
                </w14:textFill>
              </w:rPr>
            </w:pPr>
            <w:r>
              <w:rPr>
                <w:rFonts w:ascii="Times New Roman" w:hAnsi="Times New Roman" w:eastAsia="仿宋"/>
                <w:b/>
                <w:bCs/>
                <w:color w:val="000000" w:themeColor="text1"/>
                <w:spacing w:val="15"/>
                <w:kern w:val="28"/>
                <w:sz w:val="24"/>
                <w:szCs w:val="32"/>
                <w14:textFill>
                  <w14:solidFill>
                    <w14:schemeClr w14:val="tx1"/>
                  </w14:solidFill>
                </w14:textFill>
              </w:rPr>
              <w:t>G</w:t>
            </w:r>
            <w:r>
              <w:rPr>
                <w:rFonts w:hint="eastAsia" w:ascii="Times New Roman" w:hAnsi="Times New Roman" w:eastAsia="仿宋"/>
                <w:b/>
                <w:bCs/>
                <w:color w:val="000000" w:themeColor="text1"/>
                <w:spacing w:val="15"/>
                <w:kern w:val="28"/>
                <w:sz w:val="24"/>
                <w:szCs w:val="32"/>
                <w14:textFill>
                  <w14:solidFill>
                    <w14:schemeClr w14:val="tx1"/>
                  </w14:solidFill>
                </w14:textFill>
              </w:rPr>
              <w:t>方法</w:t>
            </w:r>
          </w:p>
        </w:tc>
        <w:tc>
          <w:tcPr>
            <w:tcW w:w="1224" w:type="pct"/>
            <w:tcBorders>
              <w:top w:val="nil"/>
              <w:left w:val="nil"/>
              <w:bottom w:val="nil"/>
              <w:right w:val="single" w:color="FFFFFF" w:themeColor="background1" w:sz="4" w:space="0"/>
            </w:tcBorders>
            <w:shd w:val="clear" w:color="auto" w:fill="F1F1F1" w:themeFill="background1" w:themeFillShade="F2"/>
            <w:tcMar>
              <w:top w:w="9" w:type="dxa"/>
              <w:left w:w="9" w:type="dxa"/>
              <w:bottom w:w="0" w:type="dxa"/>
              <w:right w:w="9" w:type="dxa"/>
            </w:tcMar>
          </w:tcPr>
          <w:p w14:paraId="4380CC5A">
            <w:pPr>
              <w:adjustRightInd w:val="0"/>
              <w:snapToGrid w:val="0"/>
              <w:spacing w:after="156" w:afterLines="50" w:line="240" w:lineRule="auto"/>
              <w:ind w:left="105" w:leftChars="50" w:right="-105" w:righ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color w:val="000000" w:themeColor="text1"/>
                <w:spacing w:val="15"/>
                <w:kern w:val="28"/>
                <w:sz w:val="24"/>
                <w:szCs w:val="32"/>
                <w14:textFill>
                  <w14:solidFill>
                    <w14:schemeClr w14:val="tx1"/>
                  </w14:solidFill>
                </w14:textFill>
              </w:rPr>
              <w:t>存在时间依赖混杂与时间依赖暴露的观察性研究</w:t>
            </w:r>
          </w:p>
        </w:tc>
        <w:tc>
          <w:tcPr>
            <w:tcW w:w="1378" w:type="pct"/>
            <w:tcBorders>
              <w:top w:val="nil"/>
              <w:left w:val="single" w:color="FFFFFF" w:themeColor="background1" w:sz="4" w:space="0"/>
              <w:bottom w:val="nil"/>
              <w:right w:val="single" w:color="FFFFFF" w:themeColor="background1" w:sz="4" w:space="0"/>
            </w:tcBorders>
            <w:shd w:val="clear" w:color="auto" w:fill="F1F1F1" w:themeFill="background1" w:themeFillShade="F2"/>
            <w:tcMar>
              <w:top w:w="9" w:type="dxa"/>
              <w:left w:w="9" w:type="dxa"/>
              <w:bottom w:w="0" w:type="dxa"/>
              <w:right w:w="9" w:type="dxa"/>
            </w:tcMar>
            <w:vAlign w:val="center"/>
          </w:tcPr>
          <w:p w14:paraId="601DA057">
            <w:pPr>
              <w:adjustRightInd w:val="0"/>
              <w:snapToGrid w:val="0"/>
              <w:spacing w:after="156" w:afterLines="50" w:line="240" w:lineRule="auto"/>
              <w:ind w:left="105" w:lef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可处理时依性暴露和时依性混杂随时间变化且相互影响引入的时依性混杂偏倚</w:t>
            </w:r>
          </w:p>
        </w:tc>
        <w:tc>
          <w:tcPr>
            <w:tcW w:w="1709" w:type="pct"/>
            <w:tcBorders>
              <w:top w:val="nil"/>
              <w:left w:val="single" w:color="FFFFFF" w:themeColor="background1" w:sz="4" w:space="0"/>
              <w:bottom w:val="nil"/>
              <w:right w:val="nil"/>
            </w:tcBorders>
            <w:shd w:val="clear" w:color="auto" w:fill="F1F1F1" w:themeFill="background1" w:themeFillShade="F2"/>
            <w:tcMar>
              <w:top w:w="9" w:type="dxa"/>
              <w:left w:w="9" w:type="dxa"/>
              <w:bottom w:w="0" w:type="dxa"/>
              <w:right w:w="9" w:type="dxa"/>
            </w:tcMar>
            <w:vAlign w:val="center"/>
          </w:tcPr>
          <w:p w14:paraId="7A5BA49D">
            <w:pPr>
              <w:adjustRightInd w:val="0"/>
              <w:snapToGrid w:val="0"/>
              <w:spacing w:after="156" w:afterLines="50" w:line="240" w:lineRule="auto"/>
              <w:ind w:left="105" w:lef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不能控制未知未观测的混杂因素，原理操作较为复杂</w:t>
            </w:r>
          </w:p>
        </w:tc>
      </w:tr>
      <w:tr w14:paraId="07F60590">
        <w:tblPrEx>
          <w:tblCellMar>
            <w:top w:w="0" w:type="dxa"/>
            <w:left w:w="0" w:type="dxa"/>
            <w:bottom w:w="0" w:type="dxa"/>
            <w:right w:w="0" w:type="dxa"/>
          </w:tblCellMar>
        </w:tblPrEx>
        <w:trPr>
          <w:trHeight w:val="1097" w:hRule="atLeast"/>
          <w:jc w:val="center"/>
        </w:trPr>
        <w:tc>
          <w:tcPr>
            <w:tcW w:w="689" w:type="pct"/>
            <w:tcBorders>
              <w:top w:val="nil"/>
              <w:left w:val="nil"/>
              <w:bottom w:val="single" w:color="000000" w:sz="8" w:space="0"/>
              <w:right w:val="nil"/>
            </w:tcBorders>
            <w:tcMar>
              <w:top w:w="9" w:type="dxa"/>
              <w:left w:w="9" w:type="dxa"/>
              <w:bottom w:w="0" w:type="dxa"/>
              <w:right w:w="9" w:type="dxa"/>
            </w:tcMar>
            <w:vAlign w:val="center"/>
          </w:tcPr>
          <w:p w14:paraId="67A851E4">
            <w:pPr>
              <w:adjustRightInd w:val="0"/>
              <w:snapToGrid w:val="0"/>
              <w:spacing w:after="156" w:afterLines="50" w:line="240" w:lineRule="auto"/>
              <w:ind w:firstLine="0" w:firstLineChars="0"/>
              <w:jc w:val="center"/>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b/>
                <w:bCs/>
                <w:color w:val="000000" w:themeColor="text1"/>
                <w:spacing w:val="15"/>
                <w:kern w:val="28"/>
                <w:sz w:val="24"/>
                <w:szCs w:val="32"/>
                <w14:textFill>
                  <w14:solidFill>
                    <w14:schemeClr w14:val="tx1"/>
                  </w14:solidFill>
                </w14:textFill>
              </w:rPr>
              <w:t>结构方程模型</w:t>
            </w:r>
          </w:p>
        </w:tc>
        <w:tc>
          <w:tcPr>
            <w:tcW w:w="1224" w:type="pct"/>
            <w:tcBorders>
              <w:top w:val="nil"/>
              <w:left w:val="nil"/>
              <w:bottom w:val="single" w:color="000000" w:sz="8" w:space="0"/>
              <w:right w:val="single" w:color="FFFFFF" w:themeColor="background1" w:sz="4" w:space="0"/>
            </w:tcBorders>
            <w:tcMar>
              <w:top w:w="9" w:type="dxa"/>
              <w:left w:w="9" w:type="dxa"/>
              <w:bottom w:w="0" w:type="dxa"/>
              <w:right w:w="9" w:type="dxa"/>
            </w:tcMar>
          </w:tcPr>
          <w:p w14:paraId="1B49E447">
            <w:pPr>
              <w:adjustRightInd w:val="0"/>
              <w:snapToGrid w:val="0"/>
              <w:spacing w:after="156" w:afterLines="50" w:line="240" w:lineRule="auto"/>
              <w:ind w:left="105" w:leftChars="50" w:right="-105" w:rightChars="-50" w:firstLine="0" w:firstLineChars="0"/>
              <w:jc w:val="left"/>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color w:val="000000" w:themeColor="text1"/>
                <w:spacing w:val="15"/>
                <w:kern w:val="28"/>
                <w:sz w:val="24"/>
                <w:szCs w:val="32"/>
                <w14:textFill>
                  <w14:solidFill>
                    <w14:schemeClr w14:val="tx1"/>
                  </w14:solidFill>
                </w14:textFill>
              </w:rPr>
              <w:t>存在明确的理论假设及潜变量结构，且样本量充足</w:t>
            </w:r>
          </w:p>
        </w:tc>
        <w:tc>
          <w:tcPr>
            <w:tcW w:w="1378" w:type="pct"/>
            <w:tcBorders>
              <w:top w:val="nil"/>
              <w:left w:val="single" w:color="FFFFFF" w:themeColor="background1" w:sz="4" w:space="0"/>
              <w:bottom w:val="single" w:color="000000" w:sz="8" w:space="0"/>
              <w:right w:val="single" w:color="FFFFFF" w:themeColor="background1" w:sz="4" w:space="0"/>
            </w:tcBorders>
            <w:tcMar>
              <w:top w:w="9" w:type="dxa"/>
              <w:left w:w="9" w:type="dxa"/>
              <w:bottom w:w="0" w:type="dxa"/>
              <w:right w:w="9" w:type="dxa"/>
            </w:tcMar>
          </w:tcPr>
          <w:p w14:paraId="30A1B778">
            <w:pPr>
              <w:adjustRightInd w:val="0"/>
              <w:snapToGrid w:val="0"/>
              <w:spacing w:after="156" w:afterLines="50" w:line="240" w:lineRule="auto"/>
              <w:ind w:left="105" w:leftChars="50" w:firstLine="0" w:firstLineChars="0"/>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能研究变量间的直接和间接作用，特别适用于高维自相关纵向数据</w:t>
            </w:r>
          </w:p>
        </w:tc>
        <w:tc>
          <w:tcPr>
            <w:tcW w:w="1709" w:type="pct"/>
            <w:tcBorders>
              <w:top w:val="nil"/>
              <w:left w:val="single" w:color="FFFFFF" w:themeColor="background1" w:sz="4" w:space="0"/>
              <w:bottom w:val="single" w:color="000000" w:sz="8" w:space="0"/>
              <w:right w:val="nil"/>
            </w:tcBorders>
            <w:tcMar>
              <w:top w:w="9" w:type="dxa"/>
              <w:left w:w="9" w:type="dxa"/>
              <w:bottom w:w="0" w:type="dxa"/>
              <w:right w:w="9" w:type="dxa"/>
            </w:tcMar>
          </w:tcPr>
          <w:p w14:paraId="27338A91">
            <w:pPr>
              <w:adjustRightInd w:val="0"/>
              <w:snapToGrid w:val="0"/>
              <w:spacing w:after="156" w:afterLines="50" w:line="240" w:lineRule="auto"/>
              <w:ind w:left="105" w:leftChars="50" w:firstLine="0" w:firstLineChars="0"/>
              <w:rPr>
                <w:rFonts w:ascii="Times New Roman" w:hAnsi="Times New Roman" w:eastAsia="仿宋"/>
                <w:color w:val="000000" w:themeColor="text1"/>
                <w:spacing w:val="15"/>
                <w:kern w:val="28"/>
                <w:sz w:val="24"/>
                <w:szCs w:val="32"/>
                <w14:textFill>
                  <w14:solidFill>
                    <w14:schemeClr w14:val="tx1"/>
                  </w14:solidFill>
                </w14:textFill>
              </w:rPr>
            </w:pPr>
            <w:r>
              <w:rPr>
                <w:rFonts w:hint="eastAsia" w:ascii="Times New Roman" w:hAnsi="Times New Roman" w:eastAsia="仿宋"/>
                <w:sz w:val="24"/>
                <w:szCs w:val="32"/>
              </w:rPr>
              <w:t>较复杂，对样本量的要求较高，容易产生过拟合的现象，且在解释上存在难度</w:t>
            </w:r>
          </w:p>
        </w:tc>
      </w:tr>
    </w:tbl>
    <w:p w14:paraId="53FC66D7">
      <w:pPr>
        <w:adjustRightInd w:val="0"/>
        <w:snapToGrid w:val="0"/>
        <w:spacing w:line="240" w:lineRule="auto"/>
        <w:ind w:firstLine="560"/>
        <w:rPr>
          <w:rFonts w:ascii="Times New Roman" w:hAnsi="Times New Roman" w:eastAsia="仿宋_GB2312"/>
          <w:sz w:val="28"/>
          <w:szCs w:val="28"/>
        </w:rPr>
      </w:pPr>
    </w:p>
    <w:p w14:paraId="7675ADD7">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近年来，针对真实世界数据的统计方法发展迅速，新方法不断涌现，例如针对罕见事件的贝叶斯模型，以及面向多中心分布式数据的联邦学习方法等。新方法为主动监测安全性评价提供了更多分析工具，在使用各类分析方法时，应充分评估并说明其与数据结构和研究问题的适用性。</w:t>
      </w:r>
    </w:p>
    <w:p w14:paraId="2EE49481">
      <w:pPr>
        <w:pStyle w:val="3"/>
        <w:overflowPunct/>
        <w:adjustRightInd/>
        <w:snapToGrid/>
        <w:spacing w:after="0" w:line="540" w:lineRule="exact"/>
        <w:ind w:left="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缺失值处理</w:t>
      </w:r>
    </w:p>
    <w:p w14:paraId="58EFB358">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基于真实世界数据（特别是医院电子病历等常规诊疗形成的数据）开展的研究中，缺失值普遍存在，可能对研究结论产生重大影响。研究者应系统评估并处理缺失数据，包括：①明确存在缺失值的变量及缺失比例；②根据变量的缺失机制（完全随机、随机、非随机）选择合适的填补方式；③采用不同填补方法进行敏感性分析，评估结果可靠性。</w:t>
      </w:r>
    </w:p>
    <w:p w14:paraId="624467B3">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常见的缺失值处理方式主要包括删除、填补。删除包括删除含缺失值的样本、删除含缺失值的变量及成对删除。其优点在于操作简便，但可能导致样本量大幅减少，并可能引入选择偏倚。填补则是利用辅助信息，为缺失值寻找替代值，以尽可能还原真实情况，填补的方法可分为单一填补和多重填补。单一填补原理简单，易于实施，但未考虑缺失值存在的潜在变异；多重填补则通过生成多个填补数据集，综合考虑缺失值的均值与变异，更为全面地反映其不确定性。常用的缺失填补方法见附2。</w:t>
      </w:r>
    </w:p>
    <w:p w14:paraId="2E265AE0">
      <w:pPr>
        <w:pStyle w:val="3"/>
        <w:overflowPunct/>
        <w:adjustRightInd/>
        <w:snapToGrid/>
        <w:spacing w:after="0" w:line="540" w:lineRule="exact"/>
        <w:ind w:left="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敏感性分析</w:t>
      </w:r>
    </w:p>
    <w:p w14:paraId="679B1E62">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在利用真实世界数据开展药品安全性评价研究时，研究者应通过敏感性分析全面评估潜在偏倚对于结果的影响。主要的敏感性分析方法包括定量偏倚评价和定性分析两类。</w:t>
      </w:r>
    </w:p>
    <w:p w14:paraId="76A5DEA7">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进行敏感性分析时，可考虑以下几个方面：①调整关键研究要素的定义，包括暴露/对照、结局及协变量的识别标准；②改变研究设计，如调整人群纳排标准、更换数据源等；③使用不同的统计分析方法，包括变更分析模型、调整模型参数或缺失值处理策略。另外，针对观察性研究中普遍存在的潜在未观测混杂，应采用E-value、阴性对照等方法评估其对效应估计的影响。</w:t>
      </w:r>
    </w:p>
    <w:p w14:paraId="1C6C1D99">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研究者应根据实际情况选择敏感性分析策略，例如当数据存在明显信息缺失时，应采用不同缺失值处理策略进行敏感性分析，评价缺失值影响。另外，对于重大安全性信号验证时，应从多个方面开展敏感性分析，全面评价当前结果的稳健性。研究者需明确说明开展各项敏感性分析的具体理由，并完整报告所有敏感性分析的结果。当敏感性分析结果与主分析结果不一致时，应深入探讨可能的原因，并在研究结论中审慎说明结果的适用范围及潜在不确定性。</w:t>
      </w:r>
    </w:p>
    <w:p w14:paraId="41338D76">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lang w:val="en-US" w:eastAsia="zh-CN"/>
        </w:rPr>
      </w:pPr>
    </w:p>
    <w:p w14:paraId="61C0A042">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附：1.常用混杂控制方法</w:t>
      </w:r>
    </w:p>
    <w:p w14:paraId="7CA18EC7">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2.缺失值填补方法</w:t>
      </w:r>
    </w:p>
    <w:p w14:paraId="38F9FD13">
      <w:pPr>
        <w:keepNext w:val="0"/>
        <w:keepLines w:val="0"/>
        <w:pageBreakBefore w:val="0"/>
        <w:widowControl w:val="0"/>
        <w:kinsoku/>
        <w:wordWrap/>
        <w:topLinePunct w:val="0"/>
        <w:autoSpaceDE/>
        <w:autoSpaceDN/>
        <w:bidi w:val="0"/>
        <w:adjustRightInd w:val="0"/>
        <w:snapToGrid w:val="0"/>
        <w:spacing w:line="540" w:lineRule="exact"/>
        <w:ind w:firstLine="56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3.词汇表</w:t>
      </w:r>
    </w:p>
    <w:p w14:paraId="04C933C9">
      <w:pPr>
        <w:adjustRightInd/>
        <w:snapToGrid w:val="0"/>
        <w:spacing w:line="540" w:lineRule="exact"/>
        <w:ind w:firstLine="0"/>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br w:type="page"/>
      </w:r>
    </w:p>
    <w:p w14:paraId="5D687439">
      <w:pPr>
        <w:pStyle w:val="68"/>
        <w:spacing w:line="360" w:lineRule="auto"/>
        <w:ind w:firstLine="0" w:firstLineChars="0"/>
        <w:rPr>
          <w:rFonts w:hint="eastAsia"/>
          <w:b w:val="0"/>
          <w:bCs w:val="0"/>
          <w:color w:val="auto"/>
        </w:rPr>
      </w:pPr>
      <w:bookmarkStart w:id="6" w:name="_Toc230856997"/>
      <w:r>
        <w:rPr>
          <w:rFonts w:hint="eastAsia"/>
          <w:b w:val="0"/>
          <w:bCs w:val="0"/>
          <w:color w:val="auto"/>
        </w:rPr>
        <w:t xml:space="preserve">附1 </w:t>
      </w:r>
    </w:p>
    <w:p w14:paraId="5961C218">
      <w:pPr>
        <w:pStyle w:val="68"/>
        <w:spacing w:line="360" w:lineRule="auto"/>
        <w:ind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常用混杂控制方法</w:t>
      </w:r>
      <w:bookmarkEnd w:id="6"/>
    </w:p>
    <w:p w14:paraId="2F6B1700">
      <w:pPr>
        <w:adjustRightInd w:val="0"/>
        <w:snapToGrid w:val="0"/>
        <w:spacing w:line="540" w:lineRule="exact"/>
        <w:ind w:firstLine="56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多变量广义线性回归方法</w:t>
      </w:r>
    </w:p>
    <w:p w14:paraId="61B842F4">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多变量广义线性回归方法是最常见的控制混杂因素的统计分析方法，但是在应用中需考虑一些关键因素，如模型的基本假设是否成立、变量的结构与分布是否满足模型要求、样本量或结局事件数是否满足模型中所设定个数参数的准确估计、自变量与因变量是否是服从线性关系等，同时，在具体的应用中，根据数据结构和结局变量类型等选择不同的模型，比如当数据存在层次结构时如多中心数据，应考虑选择多水平模型；当是重复测量数据时考虑广义线性混合模型及广义估计方程；依据结局变量的类型考虑选择多重线性回归、Logistic回归、Poisson回归、负二项回归和Cox比例风险回归等回归模型。其中Poisson回归、负二项回归适用于分析罕见事件。多变量广义线性回归不适用于分析混杂因素高维的数据，容易出现共线性的问题而导致结果估计有偏。</w:t>
      </w:r>
    </w:p>
    <w:p w14:paraId="403B0D48">
      <w:pPr>
        <w:adjustRightInd w:val="0"/>
        <w:snapToGrid w:val="0"/>
        <w:spacing w:line="540" w:lineRule="exact"/>
        <w:ind w:firstLine="56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倾向性评分</w:t>
      </w:r>
    </w:p>
    <w:p w14:paraId="24E3E41C">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倾向性评分分析（Propensity Score Analyzing）是最常见的控制观察性研究中混杂因素的方法，主要是针对含有多种协变量情况的混杂效应调整，用于均衡组间协变量的方法。</w:t>
      </w:r>
    </w:p>
    <w:p w14:paraId="6E842AB1">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常见的倾向性评分法包括倾向性评分分层法（Propensity Score Stratification/ Subclassification），倾向性评分匹配法（Propensity Score Matching, PSM），倾向性评分加权法（Propensity Score Weighting，PSW），以及将倾向性评分作为协变量纳入统计模型进行调整分析的方法。倾向性评分法的原理是通过计算出在给定协变量的条件下观察对象被分到暴露组的概率，将其作为倾向评分值，然后根据得出的倾向评分值作为匹配或分层的依据从而实现对观察对象的事后随机化。倾向性评分法常采用Logistic回归和机器学习方法计算倾向性评分值，在变量较多而样本量偏小或变量间存在多重共线性时，使用机器学习算法计算倾向性评分值产生的偏倚更小，结果更为稳定。值得注意的是，研究者若在药品上市后安全性评价中考虑使用倾向评分方法时，建议在制定研究方案或分析计划时，预先指明用于构建倾向评分模型的变量，避免因想获得“理想”或“预期”结果而反复调整倾向评分模型的现象。</w:t>
      </w:r>
    </w:p>
    <w:p w14:paraId="0BA9CCB1">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应用倾向性评分进行统计分析时，需同时报告倾向评分校正前和校正后的混杂因素在处理组和对照组分布情况，并考虑运用倾向评分分析方法对最终结果可能造成的影响。倾向性评分法尤其适用于含有多个结局变量或者当暴露因素常见而结局事件罕见的研究，但倾向评分方法仅能处理可观测到的混杂，对数据库中未采集的残余混杂引入的潜在影响无法消除，因此建议在具体分析中针对残余混杂开展敏感性分析，以论证研究中残余混杂对于主分析结论的影响。</w:t>
      </w:r>
    </w:p>
    <w:p w14:paraId="603DFB57">
      <w:pPr>
        <w:adjustRightInd w:val="0"/>
        <w:snapToGrid w:val="0"/>
        <w:spacing w:line="540" w:lineRule="exact"/>
        <w:ind w:firstLine="56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工具变量</w:t>
      </w:r>
    </w:p>
    <w:p w14:paraId="66DE6205">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基于上述多元回归方法和倾向性评分方法来控制混杂均存在一定的局限性——均不能对于未知、未测的混杂因素进行调整。而工具变量（Instrumental Variable）在分析中不涉及对具体的混杂因素/协变量的调整，因此能够控制未知、未测的混杂因素，进而能很好地估计出处理与结局的因果效应。当某变量与处理因素水平相关，且对结局变量的影响只能通过影响处理因素实现，同时又独立于暴露和结局的混杂因素，那么该变量可以称为工具变量，比如可以考虑将选择中成药上市时间或进入医保的时间等因素作为工具变量。确定工具变量后，通过对比工具变量对处理的影响效果和工具变量对结局的影响效果进而估计出暴露对结局的因果效应。此方法最大的难点在于找到合适的工具变量。</w:t>
      </w:r>
    </w:p>
    <w:p w14:paraId="5CABF08B">
      <w:pPr>
        <w:adjustRightInd w:val="0"/>
        <w:snapToGrid w:val="0"/>
        <w:spacing w:line="540" w:lineRule="exact"/>
        <w:ind w:firstLine="56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G方法</w:t>
      </w:r>
    </w:p>
    <w:p w14:paraId="77903C9A">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G方法是一类统计方法，主要包括G-formula，边际结构模型（Marginal Structural Model, MSM）和结构嵌套模型（Structural Nested Model, SNM）。这类方法除了能处理常规方法中的多维混杂外，还能够处理随时间变化的暴露和随时间变化协变量引起的时依混杂。如图2a中的处理因素A和混杂因素L均是时间独立性的变量，此时可以选择使用倾向评分方法和传统的多元回归分析法；但是图1b中的处理因素A和混杂因素L是时间依赖性变量，此时前述的混杂处理模型无法处理时依混杂，需选择使用G方法。G方法利用标准化、逆概率加权等方式，估计时序性反事实结局。例如MSM，通过计算时序累计暴露概率，模拟序贯随机试验，调整时依混杂，估计随时间发生变化的用药模式对于健康结局的影响。</w:t>
      </w:r>
    </w:p>
    <w:p w14:paraId="3E415D07">
      <w:pPr>
        <w:adjustRightInd w:val="0"/>
        <w:snapToGrid w:val="0"/>
        <w:spacing w:line="240" w:lineRule="auto"/>
        <w:ind w:firstLine="560"/>
        <w:rPr>
          <w:rFonts w:ascii="Times New Roman" w:hAnsi="Times New Roman" w:eastAsia="仿宋_GB2312"/>
          <w:sz w:val="28"/>
          <w:szCs w:val="28"/>
        </w:rPr>
      </w:pPr>
      <w:r>
        <w:rPr>
          <w:rFonts w:hint="eastAsia" w:ascii="Times New Roman" w:hAnsi="Times New Roman" w:eastAsia="仿宋_GB2312"/>
          <w:sz w:val="28"/>
          <w:szCs w:val="28"/>
        </w:rPr>
        <w:t xml:space="preserve"> </w:t>
      </w:r>
      <w:r>
        <w:rPr>
          <w:rFonts w:hint="eastAsia" w:ascii="Times New Roman" w:hAnsi="Times New Roman" w:eastAsia="仿宋"/>
          <w:sz w:val="32"/>
          <w:szCs w:val="32"/>
        </w:rPr>
        <w:drawing>
          <wp:inline distT="0" distB="0" distL="0" distR="0">
            <wp:extent cx="4645660" cy="1438910"/>
            <wp:effectExtent l="0" t="0" r="2540" b="8890"/>
            <wp:docPr id="419457518" name="图片 419457518" descr="图片包含 游戏机, 物体, 钟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57518" name="图片 419457518" descr="图片包含 游戏机, 物体, 钟表&#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45660" cy="1438910"/>
                    </a:xfrm>
                    <a:prstGeom prst="rect">
                      <a:avLst/>
                    </a:prstGeom>
                    <a:noFill/>
                  </pic:spPr>
                </pic:pic>
              </a:graphicData>
            </a:graphic>
          </wp:inline>
        </w:drawing>
      </w:r>
    </w:p>
    <w:p w14:paraId="4F8B9C70">
      <w:pPr>
        <w:adjustRightInd w:val="0"/>
        <w:snapToGrid w:val="0"/>
        <w:spacing w:line="600" w:lineRule="exact"/>
        <w:ind w:firstLine="48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图2 处理因素、混杂因素及研究结局因果关系示意图</w:t>
      </w:r>
    </w:p>
    <w:p w14:paraId="2EC1F668">
      <w:pPr>
        <w:adjustRightInd w:val="0"/>
        <w:snapToGrid w:val="0"/>
        <w:spacing w:line="600" w:lineRule="exact"/>
        <w:ind w:firstLine="480"/>
        <w:jc w:val="center"/>
        <w:rPr>
          <w:rFonts w:hint="default" w:ascii="Times New Roman" w:hAnsi="Times New Roman" w:eastAsia="仿宋" w:cs="Times New Roman"/>
          <w:sz w:val="28"/>
          <w:szCs w:val="28"/>
        </w:rPr>
      </w:pPr>
    </w:p>
    <w:p w14:paraId="26B7EB6C">
      <w:pPr>
        <w:adjustRightInd w:val="0"/>
        <w:snapToGrid w:val="0"/>
        <w:spacing w:line="540" w:lineRule="exact"/>
        <w:ind w:firstLine="56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结构方程模型</w:t>
      </w:r>
    </w:p>
    <w:p w14:paraId="18A6254F">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因结构方程模型（Structural Equation Modeling，SEM）能解决传统的回归模型无法分析原因变量对结果变量的间接效应问题而被广泛使用。结构方程模型通过将结构模型和测量模型结合起来进行统计分析。结构模型反映的是潜变量（无法直接观测的指标）之间因果关系；而测量模型反映的是观测指标与潜变量之间关系。传统的多变量回归难以有效地同时研究多指标和多变量之间的复杂关系。结构方程模型又称因果关系模型，在医学研究领域主要应用于验证某种理论假设的结构是否成立，或分析各个潜变量之间的因果关系、间接效应的因果关系等。</w:t>
      </w:r>
    </w:p>
    <w:p w14:paraId="78F995CB">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作为一种评估和验证因果关系的模型，结构方程模型可适用于多种情况，如在分析其他混杂因素与使用药品之间的关联时用到的中介效应模型；在处理不可测量因素对药品安全性的影响时；在分析使用药品对多个不良结局的影响时。</w:t>
      </w:r>
    </w:p>
    <w:p w14:paraId="12294240">
      <w:pPr>
        <w:adjustRightInd/>
        <w:snapToGrid/>
        <w:spacing w:line="240" w:lineRule="auto"/>
        <w:ind w:firstLine="0"/>
        <w:rPr>
          <w:rFonts w:ascii="Times New Roman" w:hAnsi="Times New Roman" w:eastAsia="仿宋_GB2312"/>
          <w:sz w:val="28"/>
          <w:szCs w:val="28"/>
        </w:rPr>
      </w:pPr>
      <w:r>
        <w:rPr>
          <w:rFonts w:ascii="Times New Roman" w:hAnsi="Times New Roman" w:eastAsia="仿宋_GB2312"/>
          <w:sz w:val="28"/>
          <w:szCs w:val="28"/>
        </w:rPr>
        <w:br w:type="page"/>
      </w:r>
    </w:p>
    <w:p w14:paraId="062725E4">
      <w:pPr>
        <w:pStyle w:val="68"/>
        <w:spacing w:line="360" w:lineRule="auto"/>
        <w:ind w:firstLine="0" w:firstLineChars="0"/>
        <w:rPr>
          <w:rFonts w:hint="eastAsia"/>
          <w:b w:val="0"/>
          <w:bCs w:val="0"/>
          <w:color w:val="auto"/>
        </w:rPr>
      </w:pPr>
      <w:bookmarkStart w:id="7" w:name="_Toc230856998"/>
      <w:r>
        <w:rPr>
          <w:rFonts w:hint="eastAsia"/>
          <w:b w:val="0"/>
          <w:bCs w:val="0"/>
          <w:color w:val="auto"/>
        </w:rPr>
        <w:t xml:space="preserve">附2 </w:t>
      </w:r>
    </w:p>
    <w:p w14:paraId="2E78380F">
      <w:pPr>
        <w:pStyle w:val="68"/>
        <w:spacing w:line="360" w:lineRule="auto"/>
        <w:ind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缺失值填补方法</w:t>
      </w:r>
      <w:bookmarkEnd w:id="7"/>
    </w:p>
    <w:p w14:paraId="4BAAF987">
      <w:pPr>
        <w:adjustRightInd w:val="0"/>
        <w:snapToGrid w:val="0"/>
        <w:spacing w:line="540" w:lineRule="exact"/>
        <w:ind w:firstLine="56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单一填补法</w:t>
      </w:r>
    </w:p>
    <w:p w14:paraId="3BBDF273">
      <w:pPr>
        <w:adjustRightInd w:val="0"/>
        <w:snapToGrid w:val="0"/>
        <w:spacing w:line="540" w:lineRule="exact"/>
        <w:ind w:firstLine="5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单一填补法（Single Imputation）是给每一个缺失值构造一个替代值，进而对填补后的数据集使用针对完整数据集分析的方法进行分析。常用的单一填补方法有：非条件均值填补（Unconditional Mean Imputation）、条件均值填补（Conditional Mean Imputation）、演绎填补（Deducive Imputation）、回归填补（Regression Imputation）、最近邻法填补（Nearest Neighbor Imputation）、热卡填补（Hot Deck Imputation）和冷卡填补（Cold Deck Imputation）。</w:t>
      </w:r>
    </w:p>
    <w:p w14:paraId="56388D66">
      <w:pPr>
        <w:adjustRightInd w:val="0"/>
        <w:snapToGrid w:val="0"/>
        <w:spacing w:line="540" w:lineRule="exact"/>
        <w:ind w:firstLine="56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多重填补</w:t>
      </w:r>
      <w:r>
        <w:rPr>
          <w:rFonts w:hint="eastAsia" w:ascii="Times New Roman" w:hAnsi="Times New Roman" w:eastAsia="仿宋" w:cs="Times New Roman"/>
          <w:sz w:val="32"/>
          <w:szCs w:val="32"/>
          <w:lang w:val="en-US" w:eastAsia="zh-CN"/>
        </w:rPr>
        <w:t>法</w:t>
      </w:r>
    </w:p>
    <w:p w14:paraId="7C167989">
      <w:pPr>
        <w:adjustRightInd w:val="0"/>
        <w:snapToGrid w:val="0"/>
        <w:spacing w:line="540" w:lineRule="exact"/>
        <w:ind w:firstLine="560"/>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sz w:val="32"/>
          <w:szCs w:val="32"/>
        </w:rPr>
        <w:t>多重填补法（Multiple Imputation）是同时给一个缺失值填补多个值，不止考虑到缺失值的均值还考虑到方差，在某种程度上克服了单一填补法的局限性。常见的多重填补方法包括：倾向性评分法，马尔科夫链蒙特卡罗（Markov Chain Monte Carlo），预测均值匹配（Predictive Mean Matching）等。</w:t>
      </w:r>
    </w:p>
    <w:p w14:paraId="14AADE4D">
      <w:pPr>
        <w:ind w:firstLineChars="0"/>
        <w:rPr>
          <w:rFonts w:hint="eastAsia" w:cs="Times New Roman"/>
        </w:rPr>
      </w:pPr>
      <w:r>
        <w:rPr>
          <w:rFonts w:hint="eastAsia" w:cs="Times New Roman"/>
        </w:rPr>
        <w:br w:type="page"/>
      </w:r>
    </w:p>
    <w:p w14:paraId="77B03962">
      <w:pPr>
        <w:pStyle w:val="68"/>
        <w:spacing w:line="360" w:lineRule="auto"/>
        <w:ind w:firstLine="0" w:firstLineChars="0"/>
        <w:rPr>
          <w:rFonts w:hint="eastAsia"/>
          <w:b w:val="0"/>
          <w:bCs w:val="0"/>
          <w:color w:val="auto"/>
        </w:rPr>
      </w:pPr>
      <w:bookmarkStart w:id="8" w:name="_Toc230856999"/>
      <w:r>
        <w:rPr>
          <w:rFonts w:hint="eastAsia"/>
          <w:b w:val="0"/>
          <w:bCs w:val="0"/>
          <w:color w:val="auto"/>
        </w:rPr>
        <w:t xml:space="preserve">附3 </w:t>
      </w:r>
    </w:p>
    <w:p w14:paraId="1D18FCEF">
      <w:pPr>
        <w:pStyle w:val="68"/>
        <w:spacing w:line="360" w:lineRule="auto"/>
        <w:ind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词汇表</w:t>
      </w:r>
      <w:bookmarkEnd w:id="8"/>
    </w:p>
    <w:p w14:paraId="4AE7DAE6">
      <w:pPr>
        <w:pStyle w:val="42"/>
        <w:adjustRightInd w:val="0"/>
        <w:snapToGrid w:val="0"/>
        <w:spacing w:line="54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_GB2312"/>
          <w:color w:val="000000"/>
          <w:kern w:val="0"/>
          <w:sz w:val="32"/>
          <w:szCs w:val="36"/>
        </w:rPr>
        <w:t>1.</w:t>
      </w:r>
      <w:r>
        <w:rPr>
          <w:rFonts w:hint="default" w:ascii="Times New Roman" w:hAnsi="Times New Roman" w:eastAsia="仿宋" w:cs="Times New Roman"/>
          <w:color w:val="000000"/>
          <w:kern w:val="0"/>
          <w:sz w:val="32"/>
          <w:szCs w:val="32"/>
        </w:rPr>
        <w:t>新用药设计（New User Design）：仅纳入研究起始时首次用药的患者，或要求患者在用药前已经过一段未用药的</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洗脱期</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，通过设立适当的对照组进行比较，排除已用药者带来的偏倚。</w:t>
      </w:r>
    </w:p>
    <w:p w14:paraId="313B3107">
      <w:pPr>
        <w:pStyle w:val="42"/>
        <w:adjustRightInd w:val="0"/>
        <w:snapToGrid w:val="0"/>
        <w:spacing w:line="54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_GB2312"/>
          <w:color w:val="000000"/>
          <w:kern w:val="0"/>
          <w:sz w:val="32"/>
          <w:szCs w:val="36"/>
        </w:rPr>
        <w:t>2.</w:t>
      </w:r>
      <w:bookmarkStart w:id="9" w:name="OLE_LINK2"/>
      <w:r>
        <w:rPr>
          <w:rFonts w:hint="default" w:ascii="Times New Roman" w:hAnsi="Times New Roman" w:eastAsia="仿宋" w:cs="Times New Roman"/>
          <w:color w:val="000000"/>
          <w:kern w:val="0"/>
          <w:sz w:val="32"/>
          <w:szCs w:val="32"/>
        </w:rPr>
        <w:t>现用药设计（Prevalent User Design）</w:t>
      </w:r>
      <w:bookmarkEnd w:id="9"/>
      <w:r>
        <w:rPr>
          <w:rFonts w:hint="default" w:ascii="Times New Roman" w:hAnsi="Times New Roman" w:eastAsia="仿宋" w:cs="Times New Roman"/>
          <w:color w:val="000000"/>
          <w:kern w:val="0"/>
          <w:sz w:val="32"/>
          <w:szCs w:val="32"/>
        </w:rPr>
        <w:t>：纳入研究起始时已用药一段时间的患者进行疗效评价，可能引入信息偏倚。</w:t>
      </w:r>
    </w:p>
    <w:p w14:paraId="18224459">
      <w:pPr>
        <w:pStyle w:val="42"/>
        <w:adjustRightInd w:val="0"/>
        <w:snapToGrid w:val="0"/>
        <w:spacing w:line="54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_GB2312"/>
          <w:color w:val="000000"/>
          <w:kern w:val="0"/>
          <w:sz w:val="32"/>
          <w:szCs w:val="36"/>
        </w:rPr>
        <w:t>3.</w:t>
      </w:r>
      <w:r>
        <w:rPr>
          <w:rFonts w:hint="default" w:ascii="Times New Roman" w:hAnsi="Times New Roman" w:eastAsia="仿宋" w:cs="Times New Roman"/>
          <w:color w:val="000000"/>
          <w:kern w:val="0"/>
          <w:sz w:val="32"/>
          <w:szCs w:val="32"/>
        </w:rPr>
        <w:t>有向无环图（Directed Acyclic Graph, DAG）：由变量和有向边构成的图形工具，图中封闭无环路，直观反映变量间的因果关系，常用于指导研究设计和统计分析的混杂因素选择。</w:t>
      </w:r>
    </w:p>
    <w:p w14:paraId="7D316079">
      <w:pPr>
        <w:pStyle w:val="42"/>
        <w:adjustRightInd w:val="0"/>
        <w:snapToGrid w:val="0"/>
        <w:spacing w:line="54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_GB2312"/>
          <w:color w:val="000000"/>
          <w:kern w:val="0"/>
          <w:sz w:val="32"/>
          <w:szCs w:val="36"/>
        </w:rPr>
        <w:t>4.</w:t>
      </w:r>
      <w:r>
        <w:rPr>
          <w:rFonts w:hint="default" w:ascii="Times New Roman" w:hAnsi="Times New Roman" w:eastAsia="仿宋" w:cs="Times New Roman"/>
          <w:color w:val="000000"/>
          <w:kern w:val="0"/>
          <w:sz w:val="32"/>
          <w:szCs w:val="32"/>
        </w:rPr>
        <w:t>错分偏倚（Misclassification Bias）：由于研究对象的某个特征、暴露或结局被划分到了错误的类别中，而导致的研究结果与真实情况间出现了偏差。</w:t>
      </w:r>
    </w:p>
    <w:p w14:paraId="245E3837">
      <w:pPr>
        <w:pStyle w:val="42"/>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olor w:val="000000"/>
          <w:kern w:val="0"/>
          <w:sz w:val="32"/>
          <w:szCs w:val="36"/>
        </w:rPr>
        <w:t>5.</w:t>
      </w:r>
      <w:r>
        <w:rPr>
          <w:rFonts w:hint="default" w:ascii="Times New Roman" w:hAnsi="Times New Roman" w:eastAsia="仿宋" w:cs="Times New Roman"/>
          <w:color w:val="000000"/>
          <w:kern w:val="0"/>
          <w:sz w:val="32"/>
          <w:szCs w:val="32"/>
        </w:rPr>
        <w:t>不死时间偏倚（</w:t>
      </w:r>
      <w:bookmarkStart w:id="10" w:name="OLE_LINK3"/>
      <w:r>
        <w:rPr>
          <w:rFonts w:hint="default" w:ascii="Times New Roman" w:hAnsi="Times New Roman" w:eastAsia="仿宋" w:cs="Times New Roman"/>
          <w:color w:val="000000"/>
          <w:kern w:val="0"/>
          <w:sz w:val="32"/>
          <w:szCs w:val="32"/>
        </w:rPr>
        <w:t>Immortal Time Bias</w:t>
      </w:r>
      <w:bookmarkEnd w:id="10"/>
      <w:r>
        <w:rPr>
          <w:rFonts w:hint="default" w:ascii="Times New Roman" w:hAnsi="Times New Roman" w:eastAsia="仿宋" w:cs="Times New Roman"/>
          <w:color w:val="000000"/>
          <w:kern w:val="0"/>
          <w:sz w:val="32"/>
          <w:szCs w:val="32"/>
        </w:rPr>
        <w:t>, ITB）：患者在研究开始到真正接受暴露之间可能存在一段时间间隔，这段时间内，患者必须存活才能正式进入研究，因此被称为不死时间。这段时间实际未暴露，如果不死时间被错误分配到暴露时间或未能合理分类，会导致效应估计与真实情况间偏差。</w:t>
      </w:r>
    </w:p>
    <w:sectPr>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dvTGOBL">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仪中等线简">
    <w:altName w:val="宋体"/>
    <w:panose1 w:val="00000000000000000000"/>
    <w:charset w:val="86"/>
    <w:family w:val="swiss"/>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721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B3723">
                          <w:pPr>
                            <w:pStyle w:val="15"/>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CB3723">
                    <w:pPr>
                      <w:pStyle w:val="15"/>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1483"/>
    <w:multiLevelType w:val="multilevel"/>
    <w:tmpl w:val="2599148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7D893E88"/>
    <w:multiLevelType w:val="multilevel"/>
    <w:tmpl w:val="7D893E8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ftxdrs4dxe9nesr27v5e9sseaazt922xwe&quot;&gt;指导原则ref&lt;record-ids&gt;&lt;item&gt;41&lt;/item&gt;&lt;/record-ids&gt;&lt;/item&gt;&lt;/Libraries&gt;"/>
  </w:docVars>
  <w:rsids>
    <w:rsidRoot w:val="00343D20"/>
    <w:rsid w:val="000004BE"/>
    <w:rsid w:val="00001E07"/>
    <w:rsid w:val="00003E54"/>
    <w:rsid w:val="00006526"/>
    <w:rsid w:val="00014A3F"/>
    <w:rsid w:val="00015826"/>
    <w:rsid w:val="00017E49"/>
    <w:rsid w:val="00024ED7"/>
    <w:rsid w:val="00030440"/>
    <w:rsid w:val="00040C03"/>
    <w:rsid w:val="00043BE0"/>
    <w:rsid w:val="00043DB3"/>
    <w:rsid w:val="0005095C"/>
    <w:rsid w:val="00052DE6"/>
    <w:rsid w:val="00056D3B"/>
    <w:rsid w:val="0005759E"/>
    <w:rsid w:val="00062082"/>
    <w:rsid w:val="00062CB6"/>
    <w:rsid w:val="0007146D"/>
    <w:rsid w:val="00072805"/>
    <w:rsid w:val="000747BC"/>
    <w:rsid w:val="0008176D"/>
    <w:rsid w:val="00082BD2"/>
    <w:rsid w:val="0008452B"/>
    <w:rsid w:val="000845CE"/>
    <w:rsid w:val="00085FD9"/>
    <w:rsid w:val="0009091B"/>
    <w:rsid w:val="00092BA6"/>
    <w:rsid w:val="000966FA"/>
    <w:rsid w:val="000969DE"/>
    <w:rsid w:val="00096CFD"/>
    <w:rsid w:val="000A34E4"/>
    <w:rsid w:val="000A6710"/>
    <w:rsid w:val="000B0B5C"/>
    <w:rsid w:val="000B2AE1"/>
    <w:rsid w:val="000B4DD8"/>
    <w:rsid w:val="000B63C1"/>
    <w:rsid w:val="000C2D3B"/>
    <w:rsid w:val="000C6403"/>
    <w:rsid w:val="000C6899"/>
    <w:rsid w:val="000C696B"/>
    <w:rsid w:val="000D3D49"/>
    <w:rsid w:val="000D566C"/>
    <w:rsid w:val="000E14E1"/>
    <w:rsid w:val="000E15AD"/>
    <w:rsid w:val="000E3294"/>
    <w:rsid w:val="000F0015"/>
    <w:rsid w:val="00101482"/>
    <w:rsid w:val="001017D3"/>
    <w:rsid w:val="00103952"/>
    <w:rsid w:val="0010413A"/>
    <w:rsid w:val="00104B10"/>
    <w:rsid w:val="001054F6"/>
    <w:rsid w:val="0010556B"/>
    <w:rsid w:val="00105A27"/>
    <w:rsid w:val="00105C0F"/>
    <w:rsid w:val="00105CA6"/>
    <w:rsid w:val="00106C67"/>
    <w:rsid w:val="001113B5"/>
    <w:rsid w:val="001119C1"/>
    <w:rsid w:val="00113ED3"/>
    <w:rsid w:val="00121FF4"/>
    <w:rsid w:val="001224AD"/>
    <w:rsid w:val="00125EB1"/>
    <w:rsid w:val="00126DE7"/>
    <w:rsid w:val="00131369"/>
    <w:rsid w:val="00132361"/>
    <w:rsid w:val="00133819"/>
    <w:rsid w:val="0013587C"/>
    <w:rsid w:val="00136E68"/>
    <w:rsid w:val="00141F2C"/>
    <w:rsid w:val="00143997"/>
    <w:rsid w:val="001473DF"/>
    <w:rsid w:val="00154E84"/>
    <w:rsid w:val="00161BC6"/>
    <w:rsid w:val="00163925"/>
    <w:rsid w:val="00167A0E"/>
    <w:rsid w:val="00170DBE"/>
    <w:rsid w:val="00172627"/>
    <w:rsid w:val="00173035"/>
    <w:rsid w:val="00173667"/>
    <w:rsid w:val="00173E7D"/>
    <w:rsid w:val="001817AD"/>
    <w:rsid w:val="00185124"/>
    <w:rsid w:val="001868B1"/>
    <w:rsid w:val="00186C77"/>
    <w:rsid w:val="00190725"/>
    <w:rsid w:val="001963CD"/>
    <w:rsid w:val="0019744B"/>
    <w:rsid w:val="001A365C"/>
    <w:rsid w:val="001A677A"/>
    <w:rsid w:val="001A68CC"/>
    <w:rsid w:val="001A7BEE"/>
    <w:rsid w:val="001B0714"/>
    <w:rsid w:val="001B208F"/>
    <w:rsid w:val="001B5918"/>
    <w:rsid w:val="001C186D"/>
    <w:rsid w:val="001C2C14"/>
    <w:rsid w:val="001D01C8"/>
    <w:rsid w:val="001D03A6"/>
    <w:rsid w:val="001D06C5"/>
    <w:rsid w:val="001D0B48"/>
    <w:rsid w:val="001D237C"/>
    <w:rsid w:val="001D25FD"/>
    <w:rsid w:val="001D5E33"/>
    <w:rsid w:val="001E1A77"/>
    <w:rsid w:val="001E2713"/>
    <w:rsid w:val="001E32FA"/>
    <w:rsid w:val="001E4FDB"/>
    <w:rsid w:val="001F0790"/>
    <w:rsid w:val="001F1D07"/>
    <w:rsid w:val="001F7387"/>
    <w:rsid w:val="0020302C"/>
    <w:rsid w:val="00210FB1"/>
    <w:rsid w:val="0021351D"/>
    <w:rsid w:val="002210C3"/>
    <w:rsid w:val="0022430A"/>
    <w:rsid w:val="002272AE"/>
    <w:rsid w:val="0023004C"/>
    <w:rsid w:val="00232931"/>
    <w:rsid w:val="002340B7"/>
    <w:rsid w:val="0023437A"/>
    <w:rsid w:val="00235F2B"/>
    <w:rsid w:val="00250C11"/>
    <w:rsid w:val="00253F91"/>
    <w:rsid w:val="00256AEE"/>
    <w:rsid w:val="002572A0"/>
    <w:rsid w:val="00273099"/>
    <w:rsid w:val="002761C3"/>
    <w:rsid w:val="00276D00"/>
    <w:rsid w:val="00276FF1"/>
    <w:rsid w:val="00277A83"/>
    <w:rsid w:val="00287E67"/>
    <w:rsid w:val="00296540"/>
    <w:rsid w:val="0029752B"/>
    <w:rsid w:val="002A03D6"/>
    <w:rsid w:val="002A2665"/>
    <w:rsid w:val="002A36E4"/>
    <w:rsid w:val="002B152B"/>
    <w:rsid w:val="002B21FE"/>
    <w:rsid w:val="002B472B"/>
    <w:rsid w:val="002B689D"/>
    <w:rsid w:val="002B7382"/>
    <w:rsid w:val="002C43F3"/>
    <w:rsid w:val="002C4666"/>
    <w:rsid w:val="002C7398"/>
    <w:rsid w:val="002C7C58"/>
    <w:rsid w:val="002D1293"/>
    <w:rsid w:val="002D2BF4"/>
    <w:rsid w:val="002D3E37"/>
    <w:rsid w:val="002D48A8"/>
    <w:rsid w:val="002E290D"/>
    <w:rsid w:val="002E3B13"/>
    <w:rsid w:val="002E3DFC"/>
    <w:rsid w:val="002E6324"/>
    <w:rsid w:val="002F2327"/>
    <w:rsid w:val="002F430A"/>
    <w:rsid w:val="002F74CB"/>
    <w:rsid w:val="00301071"/>
    <w:rsid w:val="00301EE8"/>
    <w:rsid w:val="00310826"/>
    <w:rsid w:val="00317411"/>
    <w:rsid w:val="00321176"/>
    <w:rsid w:val="0032151A"/>
    <w:rsid w:val="003237CD"/>
    <w:rsid w:val="00323B0D"/>
    <w:rsid w:val="00324E28"/>
    <w:rsid w:val="00330508"/>
    <w:rsid w:val="0033124D"/>
    <w:rsid w:val="00332886"/>
    <w:rsid w:val="003367E9"/>
    <w:rsid w:val="003439B1"/>
    <w:rsid w:val="00343D20"/>
    <w:rsid w:val="00344CCE"/>
    <w:rsid w:val="00352EC8"/>
    <w:rsid w:val="00353503"/>
    <w:rsid w:val="0035633F"/>
    <w:rsid w:val="0035681E"/>
    <w:rsid w:val="00356BFD"/>
    <w:rsid w:val="00365D5C"/>
    <w:rsid w:val="00365DEA"/>
    <w:rsid w:val="003660A9"/>
    <w:rsid w:val="00366372"/>
    <w:rsid w:val="003733A6"/>
    <w:rsid w:val="003750E1"/>
    <w:rsid w:val="0037546D"/>
    <w:rsid w:val="00375605"/>
    <w:rsid w:val="00375724"/>
    <w:rsid w:val="00375F42"/>
    <w:rsid w:val="00383F51"/>
    <w:rsid w:val="00384200"/>
    <w:rsid w:val="0038626C"/>
    <w:rsid w:val="003863D2"/>
    <w:rsid w:val="00391699"/>
    <w:rsid w:val="0039267B"/>
    <w:rsid w:val="00394295"/>
    <w:rsid w:val="003952D2"/>
    <w:rsid w:val="00395496"/>
    <w:rsid w:val="003A0F41"/>
    <w:rsid w:val="003A5CC0"/>
    <w:rsid w:val="003A77EE"/>
    <w:rsid w:val="003B24F9"/>
    <w:rsid w:val="003B34A1"/>
    <w:rsid w:val="003B4B27"/>
    <w:rsid w:val="003C053E"/>
    <w:rsid w:val="003C4A58"/>
    <w:rsid w:val="003D110C"/>
    <w:rsid w:val="003D2CD3"/>
    <w:rsid w:val="003E34F5"/>
    <w:rsid w:val="003E3507"/>
    <w:rsid w:val="003E50CE"/>
    <w:rsid w:val="003E5AA3"/>
    <w:rsid w:val="003E6D45"/>
    <w:rsid w:val="004013D5"/>
    <w:rsid w:val="00403584"/>
    <w:rsid w:val="00403CD5"/>
    <w:rsid w:val="0040632F"/>
    <w:rsid w:val="00406AD4"/>
    <w:rsid w:val="00413E5B"/>
    <w:rsid w:val="0041462B"/>
    <w:rsid w:val="00414F7A"/>
    <w:rsid w:val="004177CA"/>
    <w:rsid w:val="00420323"/>
    <w:rsid w:val="00421BCF"/>
    <w:rsid w:val="004245BA"/>
    <w:rsid w:val="00425D87"/>
    <w:rsid w:val="00427A63"/>
    <w:rsid w:val="00431518"/>
    <w:rsid w:val="00431F84"/>
    <w:rsid w:val="00435A58"/>
    <w:rsid w:val="00436F88"/>
    <w:rsid w:val="00444335"/>
    <w:rsid w:val="00445E7F"/>
    <w:rsid w:val="0044793D"/>
    <w:rsid w:val="00447ABC"/>
    <w:rsid w:val="00455330"/>
    <w:rsid w:val="0045560C"/>
    <w:rsid w:val="00457BDA"/>
    <w:rsid w:val="004759E6"/>
    <w:rsid w:val="004761D2"/>
    <w:rsid w:val="00482C5E"/>
    <w:rsid w:val="00483C4E"/>
    <w:rsid w:val="00490DA2"/>
    <w:rsid w:val="00496A67"/>
    <w:rsid w:val="004A554D"/>
    <w:rsid w:val="004B17B1"/>
    <w:rsid w:val="004B1DF6"/>
    <w:rsid w:val="004B5240"/>
    <w:rsid w:val="004B7DED"/>
    <w:rsid w:val="004C2497"/>
    <w:rsid w:val="004C3E75"/>
    <w:rsid w:val="004C4CD9"/>
    <w:rsid w:val="004D0D62"/>
    <w:rsid w:val="004D1D37"/>
    <w:rsid w:val="004D56B8"/>
    <w:rsid w:val="004D6A26"/>
    <w:rsid w:val="004D7431"/>
    <w:rsid w:val="004E4E39"/>
    <w:rsid w:val="004E5C90"/>
    <w:rsid w:val="004F0FC8"/>
    <w:rsid w:val="004F2129"/>
    <w:rsid w:val="004F3B23"/>
    <w:rsid w:val="005002DC"/>
    <w:rsid w:val="00506A8B"/>
    <w:rsid w:val="00507820"/>
    <w:rsid w:val="005108F5"/>
    <w:rsid w:val="005111CF"/>
    <w:rsid w:val="00516FB1"/>
    <w:rsid w:val="0052083F"/>
    <w:rsid w:val="00523852"/>
    <w:rsid w:val="005274CD"/>
    <w:rsid w:val="0053108E"/>
    <w:rsid w:val="00531590"/>
    <w:rsid w:val="00533286"/>
    <w:rsid w:val="005372F3"/>
    <w:rsid w:val="0054168C"/>
    <w:rsid w:val="005461A4"/>
    <w:rsid w:val="0055747D"/>
    <w:rsid w:val="00566AB8"/>
    <w:rsid w:val="00571C29"/>
    <w:rsid w:val="00571DE2"/>
    <w:rsid w:val="005818BA"/>
    <w:rsid w:val="00581B67"/>
    <w:rsid w:val="00581FC0"/>
    <w:rsid w:val="0058441A"/>
    <w:rsid w:val="005867F7"/>
    <w:rsid w:val="005871C8"/>
    <w:rsid w:val="0059638D"/>
    <w:rsid w:val="005A1BEA"/>
    <w:rsid w:val="005A3038"/>
    <w:rsid w:val="005A3719"/>
    <w:rsid w:val="005A77CC"/>
    <w:rsid w:val="005B0851"/>
    <w:rsid w:val="005B336C"/>
    <w:rsid w:val="005B339D"/>
    <w:rsid w:val="005B3C1F"/>
    <w:rsid w:val="005B426C"/>
    <w:rsid w:val="005B5681"/>
    <w:rsid w:val="005C0D00"/>
    <w:rsid w:val="005C4283"/>
    <w:rsid w:val="005C4AD9"/>
    <w:rsid w:val="005D2705"/>
    <w:rsid w:val="005D352B"/>
    <w:rsid w:val="005D7F49"/>
    <w:rsid w:val="005E424D"/>
    <w:rsid w:val="005E57BF"/>
    <w:rsid w:val="005E6358"/>
    <w:rsid w:val="005E6B2F"/>
    <w:rsid w:val="005E75B4"/>
    <w:rsid w:val="005F5E81"/>
    <w:rsid w:val="005F7FC0"/>
    <w:rsid w:val="00600230"/>
    <w:rsid w:val="00607126"/>
    <w:rsid w:val="00612A24"/>
    <w:rsid w:val="00616955"/>
    <w:rsid w:val="00622672"/>
    <w:rsid w:val="0063688E"/>
    <w:rsid w:val="00636EF2"/>
    <w:rsid w:val="006401C6"/>
    <w:rsid w:val="006478FD"/>
    <w:rsid w:val="00647EF7"/>
    <w:rsid w:val="00657928"/>
    <w:rsid w:val="00663C32"/>
    <w:rsid w:val="00667E01"/>
    <w:rsid w:val="00674173"/>
    <w:rsid w:val="0067422D"/>
    <w:rsid w:val="00676882"/>
    <w:rsid w:val="00684FA0"/>
    <w:rsid w:val="00692730"/>
    <w:rsid w:val="00692B56"/>
    <w:rsid w:val="00693A10"/>
    <w:rsid w:val="006A1039"/>
    <w:rsid w:val="006A133B"/>
    <w:rsid w:val="006A1E3D"/>
    <w:rsid w:val="006A1F28"/>
    <w:rsid w:val="006A2263"/>
    <w:rsid w:val="006B1205"/>
    <w:rsid w:val="006C0D4B"/>
    <w:rsid w:val="006C14CB"/>
    <w:rsid w:val="006C2EF1"/>
    <w:rsid w:val="006C3C0B"/>
    <w:rsid w:val="006C5391"/>
    <w:rsid w:val="006D09C7"/>
    <w:rsid w:val="006D2F7E"/>
    <w:rsid w:val="006D7B4E"/>
    <w:rsid w:val="006E045A"/>
    <w:rsid w:val="006E0967"/>
    <w:rsid w:val="006E2681"/>
    <w:rsid w:val="006E7BAC"/>
    <w:rsid w:val="006F27A9"/>
    <w:rsid w:val="006F748C"/>
    <w:rsid w:val="007002B9"/>
    <w:rsid w:val="00702D1C"/>
    <w:rsid w:val="00704A74"/>
    <w:rsid w:val="0070728A"/>
    <w:rsid w:val="00710EF3"/>
    <w:rsid w:val="00712179"/>
    <w:rsid w:val="00713929"/>
    <w:rsid w:val="00715C49"/>
    <w:rsid w:val="00722638"/>
    <w:rsid w:val="00724D68"/>
    <w:rsid w:val="007261EE"/>
    <w:rsid w:val="00726EA5"/>
    <w:rsid w:val="007301B5"/>
    <w:rsid w:val="007346FB"/>
    <w:rsid w:val="00735716"/>
    <w:rsid w:val="007368DA"/>
    <w:rsid w:val="00736F7A"/>
    <w:rsid w:val="00737703"/>
    <w:rsid w:val="007403BF"/>
    <w:rsid w:val="007411CF"/>
    <w:rsid w:val="00741D49"/>
    <w:rsid w:val="00743677"/>
    <w:rsid w:val="00755294"/>
    <w:rsid w:val="00761377"/>
    <w:rsid w:val="00766E96"/>
    <w:rsid w:val="00767E7E"/>
    <w:rsid w:val="00774204"/>
    <w:rsid w:val="00774604"/>
    <w:rsid w:val="00780BA6"/>
    <w:rsid w:val="0078157D"/>
    <w:rsid w:val="007853B7"/>
    <w:rsid w:val="00787E10"/>
    <w:rsid w:val="007931D3"/>
    <w:rsid w:val="00793299"/>
    <w:rsid w:val="00793C7E"/>
    <w:rsid w:val="00797473"/>
    <w:rsid w:val="00797CE9"/>
    <w:rsid w:val="007A4436"/>
    <w:rsid w:val="007A4FA5"/>
    <w:rsid w:val="007B1072"/>
    <w:rsid w:val="007B1D1B"/>
    <w:rsid w:val="007B3C4E"/>
    <w:rsid w:val="007C22EF"/>
    <w:rsid w:val="007C238E"/>
    <w:rsid w:val="007C2F60"/>
    <w:rsid w:val="007C57D7"/>
    <w:rsid w:val="007D318B"/>
    <w:rsid w:val="007D3312"/>
    <w:rsid w:val="007D45D7"/>
    <w:rsid w:val="007D4A62"/>
    <w:rsid w:val="007E20C3"/>
    <w:rsid w:val="007E5FA5"/>
    <w:rsid w:val="007E682A"/>
    <w:rsid w:val="007F1411"/>
    <w:rsid w:val="007F57C6"/>
    <w:rsid w:val="0080149C"/>
    <w:rsid w:val="0080257E"/>
    <w:rsid w:val="00811671"/>
    <w:rsid w:val="0081655E"/>
    <w:rsid w:val="00820DCF"/>
    <w:rsid w:val="00821FC4"/>
    <w:rsid w:val="00823815"/>
    <w:rsid w:val="008245D2"/>
    <w:rsid w:val="00825402"/>
    <w:rsid w:val="00826ACB"/>
    <w:rsid w:val="00833C04"/>
    <w:rsid w:val="00835557"/>
    <w:rsid w:val="00845819"/>
    <w:rsid w:val="00846456"/>
    <w:rsid w:val="00847320"/>
    <w:rsid w:val="008502C2"/>
    <w:rsid w:val="00851976"/>
    <w:rsid w:val="00851B74"/>
    <w:rsid w:val="00855766"/>
    <w:rsid w:val="00857924"/>
    <w:rsid w:val="00857B33"/>
    <w:rsid w:val="008637D2"/>
    <w:rsid w:val="00867801"/>
    <w:rsid w:val="00870FAF"/>
    <w:rsid w:val="008732C8"/>
    <w:rsid w:val="008752CD"/>
    <w:rsid w:val="00875975"/>
    <w:rsid w:val="00880323"/>
    <w:rsid w:val="00886AD2"/>
    <w:rsid w:val="00892239"/>
    <w:rsid w:val="00893C03"/>
    <w:rsid w:val="00895D07"/>
    <w:rsid w:val="0089752E"/>
    <w:rsid w:val="008B2601"/>
    <w:rsid w:val="008B3A6F"/>
    <w:rsid w:val="008B4C81"/>
    <w:rsid w:val="008C4DDB"/>
    <w:rsid w:val="008C4E3D"/>
    <w:rsid w:val="008E0683"/>
    <w:rsid w:val="008E28A4"/>
    <w:rsid w:val="008E3772"/>
    <w:rsid w:val="008E593D"/>
    <w:rsid w:val="008E5C7E"/>
    <w:rsid w:val="008E7714"/>
    <w:rsid w:val="008F0F73"/>
    <w:rsid w:val="008F706A"/>
    <w:rsid w:val="009055D8"/>
    <w:rsid w:val="00905BA0"/>
    <w:rsid w:val="00905DC2"/>
    <w:rsid w:val="00910FBE"/>
    <w:rsid w:val="0091345F"/>
    <w:rsid w:val="0091659B"/>
    <w:rsid w:val="009170B8"/>
    <w:rsid w:val="00917824"/>
    <w:rsid w:val="00920562"/>
    <w:rsid w:val="0092212F"/>
    <w:rsid w:val="00922E82"/>
    <w:rsid w:val="009242D7"/>
    <w:rsid w:val="0092542F"/>
    <w:rsid w:val="00932EA3"/>
    <w:rsid w:val="00935E59"/>
    <w:rsid w:val="00936851"/>
    <w:rsid w:val="00936A32"/>
    <w:rsid w:val="0094192E"/>
    <w:rsid w:val="00945ED2"/>
    <w:rsid w:val="00947F6D"/>
    <w:rsid w:val="00955667"/>
    <w:rsid w:val="00957205"/>
    <w:rsid w:val="009624F2"/>
    <w:rsid w:val="00966A44"/>
    <w:rsid w:val="00971EB9"/>
    <w:rsid w:val="0097323C"/>
    <w:rsid w:val="009739CF"/>
    <w:rsid w:val="009745E1"/>
    <w:rsid w:val="0098069C"/>
    <w:rsid w:val="00980BD5"/>
    <w:rsid w:val="009833BB"/>
    <w:rsid w:val="00983BB7"/>
    <w:rsid w:val="00985D93"/>
    <w:rsid w:val="0098770F"/>
    <w:rsid w:val="0099332D"/>
    <w:rsid w:val="00994CE7"/>
    <w:rsid w:val="009957E7"/>
    <w:rsid w:val="009A28F7"/>
    <w:rsid w:val="009A7E52"/>
    <w:rsid w:val="009B0662"/>
    <w:rsid w:val="009B1826"/>
    <w:rsid w:val="009B1F94"/>
    <w:rsid w:val="009B2096"/>
    <w:rsid w:val="009B703D"/>
    <w:rsid w:val="009B7DDF"/>
    <w:rsid w:val="009C2C77"/>
    <w:rsid w:val="009C3FCD"/>
    <w:rsid w:val="009C778F"/>
    <w:rsid w:val="009D03E5"/>
    <w:rsid w:val="009D0B6E"/>
    <w:rsid w:val="009D2D95"/>
    <w:rsid w:val="009D37A4"/>
    <w:rsid w:val="009D3FC4"/>
    <w:rsid w:val="009D7324"/>
    <w:rsid w:val="009D7E8B"/>
    <w:rsid w:val="009E0E49"/>
    <w:rsid w:val="009E19C3"/>
    <w:rsid w:val="009E1BDA"/>
    <w:rsid w:val="009E5CB0"/>
    <w:rsid w:val="009F0070"/>
    <w:rsid w:val="009F5ED9"/>
    <w:rsid w:val="00A00490"/>
    <w:rsid w:val="00A00D55"/>
    <w:rsid w:val="00A060AD"/>
    <w:rsid w:val="00A0663E"/>
    <w:rsid w:val="00A112BB"/>
    <w:rsid w:val="00A11957"/>
    <w:rsid w:val="00A125E8"/>
    <w:rsid w:val="00A12902"/>
    <w:rsid w:val="00A132B9"/>
    <w:rsid w:val="00A17E5E"/>
    <w:rsid w:val="00A23080"/>
    <w:rsid w:val="00A231EE"/>
    <w:rsid w:val="00A237B7"/>
    <w:rsid w:val="00A326A4"/>
    <w:rsid w:val="00A361EF"/>
    <w:rsid w:val="00A368E5"/>
    <w:rsid w:val="00A411D0"/>
    <w:rsid w:val="00A42B11"/>
    <w:rsid w:val="00A438F5"/>
    <w:rsid w:val="00A472E2"/>
    <w:rsid w:val="00A50802"/>
    <w:rsid w:val="00A51083"/>
    <w:rsid w:val="00A5372D"/>
    <w:rsid w:val="00A55B54"/>
    <w:rsid w:val="00A576F7"/>
    <w:rsid w:val="00A61CE9"/>
    <w:rsid w:val="00A6540A"/>
    <w:rsid w:val="00A72334"/>
    <w:rsid w:val="00A74DEA"/>
    <w:rsid w:val="00A750E0"/>
    <w:rsid w:val="00A826AC"/>
    <w:rsid w:val="00A87DDD"/>
    <w:rsid w:val="00A9018D"/>
    <w:rsid w:val="00A92505"/>
    <w:rsid w:val="00A96631"/>
    <w:rsid w:val="00A97CE1"/>
    <w:rsid w:val="00AA2CED"/>
    <w:rsid w:val="00AA3A89"/>
    <w:rsid w:val="00AB0588"/>
    <w:rsid w:val="00AB38B0"/>
    <w:rsid w:val="00AC2AC6"/>
    <w:rsid w:val="00AC35CE"/>
    <w:rsid w:val="00AC39C4"/>
    <w:rsid w:val="00AC623D"/>
    <w:rsid w:val="00AD2018"/>
    <w:rsid w:val="00AE4027"/>
    <w:rsid w:val="00AE6DB9"/>
    <w:rsid w:val="00B0161E"/>
    <w:rsid w:val="00B03543"/>
    <w:rsid w:val="00B13FE0"/>
    <w:rsid w:val="00B14932"/>
    <w:rsid w:val="00B14D17"/>
    <w:rsid w:val="00B1792D"/>
    <w:rsid w:val="00B2202A"/>
    <w:rsid w:val="00B3064A"/>
    <w:rsid w:val="00B3131E"/>
    <w:rsid w:val="00B31D57"/>
    <w:rsid w:val="00B33DB2"/>
    <w:rsid w:val="00B45244"/>
    <w:rsid w:val="00B457CE"/>
    <w:rsid w:val="00B45826"/>
    <w:rsid w:val="00B47ADE"/>
    <w:rsid w:val="00B54041"/>
    <w:rsid w:val="00B54053"/>
    <w:rsid w:val="00B56166"/>
    <w:rsid w:val="00B568FF"/>
    <w:rsid w:val="00B56927"/>
    <w:rsid w:val="00B57DB1"/>
    <w:rsid w:val="00B61718"/>
    <w:rsid w:val="00B61CC3"/>
    <w:rsid w:val="00B62498"/>
    <w:rsid w:val="00B62598"/>
    <w:rsid w:val="00B62D57"/>
    <w:rsid w:val="00B6719B"/>
    <w:rsid w:val="00B73D9C"/>
    <w:rsid w:val="00B74211"/>
    <w:rsid w:val="00B76075"/>
    <w:rsid w:val="00B800ED"/>
    <w:rsid w:val="00B806A8"/>
    <w:rsid w:val="00B86125"/>
    <w:rsid w:val="00B87056"/>
    <w:rsid w:val="00B94FBE"/>
    <w:rsid w:val="00B95A39"/>
    <w:rsid w:val="00BA0F2C"/>
    <w:rsid w:val="00BA2AB0"/>
    <w:rsid w:val="00BA324D"/>
    <w:rsid w:val="00BA402B"/>
    <w:rsid w:val="00BA5281"/>
    <w:rsid w:val="00BA63EC"/>
    <w:rsid w:val="00BA7BAA"/>
    <w:rsid w:val="00BB350E"/>
    <w:rsid w:val="00BB3B6D"/>
    <w:rsid w:val="00BB3D4F"/>
    <w:rsid w:val="00BB4AD9"/>
    <w:rsid w:val="00BB52D5"/>
    <w:rsid w:val="00BB546E"/>
    <w:rsid w:val="00BC1B79"/>
    <w:rsid w:val="00BC35AD"/>
    <w:rsid w:val="00BC67A8"/>
    <w:rsid w:val="00BD1AD4"/>
    <w:rsid w:val="00BD426B"/>
    <w:rsid w:val="00BE0378"/>
    <w:rsid w:val="00BF2642"/>
    <w:rsid w:val="00BF4E6B"/>
    <w:rsid w:val="00BF7FF9"/>
    <w:rsid w:val="00C0282A"/>
    <w:rsid w:val="00C04282"/>
    <w:rsid w:val="00C056C3"/>
    <w:rsid w:val="00C10556"/>
    <w:rsid w:val="00C107B4"/>
    <w:rsid w:val="00C2165A"/>
    <w:rsid w:val="00C23334"/>
    <w:rsid w:val="00C31D8A"/>
    <w:rsid w:val="00C31FD0"/>
    <w:rsid w:val="00C3407C"/>
    <w:rsid w:val="00C37BAC"/>
    <w:rsid w:val="00C37F9A"/>
    <w:rsid w:val="00C407E5"/>
    <w:rsid w:val="00C43329"/>
    <w:rsid w:val="00C47DB1"/>
    <w:rsid w:val="00C5172B"/>
    <w:rsid w:val="00C51C4E"/>
    <w:rsid w:val="00C7250D"/>
    <w:rsid w:val="00C801A9"/>
    <w:rsid w:val="00C83DDE"/>
    <w:rsid w:val="00C84311"/>
    <w:rsid w:val="00C84FF1"/>
    <w:rsid w:val="00C900EF"/>
    <w:rsid w:val="00C91ADC"/>
    <w:rsid w:val="00C92851"/>
    <w:rsid w:val="00C93C2C"/>
    <w:rsid w:val="00C9632D"/>
    <w:rsid w:val="00C978CD"/>
    <w:rsid w:val="00CA08B8"/>
    <w:rsid w:val="00CA1D2D"/>
    <w:rsid w:val="00CA6962"/>
    <w:rsid w:val="00CB0C04"/>
    <w:rsid w:val="00CB25CC"/>
    <w:rsid w:val="00CB299A"/>
    <w:rsid w:val="00CB3A63"/>
    <w:rsid w:val="00CB6317"/>
    <w:rsid w:val="00CB7524"/>
    <w:rsid w:val="00CC2378"/>
    <w:rsid w:val="00CC4428"/>
    <w:rsid w:val="00CC4543"/>
    <w:rsid w:val="00CC598A"/>
    <w:rsid w:val="00CD2065"/>
    <w:rsid w:val="00CD3E7E"/>
    <w:rsid w:val="00CD6841"/>
    <w:rsid w:val="00CD6C7C"/>
    <w:rsid w:val="00CE02E5"/>
    <w:rsid w:val="00CE0B04"/>
    <w:rsid w:val="00CE32FB"/>
    <w:rsid w:val="00CE430A"/>
    <w:rsid w:val="00CE5F8B"/>
    <w:rsid w:val="00CE6768"/>
    <w:rsid w:val="00CF192D"/>
    <w:rsid w:val="00CF5854"/>
    <w:rsid w:val="00D0035A"/>
    <w:rsid w:val="00D01C13"/>
    <w:rsid w:val="00D04219"/>
    <w:rsid w:val="00D0505F"/>
    <w:rsid w:val="00D054F2"/>
    <w:rsid w:val="00D068C6"/>
    <w:rsid w:val="00D0742E"/>
    <w:rsid w:val="00D07834"/>
    <w:rsid w:val="00D07C2B"/>
    <w:rsid w:val="00D15788"/>
    <w:rsid w:val="00D17B6B"/>
    <w:rsid w:val="00D17E12"/>
    <w:rsid w:val="00D201C0"/>
    <w:rsid w:val="00D25435"/>
    <w:rsid w:val="00D35122"/>
    <w:rsid w:val="00D40CE4"/>
    <w:rsid w:val="00D41049"/>
    <w:rsid w:val="00D44D22"/>
    <w:rsid w:val="00D500C5"/>
    <w:rsid w:val="00D5244C"/>
    <w:rsid w:val="00D52AA8"/>
    <w:rsid w:val="00D53DE1"/>
    <w:rsid w:val="00D547D2"/>
    <w:rsid w:val="00D55194"/>
    <w:rsid w:val="00D62724"/>
    <w:rsid w:val="00D62889"/>
    <w:rsid w:val="00D62B3C"/>
    <w:rsid w:val="00D633C7"/>
    <w:rsid w:val="00D64DFF"/>
    <w:rsid w:val="00D66766"/>
    <w:rsid w:val="00D67A8E"/>
    <w:rsid w:val="00D8073F"/>
    <w:rsid w:val="00D846DA"/>
    <w:rsid w:val="00D84920"/>
    <w:rsid w:val="00D86CF3"/>
    <w:rsid w:val="00D86F0C"/>
    <w:rsid w:val="00D87C47"/>
    <w:rsid w:val="00DB1C00"/>
    <w:rsid w:val="00DB2F84"/>
    <w:rsid w:val="00DB330C"/>
    <w:rsid w:val="00DB41B2"/>
    <w:rsid w:val="00DC0230"/>
    <w:rsid w:val="00DC237B"/>
    <w:rsid w:val="00DC7AEA"/>
    <w:rsid w:val="00DD0ED7"/>
    <w:rsid w:val="00DD3E91"/>
    <w:rsid w:val="00DE0376"/>
    <w:rsid w:val="00DE4B5D"/>
    <w:rsid w:val="00DF1233"/>
    <w:rsid w:val="00DF1BD0"/>
    <w:rsid w:val="00DF2B9B"/>
    <w:rsid w:val="00DF35BA"/>
    <w:rsid w:val="00DF447D"/>
    <w:rsid w:val="00DF65E0"/>
    <w:rsid w:val="00E068CE"/>
    <w:rsid w:val="00E07449"/>
    <w:rsid w:val="00E129FF"/>
    <w:rsid w:val="00E15A2E"/>
    <w:rsid w:val="00E213E1"/>
    <w:rsid w:val="00E220A8"/>
    <w:rsid w:val="00E22F9B"/>
    <w:rsid w:val="00E23482"/>
    <w:rsid w:val="00E234BD"/>
    <w:rsid w:val="00E24321"/>
    <w:rsid w:val="00E27667"/>
    <w:rsid w:val="00E318F5"/>
    <w:rsid w:val="00E320CD"/>
    <w:rsid w:val="00E32493"/>
    <w:rsid w:val="00E33009"/>
    <w:rsid w:val="00E3399F"/>
    <w:rsid w:val="00E34F15"/>
    <w:rsid w:val="00E46CA2"/>
    <w:rsid w:val="00E47A1A"/>
    <w:rsid w:val="00E5117A"/>
    <w:rsid w:val="00E518F6"/>
    <w:rsid w:val="00E51E8E"/>
    <w:rsid w:val="00E57C67"/>
    <w:rsid w:val="00E6036E"/>
    <w:rsid w:val="00E62D88"/>
    <w:rsid w:val="00E706EB"/>
    <w:rsid w:val="00E71656"/>
    <w:rsid w:val="00E74C71"/>
    <w:rsid w:val="00E74CC8"/>
    <w:rsid w:val="00E751C8"/>
    <w:rsid w:val="00E76858"/>
    <w:rsid w:val="00E809B9"/>
    <w:rsid w:val="00E811BB"/>
    <w:rsid w:val="00E831D9"/>
    <w:rsid w:val="00E868B6"/>
    <w:rsid w:val="00E9309D"/>
    <w:rsid w:val="00E97CC9"/>
    <w:rsid w:val="00EA06FA"/>
    <w:rsid w:val="00EA35B5"/>
    <w:rsid w:val="00EA3EC2"/>
    <w:rsid w:val="00EA4ECB"/>
    <w:rsid w:val="00EB090E"/>
    <w:rsid w:val="00EB5C42"/>
    <w:rsid w:val="00EB6890"/>
    <w:rsid w:val="00EC23C5"/>
    <w:rsid w:val="00EC441B"/>
    <w:rsid w:val="00EC5A8E"/>
    <w:rsid w:val="00EC7A41"/>
    <w:rsid w:val="00ED312C"/>
    <w:rsid w:val="00ED4BEF"/>
    <w:rsid w:val="00ED65DE"/>
    <w:rsid w:val="00ED6C71"/>
    <w:rsid w:val="00ED749A"/>
    <w:rsid w:val="00ED783F"/>
    <w:rsid w:val="00ED7D59"/>
    <w:rsid w:val="00EE0408"/>
    <w:rsid w:val="00EE1997"/>
    <w:rsid w:val="00EE397C"/>
    <w:rsid w:val="00EE6893"/>
    <w:rsid w:val="00EE72D2"/>
    <w:rsid w:val="00EF1902"/>
    <w:rsid w:val="00F017A5"/>
    <w:rsid w:val="00F046E7"/>
    <w:rsid w:val="00F107E2"/>
    <w:rsid w:val="00F113C8"/>
    <w:rsid w:val="00F13A08"/>
    <w:rsid w:val="00F14859"/>
    <w:rsid w:val="00F14A4E"/>
    <w:rsid w:val="00F217D3"/>
    <w:rsid w:val="00F23A5D"/>
    <w:rsid w:val="00F3099A"/>
    <w:rsid w:val="00F3212B"/>
    <w:rsid w:val="00F5055C"/>
    <w:rsid w:val="00F51915"/>
    <w:rsid w:val="00F53934"/>
    <w:rsid w:val="00F55A99"/>
    <w:rsid w:val="00F64E3A"/>
    <w:rsid w:val="00F65699"/>
    <w:rsid w:val="00F70FD3"/>
    <w:rsid w:val="00F74DA5"/>
    <w:rsid w:val="00F80257"/>
    <w:rsid w:val="00F81CD0"/>
    <w:rsid w:val="00F86C52"/>
    <w:rsid w:val="00F90053"/>
    <w:rsid w:val="00F961FF"/>
    <w:rsid w:val="00F96E9A"/>
    <w:rsid w:val="00FA42B2"/>
    <w:rsid w:val="00FA47C7"/>
    <w:rsid w:val="00FA5F46"/>
    <w:rsid w:val="00FB1B72"/>
    <w:rsid w:val="00FB2263"/>
    <w:rsid w:val="00FD153D"/>
    <w:rsid w:val="00FD2120"/>
    <w:rsid w:val="00FD3FF2"/>
    <w:rsid w:val="00FE2F50"/>
    <w:rsid w:val="00FE3254"/>
    <w:rsid w:val="00FE34B8"/>
    <w:rsid w:val="00FE479A"/>
    <w:rsid w:val="00FF0137"/>
    <w:rsid w:val="00FF43DF"/>
    <w:rsid w:val="00FF506B"/>
    <w:rsid w:val="00FF700B"/>
    <w:rsid w:val="02AF42CC"/>
    <w:rsid w:val="04B37AC9"/>
    <w:rsid w:val="086F41BB"/>
    <w:rsid w:val="09344EE8"/>
    <w:rsid w:val="093B4BBA"/>
    <w:rsid w:val="09C37BCC"/>
    <w:rsid w:val="0B4254FE"/>
    <w:rsid w:val="0B9B5266"/>
    <w:rsid w:val="0CCE1990"/>
    <w:rsid w:val="0CFF50EF"/>
    <w:rsid w:val="0DAF46F6"/>
    <w:rsid w:val="0DDA38AD"/>
    <w:rsid w:val="0F046388"/>
    <w:rsid w:val="0F3B6457"/>
    <w:rsid w:val="10206EB8"/>
    <w:rsid w:val="108D3635"/>
    <w:rsid w:val="10923FAD"/>
    <w:rsid w:val="10A87192"/>
    <w:rsid w:val="10C85C1F"/>
    <w:rsid w:val="10DE709A"/>
    <w:rsid w:val="126F52A8"/>
    <w:rsid w:val="13597DC0"/>
    <w:rsid w:val="13F34D56"/>
    <w:rsid w:val="1520419A"/>
    <w:rsid w:val="16247C45"/>
    <w:rsid w:val="16C33B1A"/>
    <w:rsid w:val="170D06D9"/>
    <w:rsid w:val="18BC1FCB"/>
    <w:rsid w:val="196B7938"/>
    <w:rsid w:val="199050CF"/>
    <w:rsid w:val="19A0530F"/>
    <w:rsid w:val="19E33801"/>
    <w:rsid w:val="1A604090"/>
    <w:rsid w:val="1AB76856"/>
    <w:rsid w:val="1AE44F51"/>
    <w:rsid w:val="1B120A62"/>
    <w:rsid w:val="1B7F2032"/>
    <w:rsid w:val="1BB235FD"/>
    <w:rsid w:val="1D4D4629"/>
    <w:rsid w:val="1D5F5F7F"/>
    <w:rsid w:val="1D6B6FB1"/>
    <w:rsid w:val="1DA56982"/>
    <w:rsid w:val="208C080D"/>
    <w:rsid w:val="211752C2"/>
    <w:rsid w:val="21F91F85"/>
    <w:rsid w:val="22761872"/>
    <w:rsid w:val="24961A27"/>
    <w:rsid w:val="25ED158D"/>
    <w:rsid w:val="26347A30"/>
    <w:rsid w:val="271E248E"/>
    <w:rsid w:val="28DF2496"/>
    <w:rsid w:val="2A7433A3"/>
    <w:rsid w:val="2AE73E19"/>
    <w:rsid w:val="2B4272D3"/>
    <w:rsid w:val="2CCB09C2"/>
    <w:rsid w:val="2CFF241A"/>
    <w:rsid w:val="2D2B068D"/>
    <w:rsid w:val="2DA80633"/>
    <w:rsid w:val="2E993463"/>
    <w:rsid w:val="302D79A3"/>
    <w:rsid w:val="318D78A3"/>
    <w:rsid w:val="33990873"/>
    <w:rsid w:val="35460706"/>
    <w:rsid w:val="35B446E9"/>
    <w:rsid w:val="36F70238"/>
    <w:rsid w:val="37227478"/>
    <w:rsid w:val="377D31C8"/>
    <w:rsid w:val="38251AD3"/>
    <w:rsid w:val="3869010B"/>
    <w:rsid w:val="3CAA784D"/>
    <w:rsid w:val="3E173A67"/>
    <w:rsid w:val="3ED76BA3"/>
    <w:rsid w:val="3F36264E"/>
    <w:rsid w:val="3FB03412"/>
    <w:rsid w:val="40CA1BEA"/>
    <w:rsid w:val="41880FB5"/>
    <w:rsid w:val="434870A5"/>
    <w:rsid w:val="44C31848"/>
    <w:rsid w:val="44FC5980"/>
    <w:rsid w:val="46131FFF"/>
    <w:rsid w:val="477912EF"/>
    <w:rsid w:val="47F615B2"/>
    <w:rsid w:val="48B173D5"/>
    <w:rsid w:val="49CA5B57"/>
    <w:rsid w:val="49F746BB"/>
    <w:rsid w:val="4CA9727B"/>
    <w:rsid w:val="4CF40976"/>
    <w:rsid w:val="4F1E0ECA"/>
    <w:rsid w:val="4F616CBC"/>
    <w:rsid w:val="4F917F55"/>
    <w:rsid w:val="5039435C"/>
    <w:rsid w:val="50EC4FD9"/>
    <w:rsid w:val="50ED078A"/>
    <w:rsid w:val="514E72B6"/>
    <w:rsid w:val="51BE347F"/>
    <w:rsid w:val="52B51107"/>
    <w:rsid w:val="53386F67"/>
    <w:rsid w:val="53E028FE"/>
    <w:rsid w:val="55AB7EE0"/>
    <w:rsid w:val="56356D29"/>
    <w:rsid w:val="566428B6"/>
    <w:rsid w:val="578C2978"/>
    <w:rsid w:val="586C27AA"/>
    <w:rsid w:val="58E94E5E"/>
    <w:rsid w:val="59A0270B"/>
    <w:rsid w:val="5B08040A"/>
    <w:rsid w:val="5B922527"/>
    <w:rsid w:val="5C336AA1"/>
    <w:rsid w:val="5C8727FA"/>
    <w:rsid w:val="5E18042F"/>
    <w:rsid w:val="5F052D41"/>
    <w:rsid w:val="5F1A13A0"/>
    <w:rsid w:val="5FE0791E"/>
    <w:rsid w:val="62D50392"/>
    <w:rsid w:val="64042AD0"/>
    <w:rsid w:val="64082823"/>
    <w:rsid w:val="64276FE0"/>
    <w:rsid w:val="64AD613E"/>
    <w:rsid w:val="65330EED"/>
    <w:rsid w:val="6570121E"/>
    <w:rsid w:val="65D40C2F"/>
    <w:rsid w:val="65EC0A86"/>
    <w:rsid w:val="6700790A"/>
    <w:rsid w:val="67F86830"/>
    <w:rsid w:val="684D7FA8"/>
    <w:rsid w:val="69A76B2D"/>
    <w:rsid w:val="6A1B50EA"/>
    <w:rsid w:val="6AB57E7F"/>
    <w:rsid w:val="6AD34DB6"/>
    <w:rsid w:val="6C9A764B"/>
    <w:rsid w:val="71241A1C"/>
    <w:rsid w:val="71CF3736"/>
    <w:rsid w:val="7414486B"/>
    <w:rsid w:val="74F45E26"/>
    <w:rsid w:val="750A647B"/>
    <w:rsid w:val="76500BBD"/>
    <w:rsid w:val="78176F34"/>
    <w:rsid w:val="78664121"/>
    <w:rsid w:val="78C0276D"/>
    <w:rsid w:val="78EC51DC"/>
    <w:rsid w:val="7A802030"/>
    <w:rsid w:val="7B100EC2"/>
    <w:rsid w:val="7B512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36"/>
    <w:qFormat/>
    <w:uiPriority w:val="9"/>
    <w:pPr>
      <w:keepNext/>
      <w:keepLines/>
      <w:spacing w:before="120" w:after="120"/>
      <w:outlineLvl w:val="0"/>
    </w:pPr>
    <w:rPr>
      <w:rFonts w:eastAsia="黑体"/>
      <w:bCs/>
      <w:kern w:val="44"/>
      <w:szCs w:val="44"/>
    </w:rPr>
  </w:style>
  <w:style w:type="paragraph" w:styleId="3">
    <w:name w:val="heading 2"/>
    <w:basedOn w:val="1"/>
    <w:next w:val="1"/>
    <w:link w:val="37"/>
    <w:unhideWhenUsed/>
    <w:qFormat/>
    <w:uiPriority w:val="9"/>
    <w:pPr>
      <w:keepNext/>
      <w:keepLines/>
      <w:outlineLvl w:val="1"/>
    </w:pPr>
    <w:rPr>
      <w:rFonts w:ascii="Calibri Light" w:hAnsi="Calibri Light" w:eastAsia="楷体" w:cstheme="majorBidi"/>
      <w:bCs/>
      <w:szCs w:val="32"/>
    </w:rPr>
  </w:style>
  <w:style w:type="paragraph" w:styleId="4">
    <w:name w:val="heading 3"/>
    <w:basedOn w:val="1"/>
    <w:next w:val="1"/>
    <w:link w:val="5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5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5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5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5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pPr>
  </w:style>
  <w:style w:type="paragraph" w:styleId="12">
    <w:name w:val="annotation text"/>
    <w:basedOn w:val="1"/>
    <w:link w:val="38"/>
    <w:unhideWhenUsed/>
    <w:qFormat/>
    <w:uiPriority w:val="99"/>
    <w:pPr>
      <w:jc w:val="left"/>
    </w:pPr>
  </w:style>
  <w:style w:type="paragraph" w:styleId="13">
    <w:name w:val="toc 3"/>
    <w:basedOn w:val="1"/>
    <w:next w:val="1"/>
    <w:semiHidden/>
    <w:unhideWhenUsed/>
    <w:qFormat/>
    <w:uiPriority w:val="39"/>
    <w:pPr>
      <w:ind w:left="840" w:leftChars="400"/>
    </w:pPr>
  </w:style>
  <w:style w:type="paragraph" w:styleId="14">
    <w:name w:val="Balloon Text"/>
    <w:basedOn w:val="1"/>
    <w:link w:val="50"/>
    <w:semiHidden/>
    <w:unhideWhenUsed/>
    <w:qFormat/>
    <w:uiPriority w:val="99"/>
    <w:pPr>
      <w:spacing w:line="240" w:lineRule="auto"/>
    </w:pPr>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next w:val="1"/>
    <w:link w:val="6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semiHidden/>
    <w:unhideWhenUsed/>
    <w:qFormat/>
    <w:uiPriority w:val="39"/>
    <w:pPr>
      <w:ind w:left="420" w:leftChars="200"/>
    </w:pPr>
  </w:style>
  <w:style w:type="paragraph" w:styleId="20">
    <w:name w:val="Title"/>
    <w:basedOn w:val="1"/>
    <w:next w:val="1"/>
    <w:link w:val="6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2"/>
    <w:next w:val="12"/>
    <w:link w:val="41"/>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467886"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paragraph" w:customStyle="1" w:styleId="28">
    <w:name w:val="指导原则-前言"/>
    <w:basedOn w:val="1"/>
    <w:qFormat/>
    <w:uiPriority w:val="0"/>
    <w:pPr>
      <w:adjustRightInd w:val="0"/>
      <w:snapToGrid w:val="0"/>
      <w:spacing w:line="560" w:lineRule="exact"/>
    </w:pPr>
    <w:rPr>
      <w:rFonts w:ascii="Times New Roman" w:hAnsi="Times New Roman"/>
      <w:b/>
      <w:bCs/>
      <w:szCs w:val="24"/>
    </w:rPr>
  </w:style>
  <w:style w:type="paragraph" w:customStyle="1" w:styleId="29">
    <w:name w:val="EndNote Bibliography Title"/>
    <w:basedOn w:val="1"/>
    <w:link w:val="30"/>
    <w:qFormat/>
    <w:uiPriority w:val="0"/>
    <w:pPr>
      <w:jc w:val="center"/>
    </w:pPr>
    <w:rPr>
      <w:rFonts w:ascii="等线" w:hAnsi="等线" w:eastAsia="等线"/>
      <w:sz w:val="20"/>
    </w:rPr>
  </w:style>
  <w:style w:type="character" w:customStyle="1" w:styleId="30">
    <w:name w:val="EndNote Bibliography Title 字符"/>
    <w:basedOn w:val="24"/>
    <w:link w:val="29"/>
    <w:qFormat/>
    <w:uiPriority w:val="0"/>
    <w:rPr>
      <w:rFonts w:ascii="等线" w:hAnsi="等线" w:eastAsia="等线"/>
      <w:sz w:val="20"/>
    </w:rPr>
  </w:style>
  <w:style w:type="paragraph" w:customStyle="1" w:styleId="31">
    <w:name w:val="EndNote Bibliography"/>
    <w:basedOn w:val="1"/>
    <w:link w:val="32"/>
    <w:qFormat/>
    <w:uiPriority w:val="0"/>
    <w:pPr>
      <w:spacing w:line="240" w:lineRule="auto"/>
    </w:pPr>
    <w:rPr>
      <w:rFonts w:ascii="等线" w:hAnsi="等线" w:eastAsia="等线"/>
      <w:sz w:val="20"/>
    </w:rPr>
  </w:style>
  <w:style w:type="character" w:customStyle="1" w:styleId="32">
    <w:name w:val="EndNote Bibliography 字符"/>
    <w:basedOn w:val="24"/>
    <w:link w:val="31"/>
    <w:qFormat/>
    <w:uiPriority w:val="0"/>
    <w:rPr>
      <w:rFonts w:ascii="等线" w:hAnsi="等线" w:eastAsia="等线"/>
      <w:sz w:val="20"/>
    </w:rPr>
  </w:style>
  <w:style w:type="character" w:customStyle="1" w:styleId="33">
    <w:name w:val="fontstyle21"/>
    <w:qFormat/>
    <w:uiPriority w:val="0"/>
    <w:rPr>
      <w:rFonts w:hint="default" w:ascii="AdvTGOBL" w:hAnsi="AdvTGOBL"/>
      <w:color w:val="000000"/>
      <w:sz w:val="16"/>
      <w:szCs w:val="16"/>
    </w:rPr>
  </w:style>
  <w:style w:type="paragraph" w:customStyle="1" w:styleId="34">
    <w:name w:val="样式1"/>
    <w:basedOn w:val="1"/>
    <w:qFormat/>
    <w:uiPriority w:val="0"/>
    <w:pPr>
      <w:overflowPunct w:val="0"/>
      <w:autoSpaceDE w:val="0"/>
      <w:autoSpaceDN w:val="0"/>
      <w:adjustRightInd w:val="0"/>
      <w:snapToGrid w:val="0"/>
      <w:spacing w:line="360" w:lineRule="auto"/>
      <w:ind w:firstLine="0" w:firstLineChars="0"/>
      <w:contextualSpacing/>
      <w:jc w:val="center"/>
    </w:pPr>
    <w:rPr>
      <w:rFonts w:ascii="Times New Roman" w:hAnsi="Times New Roman" w:eastAsia="方正小标宋简体" w:cs="Times New Roman"/>
      <w:b/>
      <w:color w:val="000000" w:themeColor="text1"/>
      <w:sz w:val="44"/>
      <w:szCs w:val="44"/>
      <w14:textFill>
        <w14:solidFill>
          <w14:schemeClr w14:val="tx1"/>
        </w14:solidFill>
      </w14:textFill>
    </w:rPr>
  </w:style>
  <w:style w:type="paragraph" w:customStyle="1" w:styleId="35">
    <w:name w:val="指导原则-标题1"/>
    <w:basedOn w:val="2"/>
    <w:qFormat/>
    <w:uiPriority w:val="0"/>
    <w:rPr>
      <w:rFonts w:ascii="Calibri" w:hAnsi="Calibri" w:cs="Times New Roman"/>
      <w:bCs w:val="0"/>
      <w:color w:val="000000"/>
      <w:kern w:val="0"/>
      <w:szCs w:val="32"/>
    </w:rPr>
  </w:style>
  <w:style w:type="character" w:customStyle="1" w:styleId="36">
    <w:name w:val="标题 1 字符"/>
    <w:basedOn w:val="24"/>
    <w:link w:val="2"/>
    <w:qFormat/>
    <w:uiPriority w:val="9"/>
    <w:rPr>
      <w:rFonts w:eastAsia="黑体"/>
      <w:bCs/>
      <w:kern w:val="44"/>
      <w:sz w:val="32"/>
      <w:szCs w:val="44"/>
    </w:rPr>
  </w:style>
  <w:style w:type="character" w:customStyle="1" w:styleId="37">
    <w:name w:val="标题 2 字符"/>
    <w:basedOn w:val="24"/>
    <w:link w:val="3"/>
    <w:qFormat/>
    <w:uiPriority w:val="9"/>
    <w:rPr>
      <w:rFonts w:ascii="Calibri Light" w:hAnsi="Calibri Light" w:eastAsia="楷体" w:cstheme="majorBidi"/>
      <w:bCs/>
      <w:sz w:val="32"/>
      <w:szCs w:val="32"/>
    </w:rPr>
  </w:style>
  <w:style w:type="character" w:customStyle="1" w:styleId="38">
    <w:name w:val="批注文字 字符"/>
    <w:basedOn w:val="24"/>
    <w:link w:val="12"/>
    <w:qFormat/>
    <w:uiPriority w:val="99"/>
    <w:rPr>
      <w:rFonts w:ascii="Calibri" w:hAnsi="Calibri" w:eastAsia="微软雅黑"/>
      <w:sz w:val="32"/>
      <w:szCs w:val="21"/>
    </w:rPr>
  </w:style>
  <w:style w:type="character" w:customStyle="1" w:styleId="39">
    <w:name w:val="页眉 字符"/>
    <w:basedOn w:val="24"/>
    <w:link w:val="16"/>
    <w:qFormat/>
    <w:uiPriority w:val="99"/>
    <w:rPr>
      <w:rFonts w:ascii="Calibri" w:hAnsi="Calibri" w:eastAsia="微软雅黑"/>
      <w:sz w:val="18"/>
      <w:szCs w:val="18"/>
    </w:rPr>
  </w:style>
  <w:style w:type="character" w:customStyle="1" w:styleId="40">
    <w:name w:val="页脚 字符"/>
    <w:basedOn w:val="24"/>
    <w:link w:val="15"/>
    <w:qFormat/>
    <w:uiPriority w:val="99"/>
    <w:rPr>
      <w:rFonts w:ascii="Calibri" w:hAnsi="Calibri" w:eastAsia="微软雅黑"/>
      <w:sz w:val="18"/>
      <w:szCs w:val="18"/>
    </w:rPr>
  </w:style>
  <w:style w:type="character" w:customStyle="1" w:styleId="41">
    <w:name w:val="批注主题 字符"/>
    <w:basedOn w:val="38"/>
    <w:link w:val="21"/>
    <w:semiHidden/>
    <w:qFormat/>
    <w:uiPriority w:val="99"/>
    <w:rPr>
      <w:rFonts w:ascii="Calibri" w:hAnsi="Calibri" w:eastAsia="微软雅黑"/>
      <w:b/>
      <w:bCs/>
      <w:sz w:val="32"/>
      <w:szCs w:val="21"/>
    </w:rPr>
  </w:style>
  <w:style w:type="paragraph" w:styleId="42">
    <w:name w:val="List Paragraph"/>
    <w:basedOn w:val="1"/>
    <w:link w:val="51"/>
    <w:qFormat/>
    <w:uiPriority w:val="34"/>
    <w:pPr>
      <w:ind w:firstLine="420"/>
    </w:p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104862" w:themeColor="accent1" w:themeShade="BF"/>
      <w:kern w:val="0"/>
      <w:szCs w:val="32"/>
    </w:rPr>
  </w:style>
  <w:style w:type="character" w:customStyle="1" w:styleId="44">
    <w:name w:val="未处理的提及1"/>
    <w:basedOn w:val="24"/>
    <w:semiHidden/>
    <w:unhideWhenUsed/>
    <w:qFormat/>
    <w:uiPriority w:val="99"/>
    <w:rPr>
      <w:color w:val="605E5C"/>
      <w:shd w:val="clear" w:color="auto" w:fill="E1DFDD"/>
    </w:rPr>
  </w:style>
  <w:style w:type="character" w:customStyle="1" w:styleId="45">
    <w:name w:val="fontstyle01"/>
    <w:basedOn w:val="24"/>
    <w:qFormat/>
    <w:uiPriority w:val="0"/>
    <w:rPr>
      <w:rFonts w:hint="eastAsia" w:ascii="宋体" w:hAnsi="宋体" w:eastAsia="宋体"/>
      <w:color w:val="000000"/>
      <w:sz w:val="24"/>
      <w:szCs w:val="24"/>
    </w:rPr>
  </w:style>
  <w:style w:type="character" w:customStyle="1" w:styleId="46">
    <w:name w:val="fontstyle11"/>
    <w:basedOn w:val="24"/>
    <w:qFormat/>
    <w:uiPriority w:val="0"/>
    <w:rPr>
      <w:rFonts w:hint="default" w:ascii="TimesNewRoman" w:hAnsi="TimesNewRoman"/>
      <w:color w:val="000000"/>
      <w:sz w:val="24"/>
      <w:szCs w:val="24"/>
    </w:rPr>
  </w:style>
  <w:style w:type="paragraph" w:customStyle="1" w:styleId="47">
    <w:name w:val="TOC 标题1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104862" w:themeColor="accent1" w:themeShade="BF"/>
      <w:kern w:val="0"/>
      <w:szCs w:val="32"/>
    </w:rPr>
  </w:style>
  <w:style w:type="character" w:customStyle="1" w:styleId="48">
    <w:name w:val="A6"/>
    <w:qFormat/>
    <w:uiPriority w:val="99"/>
    <w:rPr>
      <w:rFonts w:cs="汉仪中等线简"/>
      <w:color w:val="211D1E"/>
      <w:sz w:val="22"/>
      <w:szCs w:val="22"/>
    </w:rPr>
  </w:style>
  <w:style w:type="character" w:customStyle="1" w:styleId="49">
    <w:name w:val="Index Link"/>
    <w:qFormat/>
    <w:uiPriority w:val="0"/>
  </w:style>
  <w:style w:type="character" w:customStyle="1" w:styleId="50">
    <w:name w:val="批注框文本 字符"/>
    <w:basedOn w:val="24"/>
    <w:link w:val="14"/>
    <w:semiHidden/>
    <w:qFormat/>
    <w:uiPriority w:val="99"/>
    <w:rPr>
      <w:rFonts w:ascii="Calibri" w:hAnsi="Calibri" w:eastAsia="微软雅黑"/>
      <w:sz w:val="18"/>
      <w:szCs w:val="18"/>
    </w:rPr>
  </w:style>
  <w:style w:type="character" w:customStyle="1" w:styleId="51">
    <w:name w:val="列表段落 字符"/>
    <w:basedOn w:val="24"/>
    <w:link w:val="42"/>
    <w:qFormat/>
    <w:uiPriority w:val="34"/>
    <w:rPr>
      <w:rFonts w:ascii="Calibri" w:hAnsi="Calibri" w:eastAsia="微软雅黑"/>
      <w:sz w:val="32"/>
      <w:szCs w:val="21"/>
    </w:rPr>
  </w:style>
  <w:style w:type="paragraph" w:customStyle="1" w:styleId="52">
    <w:name w:val="指导原则-标题"/>
    <w:basedOn w:val="1"/>
    <w:qFormat/>
    <w:uiPriority w:val="0"/>
    <w:pPr>
      <w:overflowPunct w:val="0"/>
      <w:autoSpaceDE w:val="0"/>
      <w:autoSpaceDN w:val="0"/>
      <w:adjustRightInd w:val="0"/>
      <w:snapToGrid w:val="0"/>
      <w:contextualSpacing/>
      <w:jc w:val="center"/>
    </w:pPr>
    <w:rPr>
      <w:rFonts w:ascii="方正小标宋简体" w:hAnsi="方正小标宋简体" w:eastAsia="方正小标宋简体" w:cs="Times New Roman"/>
      <w:b/>
      <w:color w:val="000000" w:themeColor="text1"/>
      <w:sz w:val="44"/>
      <w:szCs w:val="44"/>
      <w14:textFill>
        <w14:solidFill>
          <w14:schemeClr w14:val="tx1"/>
        </w14:solidFill>
      </w14:textFill>
    </w:rPr>
  </w:style>
  <w:style w:type="character" w:customStyle="1" w:styleId="53">
    <w:name w:val="标题 3 字符"/>
    <w:basedOn w:val="2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54">
    <w:name w:val="标题 4 字符"/>
    <w:basedOn w:val="24"/>
    <w:link w:val="5"/>
    <w:semiHidden/>
    <w:qFormat/>
    <w:uiPriority w:val="9"/>
    <w:rPr>
      <w:rFonts w:cstheme="majorBidi"/>
      <w:color w:val="104862" w:themeColor="accent1" w:themeShade="BF"/>
      <w:sz w:val="28"/>
      <w:szCs w:val="28"/>
    </w:rPr>
  </w:style>
  <w:style w:type="character" w:customStyle="1" w:styleId="55">
    <w:name w:val="标题 5 字符"/>
    <w:basedOn w:val="24"/>
    <w:link w:val="6"/>
    <w:semiHidden/>
    <w:qFormat/>
    <w:uiPriority w:val="9"/>
    <w:rPr>
      <w:rFonts w:cstheme="majorBidi"/>
      <w:color w:val="104862" w:themeColor="accent1" w:themeShade="BF"/>
      <w:sz w:val="24"/>
      <w:szCs w:val="24"/>
    </w:rPr>
  </w:style>
  <w:style w:type="character" w:customStyle="1" w:styleId="56">
    <w:name w:val="标题 6 字符"/>
    <w:basedOn w:val="24"/>
    <w:link w:val="7"/>
    <w:semiHidden/>
    <w:qFormat/>
    <w:uiPriority w:val="9"/>
    <w:rPr>
      <w:rFonts w:cstheme="majorBidi"/>
      <w:b/>
      <w:bCs/>
      <w:color w:val="104862" w:themeColor="accent1" w:themeShade="BF"/>
    </w:rPr>
  </w:style>
  <w:style w:type="character" w:customStyle="1" w:styleId="57">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8">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9">
    <w:name w:val="标题 9 字符"/>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0">
    <w:name w:val="标题 字符"/>
    <w:basedOn w:val="24"/>
    <w:link w:val="20"/>
    <w:qFormat/>
    <w:uiPriority w:val="10"/>
    <w:rPr>
      <w:rFonts w:asciiTheme="majorHAnsi" w:hAnsiTheme="majorHAnsi" w:eastAsiaTheme="majorEastAsia" w:cstheme="majorBidi"/>
      <w:spacing w:val="-10"/>
      <w:kern w:val="28"/>
      <w:sz w:val="56"/>
      <w:szCs w:val="56"/>
    </w:rPr>
  </w:style>
  <w:style w:type="character" w:customStyle="1" w:styleId="61">
    <w:name w:val="副标题 字符"/>
    <w:basedOn w:val="24"/>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2">
    <w:name w:val="Quote"/>
    <w:basedOn w:val="1"/>
    <w:next w:val="1"/>
    <w:link w:val="6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3">
    <w:name w:val="引用 字符"/>
    <w:basedOn w:val="24"/>
    <w:link w:val="62"/>
    <w:qFormat/>
    <w:uiPriority w:val="29"/>
    <w:rPr>
      <w:i/>
      <w:iCs/>
      <w:color w:val="404040" w:themeColor="text1" w:themeTint="BF"/>
      <w14:textFill>
        <w14:solidFill>
          <w14:schemeClr w14:val="tx1">
            <w14:lumMod w14:val="75000"/>
            <w14:lumOff w14:val="25000"/>
          </w14:schemeClr>
        </w14:solidFill>
      </w14:textFill>
    </w:rPr>
  </w:style>
  <w:style w:type="character" w:customStyle="1" w:styleId="64">
    <w:name w:val="明显强调1"/>
    <w:basedOn w:val="24"/>
    <w:qFormat/>
    <w:uiPriority w:val="21"/>
    <w:rPr>
      <w:i/>
      <w:iCs/>
      <w:color w:val="104862" w:themeColor="accent1" w:themeShade="BF"/>
    </w:rPr>
  </w:style>
  <w:style w:type="paragraph" w:styleId="65">
    <w:name w:val="Intense Quote"/>
    <w:basedOn w:val="1"/>
    <w:next w:val="1"/>
    <w:link w:val="6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6">
    <w:name w:val="明显引用 字符"/>
    <w:basedOn w:val="24"/>
    <w:link w:val="65"/>
    <w:qFormat/>
    <w:uiPriority w:val="30"/>
    <w:rPr>
      <w:i/>
      <w:iCs/>
      <w:color w:val="104862" w:themeColor="accent1" w:themeShade="BF"/>
    </w:rPr>
  </w:style>
  <w:style w:type="character" w:customStyle="1" w:styleId="67">
    <w:name w:val="明显参考1"/>
    <w:basedOn w:val="24"/>
    <w:qFormat/>
    <w:uiPriority w:val="32"/>
    <w:rPr>
      <w:b/>
      <w:bCs/>
      <w:smallCaps/>
      <w:color w:val="104862" w:themeColor="accent1" w:themeShade="BF"/>
      <w:spacing w:val="5"/>
    </w:rPr>
  </w:style>
  <w:style w:type="paragraph" w:customStyle="1" w:styleId="68">
    <w:name w:val="指导原则-标题1-1"/>
    <w:basedOn w:val="35"/>
    <w:qFormat/>
    <w:uiPriority w:val="0"/>
    <w:pPr>
      <w:spacing w:before="0" w:after="0"/>
    </w:pPr>
    <w:rPr>
      <w:rFonts w:ascii="Times New Roman" w:hAnsi="Times New Roman"/>
      <w:sz w:val="32"/>
    </w:rPr>
  </w:style>
  <w:style w:type="paragraph" w:customStyle="1" w:styleId="69">
    <w:name w:val="列表段落2"/>
    <w:basedOn w:val="1"/>
    <w:qFormat/>
    <w:uiPriority w:val="0"/>
    <w:pPr>
      <w:spacing w:line="240" w:lineRule="auto"/>
      <w:ind w:firstLine="420"/>
    </w:pPr>
    <w:rPr>
      <w:rFonts w:ascii="Calibri" w:hAnsi="Calibri" w:eastAsia="宋体" w:cs="Times New Roman"/>
      <w:szCs w:val="22"/>
    </w:rPr>
  </w:style>
  <w:style w:type="paragraph" w:customStyle="1" w:styleId="70">
    <w:name w:val="样式3"/>
    <w:basedOn w:val="1"/>
    <w:link w:val="71"/>
    <w:qFormat/>
    <w:uiPriority w:val="0"/>
    <w:pPr>
      <w:spacing w:line="360" w:lineRule="auto"/>
      <w:ind w:firstLine="0" w:firstLineChars="0"/>
    </w:pPr>
    <w:rPr>
      <w:rFonts w:ascii="等线" w:hAnsi="等线" w:eastAsia="仿宋" w:cs="Times New Roman"/>
      <w:sz w:val="32"/>
      <w:szCs w:val="22"/>
    </w:rPr>
  </w:style>
  <w:style w:type="character" w:customStyle="1" w:styleId="71">
    <w:name w:val="样式3 字符"/>
    <w:link w:val="70"/>
    <w:qFormat/>
    <w:uiPriority w:val="0"/>
    <w:rPr>
      <w:rFonts w:ascii="等线" w:hAnsi="等线" w:eastAsia="仿宋" w:cs="Times New Roman"/>
      <w:sz w:val="32"/>
      <w:szCs w:val="22"/>
    </w:rPr>
  </w:style>
  <w:style w:type="paragraph" w:customStyle="1" w:styleId="72">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73">
    <w:name w:val="列出段落1"/>
    <w:basedOn w:val="1"/>
    <w:qFormat/>
    <w:uiPriority w:val="34"/>
    <w:pPr>
      <w:spacing w:after="15" w:line="600" w:lineRule="exact"/>
      <w:ind w:firstLine="420"/>
    </w:pPr>
    <w:rPr>
      <w:rFonts w:ascii="Calibri" w:hAnsi="Calibri" w:eastAsia="宋体" w:cs="Times New Roman"/>
      <w:szCs w:val="22"/>
    </w:rPr>
  </w:style>
  <w:style w:type="paragraph" w:customStyle="1" w:styleId="74">
    <w:name w:val="本文正文"/>
    <w:basedOn w:val="18"/>
    <w:link w:val="75"/>
    <w:qFormat/>
    <w:uiPriority w:val="0"/>
    <w:pPr>
      <w:spacing w:after="0" w:line="360" w:lineRule="auto"/>
      <w:jc w:val="both"/>
    </w:pPr>
    <w:rPr>
      <w:rFonts w:ascii="Times New Roman" w:hAnsi="Times New Roman" w:eastAsia="宋体" w:cs="Times New Roman"/>
      <w:color w:val="595959"/>
      <w:kern w:val="28"/>
      <w:sz w:val="24"/>
      <w:szCs w:val="32"/>
      <w14:textFill>
        <w14:solidFill>
          <w14:srgbClr w14:val="595959">
            <w14:lumMod w14:val="65000"/>
            <w14:lumOff w14:val="35000"/>
          </w14:srgbClr>
        </w14:solidFill>
      </w14:textFill>
    </w:rPr>
  </w:style>
  <w:style w:type="character" w:customStyle="1" w:styleId="75">
    <w:name w:val="本文正文 字符"/>
    <w:link w:val="74"/>
    <w:qFormat/>
    <w:uiPriority w:val="0"/>
    <w:rPr>
      <w:rFonts w:ascii="Times New Roman" w:hAnsi="Times New Roman" w:eastAsia="宋体" w:cs="Times New Roman"/>
      <w:color w:val="595959"/>
      <w:spacing w:val="15"/>
      <w:kern w:val="28"/>
      <w:sz w:val="24"/>
      <w:szCs w:val="32"/>
    </w:rPr>
  </w:style>
  <w:style w:type="paragraph" w:customStyle="1" w:styleId="76">
    <w:name w:val="修订2"/>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77">
    <w:name w:val="修订3"/>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78">
    <w:name w:val="Revision"/>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79">
    <w:name w:val="TOC Heading"/>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Cs w:val="0"/>
      <w:color w:val="10486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325CC-82FE-411F-8067-4CA17F8EDD83}">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2754</Words>
  <Characters>2762</Characters>
  <Lines>289</Lines>
  <Paragraphs>164</Paragraphs>
  <TotalTime>8</TotalTime>
  <ScaleCrop>false</ScaleCrop>
  <LinksUpToDate>false</LinksUpToDate>
  <CharactersWithSpaces>2763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2026-05-20T01:52:00Z</dcterms:created>
  <dc:creator>俏 何</dc:creator>
  <cp:lastModifiedBy>漆燕</cp:lastModifiedBy>
  <cp:lastPrinted>2026-05-06T10:10:00Z</cp:lastPrinted>
  <dcterms:modified xsi:type="dcterms:W3CDTF">2026-07-21T02:48:36Z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eyJoZGlkIjoiMmUzMDI3NDlkNzI3ZTI3YTQ0YmExMDBiOTJjNjg5MTQiLCJ1c2VySWQiOiIxNzg5OTQ4MzM2In0=</vt:lpwstr>
  </property>
  <property fmtid="{D5CDD505-2E9C-101B-9397-08002B2CF9AE}" pid="3" name="KSOProductBuildVer">
    <vt:lpwstr>2052-12.1.0.24655</vt:lpwstr>
  </property>
  <property fmtid="{D5CDD505-2E9C-101B-9397-08002B2CF9AE}" pid="4" name="ICV">
    <vt:lpwstr>44FAFB5D63C74B00BA1156B417437B5E</vt:lpwstr>
  </property>
</Properties>
</file>