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CD1DE" w14:textId="1E0B64BF" w:rsidR="003F4F63" w:rsidRDefault="00745277" w:rsidP="00E96117">
      <w:pPr>
        <w:spacing w:line="540" w:lineRule="exact"/>
        <w:jc w:val="center"/>
        <w:outlineLvl w:val="0"/>
        <w:rPr>
          <w:rFonts w:ascii="微软雅黑" w:eastAsia="微软雅黑" w:hAnsi="微软雅黑" w:cs="微软雅黑"/>
          <w:sz w:val="44"/>
          <w:szCs w:val="44"/>
        </w:rPr>
      </w:pPr>
      <w:bookmarkStart w:id="0" w:name="_Toc20698"/>
      <w:bookmarkStart w:id="1" w:name="_Toc4257_WPSOffice_Level1"/>
      <w:r>
        <w:rPr>
          <w:rFonts w:ascii="微软雅黑" w:eastAsia="微软雅黑" w:hAnsi="微软雅黑" w:cs="微软雅黑" w:hint="eastAsia"/>
          <w:sz w:val="44"/>
          <w:szCs w:val="44"/>
        </w:rPr>
        <w:t xml:space="preserve"> </w:t>
      </w:r>
      <w:r>
        <w:rPr>
          <w:rFonts w:ascii="方正小标宋简体" w:eastAsia="方正小标宋简体" w:hAnsi="方正小标宋简体" w:cs="方正小标宋简体" w:hint="eastAsia"/>
          <w:sz w:val="44"/>
          <w:szCs w:val="44"/>
        </w:rPr>
        <w:t>医疗器械警戒质量管理规范（</w:t>
      </w:r>
      <w:r w:rsidR="009534CB">
        <w:rPr>
          <w:rFonts w:ascii="方正小标宋简体" w:eastAsia="方正小标宋简体" w:hAnsi="方正小标宋简体" w:cs="方正小标宋简体" w:hint="eastAsia"/>
          <w:sz w:val="44"/>
          <w:szCs w:val="44"/>
        </w:rPr>
        <w:t>征求意见稿</w:t>
      </w:r>
      <w:r>
        <w:rPr>
          <w:rFonts w:ascii="方正小标宋简体" w:eastAsia="方正小标宋简体" w:hAnsi="方正小标宋简体" w:cs="方正小标宋简体" w:hint="eastAsia"/>
          <w:sz w:val="44"/>
          <w:szCs w:val="44"/>
        </w:rPr>
        <w:t>）</w:t>
      </w:r>
      <w:bookmarkEnd w:id="0"/>
      <w:bookmarkEnd w:id="1"/>
    </w:p>
    <w:p w14:paraId="757760A9" w14:textId="77777777" w:rsidR="003F4F63" w:rsidRPr="00E96117" w:rsidRDefault="00745277" w:rsidP="00E96117">
      <w:pPr>
        <w:pStyle w:val="WPSOffice1"/>
        <w:widowControl w:val="0"/>
        <w:tabs>
          <w:tab w:val="right" w:leader="dot" w:pos="8310"/>
        </w:tabs>
        <w:spacing w:line="540" w:lineRule="exact"/>
        <w:jc w:val="center"/>
        <w:outlineLvl w:val="0"/>
        <w:rPr>
          <w:rFonts w:ascii="黑体" w:eastAsia="黑体" w:hAnsi="黑体" w:cs="微软雅黑"/>
          <w:bCs/>
          <w:kern w:val="2"/>
          <w:sz w:val="32"/>
          <w:szCs w:val="32"/>
        </w:rPr>
      </w:pPr>
      <w:bookmarkStart w:id="2" w:name="_Toc20923"/>
      <w:bookmarkStart w:id="3" w:name="_Toc27740"/>
      <w:bookmarkStart w:id="4" w:name="_Toc15439_WPSOffice_Level1"/>
      <w:r>
        <w:rPr>
          <w:rFonts w:ascii="黑体" w:eastAsia="黑体" w:hAnsi="黑体" w:cs="微软雅黑" w:hint="eastAsia"/>
          <w:bCs/>
          <w:kern w:val="2"/>
          <w:sz w:val="32"/>
          <w:szCs w:val="32"/>
        </w:rPr>
        <w:t>第一章 总  则</w:t>
      </w:r>
      <w:bookmarkEnd w:id="2"/>
      <w:bookmarkEnd w:id="3"/>
      <w:bookmarkEnd w:id="4"/>
    </w:p>
    <w:p w14:paraId="06030AA0"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第一条 为规范医疗器械上市后警戒活动，根据《医疗器械监督管理条例》《医疗器械不良事件监测和再评价管理办法》，制定本规范。</w:t>
      </w:r>
    </w:p>
    <w:p w14:paraId="0633C107"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第二条 本规范适用于医疗器械注册人、备案人和境外医疗器械注册人、备案人指定的境内企业法人（以下简称“</w:t>
      </w:r>
      <w:bookmarkStart w:id="5" w:name="OLE_LINK3"/>
      <w:r w:rsidRPr="00E96117">
        <w:rPr>
          <w:rFonts w:ascii="仿宋_GB2312" w:eastAsia="仿宋_GB2312" w:hAnsi="黑体" w:cs="黑体" w:hint="eastAsia"/>
          <w:sz w:val="32"/>
          <w:szCs w:val="32"/>
        </w:rPr>
        <w:t>进口医疗器械境内责任人</w:t>
      </w:r>
      <w:bookmarkEnd w:id="5"/>
      <w:r w:rsidRPr="00E96117">
        <w:rPr>
          <w:rFonts w:ascii="仿宋_GB2312" w:eastAsia="仿宋_GB2312" w:hAnsi="黑体" w:cs="黑体" w:hint="eastAsia"/>
          <w:sz w:val="32"/>
          <w:szCs w:val="32"/>
        </w:rPr>
        <w:t>”）在医疗器械上市后开展的医疗器械警戒活动。</w:t>
      </w:r>
    </w:p>
    <w:p w14:paraId="4C1566C9"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医疗器械警戒是基于风险管理理念，通过建立制度和质量体系，对医疗器械不良事件及其他与使用医疗器械有关的问题进行监测、识别、评估和控制的科学与活动。</w:t>
      </w:r>
    </w:p>
    <w:p w14:paraId="2C37C1C9" w14:textId="2CAC94BA"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第三条 注册人、备案人或进口医疗器械境内责任人应当建立医疗器械警戒体系，制定与产品风险相适应的警戒计划，对医疗器械不良事件以及其他与使用医疗器械有关的导致或者可能导致</w:t>
      </w:r>
      <w:r w:rsidR="000F3A32">
        <w:rPr>
          <w:rFonts w:ascii="仿宋_GB2312" w:eastAsia="仿宋_GB2312" w:hAnsi="黑体" w:cs="黑体" w:hint="eastAsia"/>
          <w:sz w:val="32"/>
          <w:szCs w:val="32"/>
        </w:rPr>
        <w:t>人体伤害的</w:t>
      </w:r>
      <w:r w:rsidRPr="00E96117">
        <w:rPr>
          <w:rFonts w:ascii="仿宋_GB2312" w:eastAsia="仿宋_GB2312" w:hAnsi="黑体" w:cs="黑体" w:hint="eastAsia"/>
          <w:sz w:val="32"/>
          <w:szCs w:val="32"/>
        </w:rPr>
        <w:t>各种有害事件进行监测、识别、评估和控制。</w:t>
      </w:r>
    </w:p>
    <w:p w14:paraId="5B928453"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第四条 注册人、备案人或进口医疗器械境内责任人应当基于产品风险特征开展警戒活动，降低各类伤害和危险情况发生的可能性，确保医疗器械操作者、患者和其他人员的安全。</w:t>
      </w:r>
      <w:bookmarkStart w:id="6" w:name="_Toc11693"/>
      <w:bookmarkStart w:id="7" w:name="_Toc29515_WPSOffice_Level1"/>
      <w:bookmarkStart w:id="8" w:name="_Toc9836"/>
    </w:p>
    <w:p w14:paraId="3F0E4F0B" w14:textId="77777777" w:rsidR="003F4F63" w:rsidRDefault="00745277" w:rsidP="00E96117">
      <w:pPr>
        <w:pStyle w:val="WPSOffice1"/>
        <w:keepNext/>
        <w:widowControl w:val="0"/>
        <w:tabs>
          <w:tab w:val="right" w:leader="dot" w:pos="8310"/>
        </w:tabs>
        <w:spacing w:line="540" w:lineRule="exact"/>
        <w:jc w:val="center"/>
        <w:outlineLvl w:val="0"/>
        <w:rPr>
          <w:rFonts w:ascii="黑体" w:eastAsia="黑体" w:hAnsi="黑体" w:cs="微软雅黑"/>
          <w:bCs/>
          <w:kern w:val="2"/>
          <w:sz w:val="32"/>
          <w:szCs w:val="32"/>
        </w:rPr>
      </w:pPr>
      <w:r>
        <w:rPr>
          <w:rFonts w:ascii="黑体" w:eastAsia="黑体" w:hAnsi="黑体" w:cs="微软雅黑" w:hint="eastAsia"/>
          <w:bCs/>
          <w:kern w:val="2"/>
          <w:sz w:val="32"/>
          <w:szCs w:val="32"/>
        </w:rPr>
        <w:t xml:space="preserve">第二章 </w:t>
      </w:r>
      <w:bookmarkEnd w:id="6"/>
      <w:r>
        <w:rPr>
          <w:rFonts w:ascii="黑体" w:eastAsia="黑体" w:hAnsi="黑体" w:cs="微软雅黑" w:hint="eastAsia"/>
          <w:bCs/>
          <w:kern w:val="2"/>
          <w:sz w:val="32"/>
          <w:szCs w:val="32"/>
        </w:rPr>
        <w:t>警戒体系</w:t>
      </w:r>
      <w:bookmarkEnd w:id="7"/>
      <w:bookmarkEnd w:id="8"/>
      <w:r>
        <w:rPr>
          <w:rFonts w:ascii="黑体" w:eastAsia="黑体" w:hAnsi="黑体" w:cs="微软雅黑" w:hint="eastAsia"/>
          <w:bCs/>
          <w:kern w:val="2"/>
          <w:sz w:val="32"/>
          <w:szCs w:val="32"/>
        </w:rPr>
        <w:t>的建立</w:t>
      </w:r>
    </w:p>
    <w:p w14:paraId="7F8EC664"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 xml:space="preserve">第五条 注册人、备案人或进口医疗器械境内责任人应当按照本规范的要求，建立与所注册或备案医疗器械产品的数量、规模、风险特征等相适应的医疗器械警戒体系，并纳入质量管理体系中。    </w:t>
      </w:r>
    </w:p>
    <w:p w14:paraId="3CE9D8D9"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lastRenderedPageBreak/>
        <w:t>医疗器械警戒体系重点考虑以下内容：</w:t>
      </w:r>
    </w:p>
    <w:p w14:paraId="1C43BAF3"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（一）设置合理的组织机构；</w:t>
      </w:r>
    </w:p>
    <w:p w14:paraId="1FE0BFC2"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（二）配备满足警戒活动所需的人员、设备和资源；</w:t>
      </w:r>
    </w:p>
    <w:p w14:paraId="39437CB7"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（三）制定符合法律法规要求的管理制度；</w:t>
      </w:r>
    </w:p>
    <w:p w14:paraId="4194734A"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（四）制定全面、清晰、可操作的操作规程；</w:t>
      </w:r>
    </w:p>
    <w:p w14:paraId="430A7DE2"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（五）建立有效、畅通的警戒信息收集途径；</w:t>
      </w:r>
    </w:p>
    <w:p w14:paraId="7AEEFD68"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（六）开展符合法律法规要求的报告与处置活动；</w:t>
      </w:r>
    </w:p>
    <w:p w14:paraId="010458C7"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（七）开展风险识别和评估活动；</w:t>
      </w:r>
    </w:p>
    <w:p w14:paraId="73175C68"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（八）对已识别的风险采取有效的控制措施；</w:t>
      </w:r>
    </w:p>
    <w:p w14:paraId="0C09D75A"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（九）确保警戒相关文件和记录可获取、可查阅、可追溯。</w:t>
      </w:r>
    </w:p>
    <w:p w14:paraId="657E1BBC"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第六条 注册人、备案人或进口医疗器械境内责任人，应当建立包含医疗器械警戒体系的质量管理体系，通过一个或多个程序文件，确保警戒活动持续符合相关法律法规要求。</w:t>
      </w:r>
    </w:p>
    <w:p w14:paraId="37AC0C8A" w14:textId="77777777" w:rsidR="003F4F63" w:rsidRPr="00E96117" w:rsidRDefault="00745277" w:rsidP="00E96117">
      <w:pPr>
        <w:spacing w:line="540" w:lineRule="exact"/>
        <w:ind w:firstLineChars="200" w:firstLine="640"/>
        <w:rPr>
          <w:rFonts w:ascii="仿宋_GB2312" w:eastAsia="仿宋_GB2312" w:hAnsi="黑体" w:cs="黑体"/>
          <w:sz w:val="32"/>
          <w:szCs w:val="32"/>
        </w:rPr>
      </w:pPr>
      <w:bookmarkStart w:id="9" w:name="_Toc4948"/>
      <w:bookmarkStart w:id="10" w:name="_Toc12737"/>
      <w:bookmarkStart w:id="11" w:name="_Toc3970"/>
      <w:r w:rsidRPr="00E96117">
        <w:rPr>
          <w:rFonts w:ascii="仿宋_GB2312" w:eastAsia="仿宋_GB2312" w:hAnsi="黑体" w:cs="黑体" w:hint="eastAsia"/>
          <w:sz w:val="32"/>
          <w:szCs w:val="32"/>
        </w:rPr>
        <w:t>医疗器械警戒体系中的</w:t>
      </w:r>
      <w:r w:rsidRPr="00C619E4">
        <w:rPr>
          <w:rFonts w:ascii="仿宋_GB2312" w:eastAsia="仿宋_GB2312" w:hAnsi="黑体" w:cs="黑体" w:hint="eastAsia"/>
          <w:sz w:val="32"/>
          <w:szCs w:val="32"/>
        </w:rPr>
        <w:t>文件</w:t>
      </w:r>
      <w:r w:rsidRPr="00E96117">
        <w:rPr>
          <w:rFonts w:ascii="仿宋_GB2312" w:eastAsia="仿宋_GB2312" w:hAnsi="黑体" w:cs="黑体" w:hint="eastAsia"/>
          <w:sz w:val="32"/>
          <w:szCs w:val="32"/>
        </w:rPr>
        <w:t>至少包括以下内容：</w:t>
      </w:r>
    </w:p>
    <w:p w14:paraId="51174151"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（一）描述与医疗器械警戒活动有关的组织架构、职责及相互关系等；</w:t>
      </w:r>
    </w:p>
    <w:p w14:paraId="1720F002"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（二）描述医疗器械警戒负责人和医疗器械警戒工作人员信息，根据岗位需求与人员能力，制定年度警戒培训计划；</w:t>
      </w:r>
    </w:p>
    <w:p w14:paraId="2F8A8864"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（三）警戒活动相关制度的简要描述和操作规程目录；</w:t>
      </w:r>
    </w:p>
    <w:p w14:paraId="63783972"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（四）医疗器械警戒计划与更新情况，描述警戒数据收集，风险识别、评估和控制等情况；</w:t>
      </w:r>
    </w:p>
    <w:p w14:paraId="4B1EF24A" w14:textId="09ADED45"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（五）</w:t>
      </w:r>
      <w:r w:rsidRPr="00C619E4">
        <w:rPr>
          <w:rFonts w:ascii="仿宋_GB2312" w:eastAsia="仿宋_GB2312" w:hAnsi="黑体" w:cs="黑体" w:hint="eastAsia"/>
          <w:sz w:val="32"/>
          <w:szCs w:val="32"/>
        </w:rPr>
        <w:t>用于医疗器械警戒活动所需的设备与资源</w:t>
      </w:r>
      <w:r w:rsidR="008274CD" w:rsidRPr="00C619E4">
        <w:rPr>
          <w:rFonts w:ascii="仿宋_GB2312" w:eastAsia="仿宋_GB2312" w:hAnsi="黑体" w:cs="黑体" w:hint="eastAsia"/>
          <w:sz w:val="32"/>
          <w:szCs w:val="32"/>
        </w:rPr>
        <w:t>情况</w:t>
      </w:r>
      <w:r w:rsidRPr="00C619E4">
        <w:rPr>
          <w:rFonts w:ascii="仿宋_GB2312" w:eastAsia="仿宋_GB2312" w:hAnsi="黑体" w:cs="黑体" w:hint="eastAsia"/>
          <w:sz w:val="32"/>
          <w:szCs w:val="32"/>
        </w:rPr>
        <w:t>，</w:t>
      </w:r>
      <w:r w:rsidR="008274CD" w:rsidRPr="00C619E4">
        <w:rPr>
          <w:rFonts w:ascii="仿宋_GB2312" w:eastAsia="仿宋_GB2312" w:hAnsi="黑体" w:cs="黑体" w:hint="eastAsia"/>
          <w:sz w:val="32"/>
          <w:szCs w:val="32"/>
        </w:rPr>
        <w:t>描述</w:t>
      </w:r>
      <w:r w:rsidRPr="00C619E4">
        <w:rPr>
          <w:rFonts w:ascii="仿宋_GB2312" w:eastAsia="仿宋_GB2312" w:hAnsi="黑体" w:cs="黑体" w:hint="eastAsia"/>
          <w:sz w:val="32"/>
          <w:szCs w:val="32"/>
        </w:rPr>
        <w:t>办公区域和设施、资料存储空间和设备、信息化工具或系统、文献资料数据等</w:t>
      </w:r>
      <w:r w:rsidR="008274CD" w:rsidRPr="00C619E4">
        <w:rPr>
          <w:rFonts w:ascii="仿宋_GB2312" w:eastAsia="仿宋_GB2312" w:hAnsi="黑体" w:cs="黑体" w:hint="eastAsia"/>
          <w:sz w:val="32"/>
          <w:szCs w:val="32"/>
        </w:rPr>
        <w:t>情况</w:t>
      </w:r>
      <w:r w:rsidRPr="00C619E4">
        <w:rPr>
          <w:rFonts w:ascii="仿宋_GB2312" w:eastAsia="仿宋_GB2312" w:hAnsi="黑体" w:cs="黑体" w:hint="eastAsia"/>
          <w:sz w:val="32"/>
          <w:szCs w:val="32"/>
        </w:rPr>
        <w:t>；</w:t>
      </w:r>
    </w:p>
    <w:p w14:paraId="3784B30D"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（六）附录包括与警戒活动有关的制度和操作规程文件、</w:t>
      </w:r>
      <w:r w:rsidRPr="00E96117">
        <w:rPr>
          <w:rFonts w:ascii="仿宋_GB2312" w:eastAsia="仿宋_GB2312" w:hAnsi="黑体" w:cs="黑体" w:hint="eastAsia"/>
          <w:sz w:val="32"/>
          <w:szCs w:val="32"/>
        </w:rPr>
        <w:lastRenderedPageBreak/>
        <w:t>医疗器械清单、委托协议、内审报告、主文件修订日志等。</w:t>
      </w:r>
    </w:p>
    <w:p w14:paraId="71624536"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第七条 注册人、备案人或进口医疗器械境内责任人应当建立文件控制程序，系统地设计、制定、审核、批准和发放警戒体系文件。规范记录医疗器械警戒活动的过程和结果，妥善管理医疗器械警戒活动产生的记录与数据。</w:t>
      </w:r>
    </w:p>
    <w:p w14:paraId="7FC4A741" w14:textId="77777777" w:rsidR="003F4F63" w:rsidRDefault="00745277" w:rsidP="00E96117">
      <w:pPr>
        <w:spacing w:line="540" w:lineRule="exact"/>
        <w:jc w:val="center"/>
        <w:outlineLvl w:val="0"/>
        <w:rPr>
          <w:rFonts w:ascii="黑体" w:eastAsia="黑体" w:hAnsi="黑体" w:cs="微软雅黑"/>
          <w:bCs/>
          <w:sz w:val="32"/>
          <w:szCs w:val="32"/>
        </w:rPr>
      </w:pPr>
      <w:bookmarkStart w:id="12" w:name="_Toc9926"/>
      <w:bookmarkStart w:id="13" w:name="_Toc6620_WPSOffice_Level1"/>
      <w:r>
        <w:rPr>
          <w:rFonts w:ascii="黑体" w:eastAsia="黑体" w:hAnsi="黑体" w:cs="微软雅黑" w:hint="eastAsia"/>
          <w:bCs/>
          <w:sz w:val="32"/>
          <w:szCs w:val="32"/>
        </w:rPr>
        <w:t>第三章 机构和人员</w:t>
      </w:r>
      <w:bookmarkEnd w:id="12"/>
      <w:bookmarkEnd w:id="13"/>
    </w:p>
    <w:p w14:paraId="51FEF2D5" w14:textId="77777777" w:rsidR="003F4F63" w:rsidRPr="00E96117" w:rsidRDefault="00745277" w:rsidP="00E96117">
      <w:pPr>
        <w:spacing w:line="540" w:lineRule="exact"/>
        <w:ind w:firstLineChars="200" w:firstLine="640"/>
        <w:rPr>
          <w:rFonts w:ascii="仿宋_GB2312" w:eastAsia="仿宋_GB2312" w:hAnsi="黑体" w:cs="黑体"/>
          <w:sz w:val="32"/>
          <w:szCs w:val="32"/>
        </w:rPr>
      </w:pPr>
      <w:bookmarkStart w:id="14" w:name="_Toc18968"/>
      <w:bookmarkStart w:id="15" w:name="_Toc23112"/>
      <w:bookmarkEnd w:id="9"/>
      <w:bookmarkEnd w:id="10"/>
      <w:bookmarkEnd w:id="11"/>
      <w:r w:rsidRPr="00E96117">
        <w:rPr>
          <w:rFonts w:ascii="仿宋_GB2312" w:eastAsia="仿宋_GB2312" w:hAnsi="黑体" w:cs="黑体" w:hint="eastAsia"/>
          <w:sz w:val="32"/>
          <w:szCs w:val="32"/>
        </w:rPr>
        <w:t>第八条 注册人、备案人应当成立医疗器械警戒工作领导小组，建立工作机制，负责重大风险</w:t>
      </w:r>
      <w:proofErr w:type="gramStart"/>
      <w:r w:rsidRPr="00E96117">
        <w:rPr>
          <w:rFonts w:ascii="仿宋_GB2312" w:eastAsia="仿宋_GB2312" w:hAnsi="黑体" w:cs="黑体" w:hint="eastAsia"/>
          <w:sz w:val="32"/>
          <w:szCs w:val="32"/>
        </w:rPr>
        <w:t>研</w:t>
      </w:r>
      <w:proofErr w:type="gramEnd"/>
      <w:r w:rsidRPr="00E96117">
        <w:rPr>
          <w:rFonts w:ascii="仿宋_GB2312" w:eastAsia="仿宋_GB2312" w:hAnsi="黑体" w:cs="黑体" w:hint="eastAsia"/>
          <w:sz w:val="32"/>
          <w:szCs w:val="32"/>
        </w:rPr>
        <w:t>判、死亡和聚集性不良事件处置、医疗器械警戒计划审核以及其他与医疗器械警戒有关的重大事项。</w:t>
      </w:r>
    </w:p>
    <w:p w14:paraId="01039205"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第九条 医疗器械警戒工作领导小组应当由注册人、备案人的法定代表人或主要负责人、医疗器械警戒负责人及相关部门负责人等成员组成。对于境外医疗器械注册人、备案人，其进口医疗器械境内责任人应作为医疗器械警戒工作领导小组成员。</w:t>
      </w:r>
    </w:p>
    <w:p w14:paraId="33DF376F"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第十条 注册人、备案人或进口医疗器械境内责任人应当设立医疗器械警戒部门或者指定相关部门负责医疗器械警戒工作，并履行以下主要职责：</w:t>
      </w:r>
    </w:p>
    <w:p w14:paraId="0D13A9D9" w14:textId="77777777" w:rsidR="003F4F63" w:rsidRPr="00E96117" w:rsidRDefault="00745277" w:rsidP="00E96117">
      <w:pPr>
        <w:spacing w:line="540" w:lineRule="exact"/>
        <w:ind w:firstLineChars="200" w:firstLine="640"/>
        <w:rPr>
          <w:rFonts w:ascii="仿宋_GB2312" w:eastAsia="仿宋_GB2312" w:hAnsi="黑体" w:cs="黑体"/>
          <w:sz w:val="32"/>
          <w:szCs w:val="32"/>
        </w:rPr>
      </w:pPr>
      <w:bookmarkStart w:id="16" w:name="_Toc29518"/>
      <w:r w:rsidRPr="00E96117">
        <w:rPr>
          <w:rFonts w:ascii="仿宋_GB2312" w:eastAsia="仿宋_GB2312" w:hAnsi="黑体" w:cs="黑体" w:hint="eastAsia"/>
          <w:sz w:val="32"/>
          <w:szCs w:val="32"/>
        </w:rPr>
        <w:t>（一）组织撰写医疗器械警戒体系文件；</w:t>
      </w:r>
    </w:p>
    <w:p w14:paraId="5EEC882A"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（二）组织或参与创建医疗器械警戒计划，依照计划</w:t>
      </w:r>
      <w:bookmarkEnd w:id="16"/>
      <w:r w:rsidRPr="00E96117">
        <w:rPr>
          <w:rFonts w:ascii="仿宋_GB2312" w:eastAsia="仿宋_GB2312" w:hAnsi="黑体" w:cs="黑体" w:hint="eastAsia"/>
          <w:sz w:val="32"/>
          <w:szCs w:val="32"/>
        </w:rPr>
        <w:t>开展警戒信息的收集与报告；</w:t>
      </w:r>
    </w:p>
    <w:p w14:paraId="318B8160"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（三）识别和评估医疗器械风险，提出风险管理建议，组织或参与风险控制、风险沟通等活动，参与风险管理定期评审；</w:t>
      </w:r>
    </w:p>
    <w:p w14:paraId="02AC57B6" w14:textId="3A5FCD5D"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（四）组织或参与开展医疗器械上市后</w:t>
      </w:r>
      <w:r w:rsidR="005A4B5C">
        <w:rPr>
          <w:rFonts w:ascii="仿宋_GB2312" w:eastAsia="仿宋_GB2312" w:hAnsi="黑体" w:cs="黑体" w:hint="eastAsia"/>
          <w:sz w:val="32"/>
          <w:szCs w:val="32"/>
        </w:rPr>
        <w:t>安全性</w:t>
      </w:r>
      <w:r w:rsidRPr="00E96117">
        <w:rPr>
          <w:rFonts w:ascii="仿宋_GB2312" w:eastAsia="仿宋_GB2312" w:hAnsi="黑体" w:cs="黑体" w:hint="eastAsia"/>
          <w:sz w:val="32"/>
          <w:szCs w:val="32"/>
        </w:rPr>
        <w:t>评价；</w:t>
      </w:r>
    </w:p>
    <w:p w14:paraId="7213ADC3"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（五）组织或协助开展医疗器械警戒相关的交流和培训；</w:t>
      </w:r>
    </w:p>
    <w:p w14:paraId="15817BCF"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lastRenderedPageBreak/>
        <w:t>（六）其他与医疗器械警戒相关的工作。</w:t>
      </w:r>
    </w:p>
    <w:p w14:paraId="6F926527"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第十一条 注册人、备案人应当明确其他内部相关部门在医疗器械警戒活动中的职责，确保良好的沟通和协调机制，并保持警戒体系持续有效运行。</w:t>
      </w:r>
    </w:p>
    <w:bookmarkEnd w:id="14"/>
    <w:p w14:paraId="41BE275A"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第十二条 医疗器械警戒负责人应当是具备一定职务的管理人员，具备相关工作经验和专业知识，承担以下职责：</w:t>
      </w:r>
    </w:p>
    <w:p w14:paraId="64ABECB6"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（一）负责组织警戒数据收集，识别与评估风险，确保风险控制措施的有效执行；</w:t>
      </w:r>
    </w:p>
    <w:p w14:paraId="6BA0AF79" w14:textId="77777777" w:rsidR="003F4F63" w:rsidRPr="00E96117" w:rsidRDefault="00745277" w:rsidP="00E96117">
      <w:pPr>
        <w:spacing w:line="540" w:lineRule="exact"/>
        <w:ind w:firstLineChars="200" w:firstLine="640"/>
        <w:rPr>
          <w:rFonts w:ascii="仿宋_GB2312" w:eastAsia="仿宋_GB2312" w:hAnsi="黑体" w:cs="黑体"/>
          <w:sz w:val="32"/>
          <w:szCs w:val="32"/>
        </w:rPr>
      </w:pPr>
      <w:bookmarkStart w:id="17" w:name="_Toc3535"/>
      <w:r w:rsidRPr="00E96117">
        <w:rPr>
          <w:rFonts w:ascii="仿宋_GB2312" w:eastAsia="仿宋_GB2312" w:hAnsi="黑体" w:cs="黑体" w:hint="eastAsia"/>
          <w:sz w:val="32"/>
          <w:szCs w:val="32"/>
        </w:rPr>
        <w:t>（二）负责审核或签发医疗器械警戒活动文件；</w:t>
      </w:r>
    </w:p>
    <w:p w14:paraId="0DD00B44"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（三）负责组织风险沟通，确保沟通及时有效；</w:t>
      </w:r>
    </w:p>
    <w:p w14:paraId="5E47F2AC"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（四）负责向警戒工作领导小组报告警戒有关事项；</w:t>
      </w:r>
    </w:p>
    <w:p w14:paraId="09FD9EBA"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（五）确保医疗器械警戒数据报告与评价的合</w:t>
      </w:r>
      <w:proofErr w:type="gramStart"/>
      <w:r w:rsidRPr="00E96117">
        <w:rPr>
          <w:rFonts w:ascii="仿宋_GB2312" w:eastAsia="仿宋_GB2312" w:hAnsi="黑体" w:cs="黑体" w:hint="eastAsia"/>
          <w:sz w:val="32"/>
          <w:szCs w:val="32"/>
        </w:rPr>
        <w:t>规</w:t>
      </w:r>
      <w:proofErr w:type="gramEnd"/>
      <w:r w:rsidRPr="00E96117">
        <w:rPr>
          <w:rFonts w:ascii="仿宋_GB2312" w:eastAsia="仿宋_GB2312" w:hAnsi="黑体" w:cs="黑体" w:hint="eastAsia"/>
          <w:sz w:val="32"/>
          <w:szCs w:val="32"/>
        </w:rPr>
        <w:t>性；</w:t>
      </w:r>
    </w:p>
    <w:p w14:paraId="6F366197"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（六）确保组织内部以及与药品监督管理部门的沟通渠道顺畅；</w:t>
      </w:r>
    </w:p>
    <w:p w14:paraId="5672C87A"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（七）确保警戒活动有效运行所需的人力资源、基础设施和工作环境。</w:t>
      </w:r>
    </w:p>
    <w:bookmarkEnd w:id="17"/>
    <w:p w14:paraId="4322CC9B"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第十三条 从事医疗器械警戒活动的工作人员应当具有相关专业知识，熟悉医疗器械相关法律法规和技术指南，具备开展医疗器械警戒活动所需的知识和技能。</w:t>
      </w:r>
    </w:p>
    <w:p w14:paraId="00C45635"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第十四条 注册人、备案人或进口医疗器械境内责任人应当开展医疗器械警戒培训，根据岗位需求与人员能力制定适宜的医疗器械警戒培训计划，按计划开展培训并评估培训效果。</w:t>
      </w:r>
    </w:p>
    <w:p w14:paraId="017F8B7C" w14:textId="77777777" w:rsidR="003F4F63" w:rsidRDefault="00745277" w:rsidP="00E96117">
      <w:pPr>
        <w:pStyle w:val="WPSOffice1"/>
        <w:widowControl w:val="0"/>
        <w:tabs>
          <w:tab w:val="right" w:leader="dot" w:pos="8310"/>
        </w:tabs>
        <w:spacing w:line="540" w:lineRule="exact"/>
        <w:jc w:val="center"/>
        <w:outlineLvl w:val="0"/>
        <w:rPr>
          <w:rFonts w:ascii="黑体" w:eastAsia="黑体" w:hAnsi="黑体" w:cs="微软雅黑"/>
          <w:bCs/>
          <w:kern w:val="2"/>
          <w:sz w:val="32"/>
          <w:szCs w:val="32"/>
        </w:rPr>
      </w:pPr>
      <w:bookmarkStart w:id="18" w:name="_Toc30795_WPSOffice_Level1"/>
      <w:bookmarkStart w:id="19" w:name="_Toc23842"/>
      <w:bookmarkStart w:id="20" w:name="_Toc6389"/>
      <w:bookmarkStart w:id="21" w:name="_Toc2466"/>
      <w:bookmarkStart w:id="22" w:name="_Toc31463"/>
      <w:bookmarkEnd w:id="15"/>
      <w:r>
        <w:rPr>
          <w:rFonts w:ascii="黑体" w:eastAsia="黑体" w:hAnsi="黑体" w:cs="微软雅黑" w:hint="eastAsia"/>
          <w:bCs/>
          <w:kern w:val="2"/>
          <w:sz w:val="32"/>
          <w:szCs w:val="32"/>
        </w:rPr>
        <w:t>第四章 医疗器械警戒计划</w:t>
      </w:r>
      <w:bookmarkEnd w:id="18"/>
      <w:bookmarkEnd w:id="19"/>
    </w:p>
    <w:p w14:paraId="754F31EA" w14:textId="77777777" w:rsidR="003F4F63" w:rsidRPr="00E96117" w:rsidRDefault="00745277" w:rsidP="00E96117">
      <w:pPr>
        <w:spacing w:line="540" w:lineRule="exact"/>
        <w:ind w:firstLineChars="200" w:firstLine="640"/>
        <w:rPr>
          <w:rFonts w:ascii="仿宋_GB2312" w:eastAsia="仿宋_GB2312" w:hAnsi="黑体" w:cs="黑体"/>
          <w:sz w:val="32"/>
          <w:szCs w:val="32"/>
        </w:rPr>
      </w:pPr>
      <w:bookmarkStart w:id="23" w:name="_Toc12522"/>
      <w:r w:rsidRPr="00E96117">
        <w:rPr>
          <w:rFonts w:ascii="仿宋_GB2312" w:eastAsia="仿宋_GB2312" w:hAnsi="黑体" w:cs="黑体" w:hint="eastAsia"/>
          <w:sz w:val="32"/>
          <w:szCs w:val="32"/>
        </w:rPr>
        <w:t>第十五条 注册人、备案人应当制定医疗器械警戒计划，根据注册或备案医疗器械产品的风险特征，明确警戒计划的内</w:t>
      </w:r>
      <w:r w:rsidRPr="00E96117">
        <w:rPr>
          <w:rFonts w:ascii="仿宋_GB2312" w:eastAsia="仿宋_GB2312" w:hAnsi="黑体" w:cs="黑体" w:hint="eastAsia"/>
          <w:sz w:val="32"/>
          <w:szCs w:val="32"/>
        </w:rPr>
        <w:lastRenderedPageBreak/>
        <w:t>容，并按计划开展相关警戒活动。</w:t>
      </w:r>
    </w:p>
    <w:p w14:paraId="03CB1D8A"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第十六条 注册人、备案人或进口医疗器械境内责任人应当将医疗器械警戒计划作为警戒体系的重要文件，医疗器械警戒计划应当符合风险管理的要求，内容包括产品范围、警戒目标、数据收集、风险分析、风险控制和内部审查等。</w:t>
      </w:r>
    </w:p>
    <w:p w14:paraId="716A7F34" w14:textId="488CCB60"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第十七条 注册人、备案人或进口医疗器械境内责任人应当在警戒计划中明确开展上市后</w:t>
      </w:r>
      <w:r w:rsidR="00F36F4B">
        <w:rPr>
          <w:rFonts w:ascii="仿宋_GB2312" w:eastAsia="仿宋_GB2312" w:hAnsi="黑体" w:cs="黑体" w:hint="eastAsia"/>
          <w:sz w:val="32"/>
          <w:szCs w:val="32"/>
        </w:rPr>
        <w:t>安全性</w:t>
      </w:r>
      <w:r w:rsidRPr="00E96117">
        <w:rPr>
          <w:rFonts w:ascii="仿宋_GB2312" w:eastAsia="仿宋_GB2312" w:hAnsi="黑体" w:cs="黑体" w:hint="eastAsia"/>
          <w:sz w:val="32"/>
          <w:szCs w:val="32"/>
        </w:rPr>
        <w:t>评价的情形，对医疗器械上市后的安全性进行持续研究。</w:t>
      </w:r>
    </w:p>
    <w:p w14:paraId="0647CEE6"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第十八条 注册人、备案人或进口医疗器械境内责任人应当适时对警戒计划开展审查，必要时可以根据审查结果，对警戒计划进行更新或修正。更新过程信息应当真实、准确、完整和</w:t>
      </w:r>
      <w:proofErr w:type="gramStart"/>
      <w:r w:rsidRPr="00E96117">
        <w:rPr>
          <w:rFonts w:ascii="仿宋_GB2312" w:eastAsia="仿宋_GB2312" w:hAnsi="黑体" w:cs="黑体" w:hint="eastAsia"/>
          <w:sz w:val="32"/>
          <w:szCs w:val="32"/>
        </w:rPr>
        <w:t>可</w:t>
      </w:r>
      <w:proofErr w:type="gramEnd"/>
      <w:r w:rsidRPr="00E96117">
        <w:rPr>
          <w:rFonts w:ascii="仿宋_GB2312" w:eastAsia="仿宋_GB2312" w:hAnsi="黑体" w:cs="黑体" w:hint="eastAsia"/>
          <w:sz w:val="32"/>
          <w:szCs w:val="32"/>
        </w:rPr>
        <w:t>追溯，并依据文件管理操作规程对医疗器械警戒计划进行版本号管理。</w:t>
      </w:r>
    </w:p>
    <w:p w14:paraId="6C36DAFF" w14:textId="77777777" w:rsidR="003F4F63" w:rsidRDefault="00745277" w:rsidP="00E96117">
      <w:pPr>
        <w:pStyle w:val="WPSOffice1"/>
        <w:widowControl w:val="0"/>
        <w:tabs>
          <w:tab w:val="right" w:leader="dot" w:pos="8310"/>
        </w:tabs>
        <w:spacing w:line="540" w:lineRule="exact"/>
        <w:jc w:val="center"/>
        <w:outlineLvl w:val="0"/>
        <w:rPr>
          <w:rFonts w:ascii="黑体" w:eastAsia="黑体" w:hAnsi="黑体" w:cs="微软雅黑"/>
          <w:bCs/>
          <w:kern w:val="2"/>
          <w:sz w:val="32"/>
          <w:szCs w:val="32"/>
        </w:rPr>
      </w:pPr>
      <w:bookmarkStart w:id="24" w:name="_Toc15300"/>
      <w:bookmarkStart w:id="25" w:name="_Toc2190_WPSOffice_Level1"/>
      <w:bookmarkStart w:id="26" w:name="_Toc27468"/>
      <w:bookmarkEnd w:id="20"/>
      <w:bookmarkEnd w:id="21"/>
      <w:bookmarkEnd w:id="22"/>
      <w:bookmarkEnd w:id="23"/>
      <w:r>
        <w:rPr>
          <w:rFonts w:ascii="黑体" w:eastAsia="黑体" w:hAnsi="黑体" w:cs="微软雅黑" w:hint="eastAsia"/>
          <w:bCs/>
          <w:kern w:val="2"/>
          <w:sz w:val="32"/>
          <w:szCs w:val="32"/>
        </w:rPr>
        <w:t>第五章 警戒数据收集、报告与评价</w:t>
      </w:r>
      <w:bookmarkEnd w:id="24"/>
      <w:bookmarkEnd w:id="25"/>
    </w:p>
    <w:p w14:paraId="3098F041"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第十九条 注册人、备案人或进口医疗器械境内责任人应当建立警戒数据收集的程序，明确数据收集的方式、更新数据的周期、数据记录的格式，以及数据管理和保存的要求。</w:t>
      </w:r>
    </w:p>
    <w:p w14:paraId="746406E7"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第二十条 注册人、备案人或进口医疗器械境内责任人应当有效运行质量管理体系中的售后服务程序、用户反馈处理程序，保存相关记录、对反馈信息进行跟踪分析，满足可追溯的要求，并对医疗器械的安全性有关的用户反馈进行重点关注。</w:t>
      </w:r>
    </w:p>
    <w:p w14:paraId="194D8E01"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第二十一条 注册人、备案人或进口医疗器械境内责任人应当定期对国内外学术文献进行检索，制定合理的检索策略，包括研究频次、文献筛选标准、文献检索策略、文献质量评价和数据分析方法等。</w:t>
      </w:r>
    </w:p>
    <w:p w14:paraId="1210AA6B"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lastRenderedPageBreak/>
        <w:t>第二十二条 注册人、备案人或进口医疗器械境内责任人应当根据产品警戒计划中严重程度判断标准，对事件严重程度进行合理判断，及时开展调查分析评价。</w:t>
      </w:r>
    </w:p>
    <w:p w14:paraId="4C9DB925"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第二十三条 注册人、备案人或进口医疗器械境内责任人应当建立科学合理的警戒数据风险识别方法，及时识别风险问题，包括但不限于潜在的、聚集性的和风险趋势异常的问题，发现风险管理文档中未明确的潜在风险。</w:t>
      </w:r>
    </w:p>
    <w:p w14:paraId="0F5517C0" w14:textId="152B99CC"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第二十四条</w:t>
      </w:r>
      <w:bookmarkStart w:id="27" w:name="OLE_LINK1"/>
      <w:bookmarkStart w:id="28" w:name="OLE_LINK2"/>
      <w:r w:rsidRPr="00E96117">
        <w:rPr>
          <w:rFonts w:ascii="仿宋_GB2312" w:eastAsia="仿宋_GB2312" w:hAnsi="黑体" w:cs="黑体" w:hint="eastAsia"/>
          <w:sz w:val="32"/>
          <w:szCs w:val="32"/>
        </w:rPr>
        <w:t xml:space="preserve"> 注册人、备案人或进口医疗器械境内责任人需要掌握运用趋势分析的方法，定期</w:t>
      </w:r>
      <w:r w:rsidR="008C4752">
        <w:rPr>
          <w:rFonts w:ascii="仿宋_GB2312" w:eastAsia="仿宋_GB2312" w:hAnsi="黑体" w:cs="黑体" w:hint="eastAsia"/>
          <w:sz w:val="32"/>
          <w:szCs w:val="32"/>
        </w:rPr>
        <w:t>分析</w:t>
      </w:r>
      <w:r w:rsidRPr="00E96117">
        <w:rPr>
          <w:rFonts w:ascii="仿宋_GB2312" w:eastAsia="仿宋_GB2312" w:hAnsi="黑体" w:cs="黑体" w:hint="eastAsia"/>
          <w:sz w:val="32"/>
          <w:szCs w:val="32"/>
        </w:rPr>
        <w:t>警戒数据，设置科学合理的趋势</w:t>
      </w:r>
      <w:r w:rsidR="008C4752">
        <w:rPr>
          <w:rFonts w:ascii="仿宋_GB2312" w:eastAsia="仿宋_GB2312" w:hAnsi="黑体" w:cs="黑体" w:hint="eastAsia"/>
          <w:sz w:val="32"/>
          <w:szCs w:val="32"/>
        </w:rPr>
        <w:t>分析方法</w:t>
      </w:r>
      <w:r w:rsidRPr="00E96117">
        <w:rPr>
          <w:rFonts w:ascii="仿宋_GB2312" w:eastAsia="仿宋_GB2312" w:hAnsi="黑体" w:cs="黑体" w:hint="eastAsia"/>
          <w:sz w:val="32"/>
          <w:szCs w:val="32"/>
        </w:rPr>
        <w:t>，主动观察产品风险特征的变化，持续识别、评估和控制风险。</w:t>
      </w:r>
      <w:bookmarkEnd w:id="27"/>
      <w:bookmarkEnd w:id="28"/>
    </w:p>
    <w:p w14:paraId="5FB2A339"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第二十五条 注册人、备案人或进口医疗器械境内责任人应当制定风险可接受性标准，结合伤害发生概率与事件严重程度评估风险。</w:t>
      </w:r>
    </w:p>
    <w:p w14:paraId="772ACE78"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根据风险评估结果，必要时开展风险控制，根据需要更新产品警戒计划、风险管理文档等。</w:t>
      </w:r>
    </w:p>
    <w:p w14:paraId="68C1209F" w14:textId="4F1BCCAF"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第二十六条 注册人、备案人或进口医疗器械境内责任人应当</w:t>
      </w:r>
      <w:r w:rsidRPr="004137D6">
        <w:rPr>
          <w:rFonts w:ascii="仿宋_GB2312" w:eastAsia="仿宋_GB2312" w:hAnsi="黑体" w:cs="黑体" w:hint="eastAsia"/>
          <w:sz w:val="32"/>
          <w:szCs w:val="32"/>
        </w:rPr>
        <w:t>按要求</w:t>
      </w:r>
      <w:r w:rsidR="004137D6" w:rsidRPr="004137D6">
        <w:rPr>
          <w:rFonts w:ascii="仿宋_GB2312" w:eastAsia="仿宋_GB2312" w:hAnsi="黑体" w:cs="黑体" w:hint="eastAsia"/>
          <w:sz w:val="32"/>
          <w:szCs w:val="32"/>
        </w:rPr>
        <w:t>撰写</w:t>
      </w:r>
      <w:r w:rsidRPr="00E96117">
        <w:rPr>
          <w:rFonts w:ascii="仿宋_GB2312" w:eastAsia="仿宋_GB2312" w:hAnsi="黑体" w:cs="黑体" w:hint="eastAsia"/>
          <w:sz w:val="32"/>
          <w:szCs w:val="32"/>
        </w:rPr>
        <w:t>上市后</w:t>
      </w:r>
      <w:r w:rsidRPr="007854ED">
        <w:rPr>
          <w:rFonts w:ascii="仿宋_GB2312" w:eastAsia="仿宋_GB2312" w:hAnsi="黑体" w:cs="黑体" w:hint="eastAsia"/>
          <w:sz w:val="32"/>
          <w:szCs w:val="32"/>
        </w:rPr>
        <w:t>定期安全性更新报告</w:t>
      </w:r>
      <w:r w:rsidRPr="00E96117">
        <w:rPr>
          <w:rFonts w:ascii="仿宋_GB2312" w:eastAsia="仿宋_GB2312" w:hAnsi="黑体" w:cs="黑体" w:hint="eastAsia"/>
          <w:sz w:val="32"/>
          <w:szCs w:val="32"/>
        </w:rPr>
        <w:t>，包括警戒数据汇总分析、文献研究等内容，报告数据覆盖期应当保持完整性和连续性。</w:t>
      </w:r>
    </w:p>
    <w:p w14:paraId="6C8F99E7"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第二十七条 注册人、备案人或进口医疗器械境内责任人应当规范记录医疗器械警戒活动的过程和结果，妥善管理医疗器械警戒活动产生的记录与数据。</w:t>
      </w:r>
    </w:p>
    <w:p w14:paraId="22FB9DBE"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注册人、备案人或进口医疗器械境内责任人应当按规定保存数据记录，包括记录的标识、保管、检索、保存期限和处置</w:t>
      </w:r>
      <w:r w:rsidRPr="00E96117">
        <w:rPr>
          <w:rFonts w:ascii="仿宋_GB2312" w:eastAsia="仿宋_GB2312" w:hAnsi="黑体" w:cs="黑体" w:hint="eastAsia"/>
          <w:sz w:val="32"/>
          <w:szCs w:val="32"/>
        </w:rPr>
        <w:lastRenderedPageBreak/>
        <w:t>要求等，在保存和处理记录和数据的各个阶段应当采取特定的措施，确保记录和数据的安全性和保密性。</w:t>
      </w:r>
    </w:p>
    <w:p w14:paraId="7534A4BC" w14:textId="77777777" w:rsidR="003F4F63" w:rsidRDefault="00745277" w:rsidP="00E96117">
      <w:pPr>
        <w:pStyle w:val="WPSOffice1"/>
        <w:widowControl w:val="0"/>
        <w:tabs>
          <w:tab w:val="right" w:leader="dot" w:pos="8310"/>
        </w:tabs>
        <w:spacing w:line="540" w:lineRule="exact"/>
        <w:jc w:val="center"/>
        <w:outlineLvl w:val="0"/>
        <w:rPr>
          <w:rFonts w:ascii="黑体" w:eastAsia="黑体" w:hAnsi="黑体" w:cs="微软雅黑"/>
          <w:bCs/>
          <w:kern w:val="2"/>
          <w:sz w:val="32"/>
          <w:szCs w:val="32"/>
        </w:rPr>
      </w:pPr>
      <w:bookmarkStart w:id="29" w:name="_Toc12098_WPSOffice_Level1"/>
      <w:bookmarkStart w:id="30" w:name="_Toc25329"/>
      <w:r>
        <w:rPr>
          <w:rFonts w:ascii="黑体" w:eastAsia="黑体" w:hAnsi="黑体" w:cs="微软雅黑" w:hint="eastAsia"/>
          <w:bCs/>
          <w:kern w:val="2"/>
          <w:sz w:val="32"/>
          <w:szCs w:val="32"/>
        </w:rPr>
        <w:t>第六章 风险控制</w:t>
      </w:r>
      <w:bookmarkEnd w:id="29"/>
      <w:bookmarkEnd w:id="30"/>
    </w:p>
    <w:p w14:paraId="3EAC4A82"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第二十八条 对于已识别的安全风险，注册人、备案人应当综合考虑医疗器械风险特征、医疗器械的可替代性、社会经济因素等，科学制定控制措施计划并组织实施。</w:t>
      </w:r>
    </w:p>
    <w:p w14:paraId="3E219A06"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风险控制措施包括修订说明书、标签、产品技术要求，软件更新，改进设计和生产工艺等措施，并按照规定进行注册变更或者备案变更。</w:t>
      </w:r>
    </w:p>
    <w:p w14:paraId="03A5E847"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控制措施符合医疗器械召回的情形时，按照《医疗器械召回管理办法》执行。</w:t>
      </w:r>
    </w:p>
    <w:p w14:paraId="41F395E3"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第二十九条 注册人、备案人或进口医疗器械境内责任人应当向医务人员、患者、公众传递医疗器械安全性信息，采用不同的风险沟通方式和渠道，制定有针对性的沟通内容，确保及时、准确、有效。</w:t>
      </w:r>
    </w:p>
    <w:p w14:paraId="31163C00"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沟通方式包括发送致医务人员的函、患者</w:t>
      </w:r>
      <w:proofErr w:type="gramStart"/>
      <w:r w:rsidRPr="00E96117">
        <w:rPr>
          <w:rFonts w:ascii="仿宋_GB2312" w:eastAsia="仿宋_GB2312" w:hAnsi="黑体" w:cs="黑体" w:hint="eastAsia"/>
          <w:sz w:val="32"/>
          <w:szCs w:val="32"/>
        </w:rPr>
        <w:t>安全用械提示</w:t>
      </w:r>
      <w:proofErr w:type="gramEnd"/>
      <w:r w:rsidRPr="00E96117">
        <w:rPr>
          <w:rFonts w:ascii="仿宋_GB2312" w:eastAsia="仿宋_GB2312" w:hAnsi="黑体" w:cs="黑体" w:hint="eastAsia"/>
          <w:sz w:val="32"/>
          <w:szCs w:val="32"/>
        </w:rPr>
        <w:t>等。内容应当符合相关法律法规要求，不得包含任何广告或产品推广性质的内容。</w:t>
      </w:r>
    </w:p>
    <w:p w14:paraId="1B920AE8"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致医务人员的函可通过正式信函发送至医务人员，必要时可同时通过医疗器械专业期刊或报纸、具有互联网医药服务资质的网站等专业媒体发布。患者</w:t>
      </w:r>
      <w:proofErr w:type="gramStart"/>
      <w:r w:rsidRPr="00E96117">
        <w:rPr>
          <w:rFonts w:ascii="仿宋_GB2312" w:eastAsia="仿宋_GB2312" w:hAnsi="黑体" w:cs="黑体" w:hint="eastAsia"/>
          <w:sz w:val="32"/>
          <w:szCs w:val="32"/>
        </w:rPr>
        <w:t>安全用械提示</w:t>
      </w:r>
      <w:proofErr w:type="gramEnd"/>
      <w:r w:rsidRPr="00E96117">
        <w:rPr>
          <w:rFonts w:ascii="仿宋_GB2312" w:eastAsia="仿宋_GB2312" w:hAnsi="黑体" w:cs="黑体" w:hint="eastAsia"/>
          <w:sz w:val="32"/>
          <w:szCs w:val="32"/>
        </w:rPr>
        <w:t>可随医疗器械发送至患者，或通过大众媒体进行发布。</w:t>
      </w:r>
    </w:p>
    <w:p w14:paraId="417A01BF"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第三十条 出现下列情况的，注册人、备案人或进口医疗器械境内责任人应当进行紧急告知：</w:t>
      </w:r>
    </w:p>
    <w:p w14:paraId="0E4296C4"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（一）医疗器械存在需要紧急告知医务人员和患者的安全</w:t>
      </w:r>
      <w:r w:rsidRPr="00E96117">
        <w:rPr>
          <w:rFonts w:ascii="仿宋_GB2312" w:eastAsia="仿宋_GB2312" w:hAnsi="黑体" w:cs="黑体" w:hint="eastAsia"/>
          <w:sz w:val="32"/>
          <w:szCs w:val="32"/>
        </w:rPr>
        <w:lastRenderedPageBreak/>
        <w:t>风险，但正在流通的产品不能及时更新说明书的；</w:t>
      </w:r>
    </w:p>
    <w:p w14:paraId="3EFC355E"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（二）存在无法通过修订说明书纠正的不</w:t>
      </w:r>
      <w:proofErr w:type="gramStart"/>
      <w:r w:rsidRPr="00E96117">
        <w:rPr>
          <w:rFonts w:ascii="仿宋_GB2312" w:eastAsia="仿宋_GB2312" w:hAnsi="黑体" w:cs="黑体" w:hint="eastAsia"/>
          <w:sz w:val="32"/>
          <w:szCs w:val="32"/>
        </w:rPr>
        <w:t>合理用械行为</w:t>
      </w:r>
      <w:proofErr w:type="gramEnd"/>
      <w:r w:rsidRPr="00E96117">
        <w:rPr>
          <w:rFonts w:ascii="仿宋_GB2312" w:eastAsia="仿宋_GB2312" w:hAnsi="黑体" w:cs="黑体" w:hint="eastAsia"/>
          <w:sz w:val="32"/>
          <w:szCs w:val="32"/>
        </w:rPr>
        <w:t>，且可能导致严重后果的；</w:t>
      </w:r>
    </w:p>
    <w:p w14:paraId="160A27C4"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（三）其他可能对患者或公众健康造成重大影响的情况。</w:t>
      </w:r>
    </w:p>
    <w:p w14:paraId="07911708" w14:textId="77777777" w:rsidR="003F4F63" w:rsidRDefault="00745277" w:rsidP="00E96117">
      <w:pPr>
        <w:pStyle w:val="WPSOffice1"/>
        <w:widowControl w:val="0"/>
        <w:tabs>
          <w:tab w:val="right" w:leader="dot" w:pos="8310"/>
        </w:tabs>
        <w:spacing w:line="540" w:lineRule="exact"/>
        <w:jc w:val="center"/>
        <w:outlineLvl w:val="0"/>
        <w:rPr>
          <w:rFonts w:ascii="黑体" w:eastAsia="黑体" w:hAnsi="黑体" w:cs="微软雅黑"/>
          <w:bCs/>
          <w:kern w:val="2"/>
          <w:sz w:val="32"/>
          <w:szCs w:val="32"/>
        </w:rPr>
      </w:pPr>
      <w:bookmarkStart w:id="31" w:name="_Toc2977"/>
      <w:bookmarkStart w:id="32" w:name="_Toc26141_WPSOffice_Level1"/>
      <w:r>
        <w:rPr>
          <w:rFonts w:ascii="黑体" w:eastAsia="黑体" w:hAnsi="黑体" w:cs="微软雅黑" w:hint="eastAsia"/>
          <w:bCs/>
          <w:kern w:val="2"/>
          <w:sz w:val="32"/>
          <w:szCs w:val="32"/>
        </w:rPr>
        <w:t>第七章 上市后安全性评价</w:t>
      </w:r>
      <w:bookmarkEnd w:id="31"/>
      <w:bookmarkEnd w:id="32"/>
    </w:p>
    <w:p w14:paraId="0B67306E"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第三十一条 注册人、备案人或进口医疗器械境内责任人应当按产品警戒计划或药品监督管理部门的要求，主动对已上市医疗器械开展安全性评价。</w:t>
      </w:r>
    </w:p>
    <w:p w14:paraId="46EA23CD"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第三十二条 注册人、备案人或进口医疗器械境内责任人主动开展上市后安全性评价的情形如下：</w:t>
      </w:r>
    </w:p>
    <w:p w14:paraId="1D62592E"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（一）处于首个注册周期的创新医疗器械、高风险植入类医疗器械、医疗机构外使用的维持生命类医疗器械、高风险儿童用械；</w:t>
      </w:r>
    </w:p>
    <w:p w14:paraId="42177768"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（二）技术相对成熟的二类、三类医疗器械，需要持续关注风险趋势的；</w:t>
      </w:r>
    </w:p>
    <w:p w14:paraId="3308862C"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（三）使用场景由医疗机构扩展到患者自用的医疗器械；</w:t>
      </w:r>
    </w:p>
    <w:p w14:paraId="1FFFAC83"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（四）药品监督管理部门要求开展上市后安全性评价的其他情形。</w:t>
      </w:r>
    </w:p>
    <w:p w14:paraId="7255B7CA"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第三十三条 注册人、备案人或进口医疗器械境内责任人收到药品监督管理部门要求开展上市后安全性评价的通知后，应当在3</w:t>
      </w:r>
      <w:r w:rsidRPr="00E96117">
        <w:rPr>
          <w:rFonts w:ascii="仿宋_GB2312" w:eastAsia="仿宋_GB2312" w:hAnsi="黑体" w:cs="黑体"/>
          <w:sz w:val="32"/>
          <w:szCs w:val="32"/>
        </w:rPr>
        <w:t>0</w:t>
      </w:r>
      <w:r w:rsidRPr="00E96117">
        <w:rPr>
          <w:rFonts w:ascii="仿宋_GB2312" w:eastAsia="仿宋_GB2312" w:hAnsi="黑体" w:cs="黑体" w:hint="eastAsia"/>
          <w:sz w:val="32"/>
          <w:szCs w:val="32"/>
        </w:rPr>
        <w:t>日内提交方案。方案中需要清楚地描述研究目标、研究方法、数据来源、研究终点、数据管理和时间安排等。</w:t>
      </w:r>
    </w:p>
    <w:p w14:paraId="519A0CC5" w14:textId="77777777" w:rsidR="003F4F63" w:rsidRPr="00E96117" w:rsidRDefault="00745277" w:rsidP="00E96117">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上市后安全性评价完成后的3个月内形成研究报告，向相应药品监督管理部门报告。实施期限超过1年的，应当按要求提交年度进展情况。研究报告需要包括方案概述、数据来源情</w:t>
      </w:r>
      <w:r w:rsidRPr="00E96117">
        <w:rPr>
          <w:rFonts w:ascii="仿宋_GB2312" w:eastAsia="仿宋_GB2312" w:hAnsi="黑体" w:cs="黑体" w:hint="eastAsia"/>
          <w:sz w:val="32"/>
          <w:szCs w:val="32"/>
        </w:rPr>
        <w:lastRenderedPageBreak/>
        <w:t>况、数据分析过程、数据分析结果和研究结论等。</w:t>
      </w:r>
    </w:p>
    <w:p w14:paraId="57A9C3A5" w14:textId="77777777" w:rsidR="003F4F63" w:rsidRDefault="00745277" w:rsidP="00E96117">
      <w:pPr>
        <w:pStyle w:val="WPSOffice1"/>
        <w:widowControl w:val="0"/>
        <w:tabs>
          <w:tab w:val="right" w:leader="dot" w:pos="8310"/>
        </w:tabs>
        <w:spacing w:line="540" w:lineRule="exact"/>
        <w:jc w:val="center"/>
        <w:outlineLvl w:val="0"/>
        <w:rPr>
          <w:rFonts w:ascii="黑体" w:eastAsia="黑体" w:hAnsi="黑体" w:cs="微软雅黑"/>
          <w:bCs/>
          <w:kern w:val="2"/>
          <w:sz w:val="32"/>
          <w:szCs w:val="32"/>
        </w:rPr>
      </w:pPr>
      <w:bookmarkStart w:id="33" w:name="_Toc32007"/>
      <w:bookmarkStart w:id="34" w:name="_Toc27735_WPSOffice_Level1"/>
      <w:bookmarkStart w:id="35" w:name="_Toc10719"/>
      <w:bookmarkStart w:id="36" w:name="_Toc16541"/>
      <w:bookmarkEnd w:id="26"/>
      <w:r>
        <w:rPr>
          <w:rFonts w:ascii="黑体" w:eastAsia="黑体" w:hAnsi="黑体" w:cs="微软雅黑" w:hint="eastAsia"/>
          <w:bCs/>
          <w:kern w:val="2"/>
          <w:sz w:val="32"/>
          <w:szCs w:val="32"/>
        </w:rPr>
        <w:t>第八章 附则</w:t>
      </w:r>
      <w:bookmarkEnd w:id="33"/>
      <w:bookmarkEnd w:id="34"/>
      <w:bookmarkEnd w:id="35"/>
      <w:bookmarkEnd w:id="36"/>
    </w:p>
    <w:p w14:paraId="203DCE81" w14:textId="77777777" w:rsidR="003F4F63" w:rsidRPr="00E96117" w:rsidRDefault="00745277" w:rsidP="00B213D9">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第三十四条 本规范下列术语的含义：</w:t>
      </w:r>
    </w:p>
    <w:p w14:paraId="2F1C939A" w14:textId="77777777" w:rsidR="003F4F63" w:rsidRPr="00E96117" w:rsidRDefault="00745277" w:rsidP="00B213D9">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（一）医疗器械不良事件：是已上市的医疗器械，在正常使用情况下发生的，导致或者可能导致人体伤害的各种有害事件。</w:t>
      </w:r>
    </w:p>
    <w:p w14:paraId="7D403E90" w14:textId="77777777" w:rsidR="003F4F63" w:rsidRPr="00E96117" w:rsidRDefault="00745277" w:rsidP="00B213D9">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（二）上市后安全性评价：在医疗器械上市后主动、系统、科学有效地收集、分析与产品安全有关性能的科学活动。</w:t>
      </w:r>
    </w:p>
    <w:p w14:paraId="5C811E6B" w14:textId="77777777" w:rsidR="003F4F63" w:rsidRPr="00E96117" w:rsidRDefault="00745277" w:rsidP="00B213D9">
      <w:pPr>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上市后安全性评价的具体形式包括注册人、备案人或进口医疗器械境内责任人在医疗器械上市后开展的警戒数据收集、定期安全性更新报告、风险控制等常规性工作，以及按照药品监督管理部门要求或者产品警戒计划开展的主动监测等。</w:t>
      </w:r>
    </w:p>
    <w:p w14:paraId="35789C72" w14:textId="73DFF8F4" w:rsidR="003F4F63" w:rsidRPr="00E96117" w:rsidRDefault="00745277" w:rsidP="00B213D9">
      <w:pPr>
        <w:adjustRightInd w:val="0"/>
        <w:snapToGrid w:val="0"/>
        <w:spacing w:line="540" w:lineRule="exact"/>
        <w:ind w:firstLineChars="200" w:firstLine="640"/>
        <w:rPr>
          <w:rFonts w:ascii="仿宋_GB2312" w:eastAsia="仿宋_GB2312" w:hAnsi="黑体" w:cs="黑体"/>
          <w:sz w:val="32"/>
          <w:szCs w:val="32"/>
        </w:rPr>
      </w:pPr>
      <w:r w:rsidRPr="00E96117">
        <w:rPr>
          <w:rFonts w:ascii="仿宋_GB2312" w:eastAsia="仿宋_GB2312" w:hAnsi="黑体" w:cs="黑体" w:hint="eastAsia"/>
          <w:sz w:val="32"/>
          <w:szCs w:val="32"/>
        </w:rPr>
        <w:t>（三）使用错误：是指由于一个动作或动作的疏忽而造成不同于医疗器械注册人、备案人预期或用户期望的医疗</w:t>
      </w:r>
      <w:r w:rsidR="000B58F2">
        <w:rPr>
          <w:rFonts w:ascii="仿宋_GB2312" w:eastAsia="仿宋_GB2312" w:hAnsi="黑体" w:cs="黑体" w:hint="eastAsia"/>
          <w:sz w:val="32"/>
          <w:szCs w:val="32"/>
        </w:rPr>
        <w:t>器械</w:t>
      </w:r>
      <w:r w:rsidRPr="00E96117">
        <w:rPr>
          <w:rFonts w:ascii="仿宋_GB2312" w:eastAsia="仿宋_GB2312" w:hAnsi="黑体" w:cs="黑体" w:hint="eastAsia"/>
          <w:sz w:val="32"/>
          <w:szCs w:val="32"/>
        </w:rPr>
        <w:t>响应。使用错误包括疏忽、失误和差错。</w:t>
      </w:r>
    </w:p>
    <w:sectPr w:rsidR="003F4F63" w:rsidRPr="00E96117">
      <w:headerReference w:type="even" r:id="rId7"/>
      <w:headerReference w:type="default" r:id="rId8"/>
      <w:footerReference w:type="even" r:id="rId9"/>
      <w:footerReference w:type="default" r:id="rId10"/>
      <w:headerReference w:type="first" r:id="rId11"/>
      <w:footerReference w:type="first" r:id="rId12"/>
      <w:pgSz w:w="11906" w:h="16838"/>
      <w:pgMar w:top="1440" w:right="1689" w:bottom="1440" w:left="168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65027" w14:textId="77777777" w:rsidR="006C039F" w:rsidRDefault="006C039F" w:rsidP="00B81E88">
      <w:r>
        <w:separator/>
      </w:r>
    </w:p>
  </w:endnote>
  <w:endnote w:type="continuationSeparator" w:id="0">
    <w:p w14:paraId="26C0B762" w14:textId="77777777" w:rsidR="006C039F" w:rsidRDefault="006C039F" w:rsidP="00B8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2180A592-0F64-435B-A5B8-12F3D7A1FD81}"/>
  </w:font>
  <w:font w:name="微软雅黑">
    <w:panose1 w:val="020B0503020204020204"/>
    <w:charset w:val="86"/>
    <w:family w:val="swiss"/>
    <w:pitch w:val="variable"/>
    <w:sig w:usb0="80000287" w:usb1="2ACF3C50" w:usb2="00000016" w:usb3="00000000" w:csb0="0004001F" w:csb1="00000000"/>
    <w:embedRegular r:id="rId2" w:subsetted="1" w:fontKey="{D27F855E-3E8A-4100-9AB7-5E0235D678B2}"/>
  </w:font>
  <w:font w:name="黑体">
    <w:altName w:val="SimHei"/>
    <w:panose1 w:val="02010609060101010101"/>
    <w:charset w:val="86"/>
    <w:family w:val="modern"/>
    <w:pitch w:val="fixed"/>
    <w:sig w:usb0="800002BF" w:usb1="38CF7CFA" w:usb2="00000016" w:usb3="00000000" w:csb0="00040001" w:csb1="00000000"/>
    <w:embedRegular r:id="rId3" w:subsetted="1" w:fontKey="{AE8C4226-F0E9-4193-8EB6-4BD555A666A4}"/>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方正仿宋_GB2312">
    <w:altName w:val="Arial Unicode MS"/>
    <w:charset w:val="86"/>
    <w:family w:val="auto"/>
    <w:pitch w:val="default"/>
    <w:sig w:usb0="00000000" w:usb1="184F6CFA" w:usb2="00000012" w:usb3="00000000" w:csb0="00040001" w:csb1="00000000"/>
  </w:font>
  <w:font w:name="方正小标宋简体">
    <w:panose1 w:val="03000509000000000000"/>
    <w:charset w:val="86"/>
    <w:family w:val="script"/>
    <w:pitch w:val="fixed"/>
    <w:sig w:usb0="00000001" w:usb1="080E0000" w:usb2="00000010" w:usb3="00000000" w:csb0="00040000" w:csb1="00000000"/>
    <w:embedRegular r:id="rId4" w:subsetted="1" w:fontKey="{4C636BD0-D0F7-4E68-B30D-774C00B65CAF}"/>
  </w:font>
  <w:font w:name="仿宋_GB2312">
    <w:panose1 w:val="02010609030101010101"/>
    <w:charset w:val="86"/>
    <w:family w:val="modern"/>
    <w:pitch w:val="fixed"/>
    <w:sig w:usb0="00000001" w:usb1="080E0000" w:usb2="00000010" w:usb3="00000000" w:csb0="00040000" w:csb1="00000000"/>
    <w:embedRegular r:id="rId5" w:subsetted="1" w:fontKey="{7BB086D3-430A-44BF-BE49-C09917AEF901}"/>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3C8D1" w14:textId="77777777" w:rsidR="00E145C9" w:rsidRDefault="00E145C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540237"/>
      <w:docPartObj>
        <w:docPartGallery w:val="Page Numbers (Bottom of Page)"/>
        <w:docPartUnique/>
      </w:docPartObj>
    </w:sdtPr>
    <w:sdtContent>
      <w:bookmarkStart w:id="37" w:name="_GoBack" w:displacedByCustomXml="prev"/>
      <w:bookmarkEnd w:id="37" w:displacedByCustomXml="prev"/>
      <w:p w14:paraId="086CC053" w14:textId="56B23C9D" w:rsidR="00E145C9" w:rsidRDefault="00E145C9">
        <w:pPr>
          <w:pStyle w:val="a5"/>
          <w:jc w:val="center"/>
        </w:pPr>
        <w:r>
          <w:fldChar w:fldCharType="begin"/>
        </w:r>
        <w:r>
          <w:instrText>PAGE   \* MERGEFORMAT</w:instrText>
        </w:r>
        <w:r>
          <w:fldChar w:fldCharType="separate"/>
        </w:r>
        <w:r w:rsidR="00AD2BD4" w:rsidRPr="00AD2BD4">
          <w:rPr>
            <w:noProof/>
            <w:lang w:val="zh-CN"/>
          </w:rPr>
          <w:t>1</w:t>
        </w:r>
        <w:r>
          <w:fldChar w:fldCharType="end"/>
        </w:r>
      </w:p>
    </w:sdtContent>
  </w:sdt>
  <w:p w14:paraId="583FB4A4" w14:textId="77777777" w:rsidR="00E145C9" w:rsidRDefault="00E145C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CC363" w14:textId="77777777" w:rsidR="00E145C9" w:rsidRDefault="00E145C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B0651" w14:textId="77777777" w:rsidR="006C039F" w:rsidRDefault="006C039F" w:rsidP="00B81E88">
      <w:r>
        <w:separator/>
      </w:r>
    </w:p>
  </w:footnote>
  <w:footnote w:type="continuationSeparator" w:id="0">
    <w:p w14:paraId="0A954B39" w14:textId="77777777" w:rsidR="006C039F" w:rsidRDefault="006C039F" w:rsidP="00B81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E3A0B" w14:textId="77777777" w:rsidR="00E145C9" w:rsidRDefault="00E145C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EF80B" w14:textId="77777777" w:rsidR="00E145C9" w:rsidRDefault="00E145C9">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95EF7" w14:textId="77777777" w:rsidR="00E145C9" w:rsidRDefault="00E145C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MWZmNmFmZGQzNGQyOWU2Y2ZhZDFlOGQxZTExNzYifQ=="/>
  </w:docVars>
  <w:rsids>
    <w:rsidRoot w:val="3E467936"/>
    <w:rsid w:val="000468C9"/>
    <w:rsid w:val="000B58F2"/>
    <w:rsid w:val="000F3A32"/>
    <w:rsid w:val="0010119E"/>
    <w:rsid w:val="00151E1F"/>
    <w:rsid w:val="00171CD5"/>
    <w:rsid w:val="001A2232"/>
    <w:rsid w:val="001C5E64"/>
    <w:rsid w:val="002514F1"/>
    <w:rsid w:val="002B7A59"/>
    <w:rsid w:val="002D6608"/>
    <w:rsid w:val="002F04C4"/>
    <w:rsid w:val="003F4F63"/>
    <w:rsid w:val="004137D6"/>
    <w:rsid w:val="00422512"/>
    <w:rsid w:val="005A4B5C"/>
    <w:rsid w:val="005D6E88"/>
    <w:rsid w:val="00612427"/>
    <w:rsid w:val="006C039F"/>
    <w:rsid w:val="006F6EAF"/>
    <w:rsid w:val="0073762D"/>
    <w:rsid w:val="00745277"/>
    <w:rsid w:val="0077500E"/>
    <w:rsid w:val="007854ED"/>
    <w:rsid w:val="00790DEE"/>
    <w:rsid w:val="008274CD"/>
    <w:rsid w:val="0083654A"/>
    <w:rsid w:val="00871324"/>
    <w:rsid w:val="008C4752"/>
    <w:rsid w:val="008C7116"/>
    <w:rsid w:val="00917B64"/>
    <w:rsid w:val="009534CB"/>
    <w:rsid w:val="009C41D4"/>
    <w:rsid w:val="009E26EA"/>
    <w:rsid w:val="00A92690"/>
    <w:rsid w:val="00AA1833"/>
    <w:rsid w:val="00AD2BD4"/>
    <w:rsid w:val="00AE558C"/>
    <w:rsid w:val="00B04B4D"/>
    <w:rsid w:val="00B213D9"/>
    <w:rsid w:val="00B81E88"/>
    <w:rsid w:val="00C11035"/>
    <w:rsid w:val="00C56C9E"/>
    <w:rsid w:val="00C619E4"/>
    <w:rsid w:val="00C9130A"/>
    <w:rsid w:val="00CC03D4"/>
    <w:rsid w:val="00E145C9"/>
    <w:rsid w:val="00E221B7"/>
    <w:rsid w:val="00E8426B"/>
    <w:rsid w:val="00E96117"/>
    <w:rsid w:val="00EE7748"/>
    <w:rsid w:val="00EF65B0"/>
    <w:rsid w:val="00F36F4B"/>
    <w:rsid w:val="00FF3831"/>
    <w:rsid w:val="02D57984"/>
    <w:rsid w:val="047343F5"/>
    <w:rsid w:val="05536C4A"/>
    <w:rsid w:val="07513407"/>
    <w:rsid w:val="096C0E0F"/>
    <w:rsid w:val="09AB4393"/>
    <w:rsid w:val="0DA46170"/>
    <w:rsid w:val="0F257D36"/>
    <w:rsid w:val="10F41772"/>
    <w:rsid w:val="12042B30"/>
    <w:rsid w:val="147047B1"/>
    <w:rsid w:val="15913E2E"/>
    <w:rsid w:val="18A44DE0"/>
    <w:rsid w:val="1B645C4A"/>
    <w:rsid w:val="1F552C1D"/>
    <w:rsid w:val="1FE43DE1"/>
    <w:rsid w:val="204A785C"/>
    <w:rsid w:val="25184E18"/>
    <w:rsid w:val="26B71CCE"/>
    <w:rsid w:val="27F66699"/>
    <w:rsid w:val="282835C4"/>
    <w:rsid w:val="28A1140D"/>
    <w:rsid w:val="2AEE11B1"/>
    <w:rsid w:val="2EAD7042"/>
    <w:rsid w:val="30854A7E"/>
    <w:rsid w:val="31496946"/>
    <w:rsid w:val="31FD425F"/>
    <w:rsid w:val="325669A0"/>
    <w:rsid w:val="3AB85F2B"/>
    <w:rsid w:val="3E467936"/>
    <w:rsid w:val="3EFE75E8"/>
    <w:rsid w:val="41F54745"/>
    <w:rsid w:val="454A058C"/>
    <w:rsid w:val="46462128"/>
    <w:rsid w:val="49520D56"/>
    <w:rsid w:val="4DAE7392"/>
    <w:rsid w:val="4FA21C82"/>
    <w:rsid w:val="540249B2"/>
    <w:rsid w:val="5407079F"/>
    <w:rsid w:val="56011B50"/>
    <w:rsid w:val="564927D4"/>
    <w:rsid w:val="566444F5"/>
    <w:rsid w:val="5866141B"/>
    <w:rsid w:val="5A293F16"/>
    <w:rsid w:val="5BE34B31"/>
    <w:rsid w:val="5D4724B9"/>
    <w:rsid w:val="5EF62DCD"/>
    <w:rsid w:val="64144421"/>
    <w:rsid w:val="6F806E0F"/>
    <w:rsid w:val="71600CA6"/>
    <w:rsid w:val="727120A6"/>
    <w:rsid w:val="742B065D"/>
    <w:rsid w:val="747B6563"/>
    <w:rsid w:val="763470F7"/>
    <w:rsid w:val="76D57A40"/>
    <w:rsid w:val="77CA1BDB"/>
    <w:rsid w:val="7B772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iPriority="99"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uiPriority w:val="9"/>
    <w:qFormat/>
    <w:pPr>
      <w:keepNext/>
      <w:keepLines/>
      <w:jc w:val="center"/>
      <w:outlineLvl w:val="0"/>
    </w:pPr>
    <w:rPr>
      <w:rFonts w:eastAsia="微软雅黑" w:cs="微软雅黑"/>
      <w:sz w:val="44"/>
      <w:szCs w:val="44"/>
    </w:rPr>
  </w:style>
  <w:style w:type="paragraph" w:styleId="2">
    <w:name w:val="heading 2"/>
    <w:basedOn w:val="a"/>
    <w:next w:val="a"/>
    <w:autoRedefine/>
    <w:uiPriority w:val="9"/>
    <w:qFormat/>
    <w:pPr>
      <w:keepNext/>
      <w:keepLines/>
      <w:outlineLvl w:val="1"/>
    </w:pPr>
    <w:rPr>
      <w:rFonts w:eastAsia="黑体" w:cs="黑体"/>
    </w:rPr>
  </w:style>
  <w:style w:type="paragraph" w:styleId="3">
    <w:name w:val="heading 3"/>
    <w:basedOn w:val="a"/>
    <w:next w:val="a"/>
    <w:uiPriority w:val="9"/>
    <w:unhideWhenUsed/>
    <w:qFormat/>
    <w:pPr>
      <w:keepNext/>
      <w:keepLines/>
      <w:outlineLvl w:val="2"/>
    </w:pPr>
    <w:rPr>
      <w:rFonts w:eastAsia="楷体" w:cs="楷体"/>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semiHidden/>
    <w:unhideWhenUsed/>
    <w:qFormat/>
    <w:rPr>
      <w:sz w:val="18"/>
      <w:szCs w:val="18"/>
    </w:rPr>
  </w:style>
  <w:style w:type="paragraph" w:styleId="a5">
    <w:name w:val="footer"/>
    <w:basedOn w:val="a"/>
    <w:link w:val="Char1"/>
    <w:autoRedefine/>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semiHidden/>
    <w:unhideWhenUsed/>
    <w:qFormat/>
    <w:rPr>
      <w:b/>
      <w:bC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annotation reference"/>
    <w:basedOn w:val="a0"/>
    <w:autoRedefine/>
    <w:uiPriority w:val="99"/>
    <w:qFormat/>
    <w:rPr>
      <w:sz w:val="21"/>
      <w:szCs w:val="21"/>
    </w:rPr>
  </w:style>
  <w:style w:type="paragraph" w:customStyle="1" w:styleId="WPSOffice1">
    <w:name w:val="WPSOffice手动目录 1"/>
    <w:qFormat/>
  </w:style>
  <w:style w:type="paragraph" w:customStyle="1" w:styleId="Bodytext1">
    <w:name w:val="Body text|1"/>
    <w:basedOn w:val="a"/>
    <w:autoRedefine/>
    <w:qFormat/>
    <w:pPr>
      <w:spacing w:after="130" w:line="377" w:lineRule="auto"/>
      <w:ind w:firstLine="400"/>
    </w:pPr>
    <w:rPr>
      <w:rFonts w:ascii="宋体" w:eastAsia="宋体" w:hAnsi="宋体" w:cs="宋体"/>
      <w:sz w:val="30"/>
      <w:szCs w:val="30"/>
      <w:lang w:val="zh-TW" w:eastAsia="zh-TW" w:bidi="zh-TW"/>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Arial" w:hAnsi="Arial" w:cs="Arial" w:hint="default"/>
      <w:color w:val="000000"/>
      <w:sz w:val="20"/>
      <w:szCs w:val="20"/>
      <w:u w:val="none"/>
    </w:rPr>
  </w:style>
  <w:style w:type="character" w:customStyle="1" w:styleId="font21">
    <w:name w:val="font21"/>
    <w:basedOn w:val="a0"/>
    <w:qFormat/>
    <w:rPr>
      <w:rFonts w:ascii="方正仿宋_GB2312" w:eastAsia="方正仿宋_GB2312" w:hAnsi="方正仿宋_GB2312" w:cs="方正仿宋_GB2312" w:hint="eastAsia"/>
      <w:color w:val="000000"/>
      <w:sz w:val="24"/>
      <w:szCs w:val="24"/>
      <w:u w:val="none"/>
    </w:r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character" w:customStyle="1" w:styleId="Char0">
    <w:name w:val="批注框文本 Char"/>
    <w:basedOn w:val="a0"/>
    <w:link w:val="a4"/>
    <w:semiHidden/>
    <w:qFormat/>
    <w:rPr>
      <w:rFonts w:asciiTheme="minorHAnsi" w:eastAsiaTheme="minorEastAsia" w:hAnsiTheme="minorHAnsi" w:cstheme="minorBidi"/>
      <w:kern w:val="2"/>
      <w:sz w:val="18"/>
      <w:szCs w:val="18"/>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3">
    <w:name w:val="批注主题 Char"/>
    <w:basedOn w:val="Char"/>
    <w:link w:val="a7"/>
    <w:semiHidden/>
    <w:qFormat/>
    <w:rPr>
      <w:rFonts w:asciiTheme="minorHAnsi" w:eastAsiaTheme="minorEastAsia" w:hAnsiTheme="minorHAnsi" w:cstheme="minorBidi"/>
      <w:b/>
      <w:bCs/>
      <w:kern w:val="2"/>
      <w:sz w:val="21"/>
      <w:szCs w:val="24"/>
    </w:rPr>
  </w:style>
  <w:style w:type="character" w:customStyle="1" w:styleId="Char1">
    <w:name w:val="页脚 Char"/>
    <w:basedOn w:val="a0"/>
    <w:link w:val="a5"/>
    <w:uiPriority w:val="99"/>
    <w:rsid w:val="00E145C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iPriority="99"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uiPriority w:val="9"/>
    <w:qFormat/>
    <w:pPr>
      <w:keepNext/>
      <w:keepLines/>
      <w:jc w:val="center"/>
      <w:outlineLvl w:val="0"/>
    </w:pPr>
    <w:rPr>
      <w:rFonts w:eastAsia="微软雅黑" w:cs="微软雅黑"/>
      <w:sz w:val="44"/>
      <w:szCs w:val="44"/>
    </w:rPr>
  </w:style>
  <w:style w:type="paragraph" w:styleId="2">
    <w:name w:val="heading 2"/>
    <w:basedOn w:val="a"/>
    <w:next w:val="a"/>
    <w:autoRedefine/>
    <w:uiPriority w:val="9"/>
    <w:qFormat/>
    <w:pPr>
      <w:keepNext/>
      <w:keepLines/>
      <w:outlineLvl w:val="1"/>
    </w:pPr>
    <w:rPr>
      <w:rFonts w:eastAsia="黑体" w:cs="黑体"/>
    </w:rPr>
  </w:style>
  <w:style w:type="paragraph" w:styleId="3">
    <w:name w:val="heading 3"/>
    <w:basedOn w:val="a"/>
    <w:next w:val="a"/>
    <w:uiPriority w:val="9"/>
    <w:unhideWhenUsed/>
    <w:qFormat/>
    <w:pPr>
      <w:keepNext/>
      <w:keepLines/>
      <w:outlineLvl w:val="2"/>
    </w:pPr>
    <w:rPr>
      <w:rFonts w:eastAsia="楷体" w:cs="楷体"/>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semiHidden/>
    <w:unhideWhenUsed/>
    <w:qFormat/>
    <w:rPr>
      <w:sz w:val="18"/>
      <w:szCs w:val="18"/>
    </w:rPr>
  </w:style>
  <w:style w:type="paragraph" w:styleId="a5">
    <w:name w:val="footer"/>
    <w:basedOn w:val="a"/>
    <w:link w:val="Char1"/>
    <w:autoRedefine/>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semiHidden/>
    <w:unhideWhenUsed/>
    <w:qFormat/>
    <w:rPr>
      <w:b/>
      <w:bC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annotation reference"/>
    <w:basedOn w:val="a0"/>
    <w:autoRedefine/>
    <w:uiPriority w:val="99"/>
    <w:qFormat/>
    <w:rPr>
      <w:sz w:val="21"/>
      <w:szCs w:val="21"/>
    </w:rPr>
  </w:style>
  <w:style w:type="paragraph" w:customStyle="1" w:styleId="WPSOffice1">
    <w:name w:val="WPSOffice手动目录 1"/>
    <w:qFormat/>
  </w:style>
  <w:style w:type="paragraph" w:customStyle="1" w:styleId="Bodytext1">
    <w:name w:val="Body text|1"/>
    <w:basedOn w:val="a"/>
    <w:autoRedefine/>
    <w:qFormat/>
    <w:pPr>
      <w:spacing w:after="130" w:line="377" w:lineRule="auto"/>
      <w:ind w:firstLine="400"/>
    </w:pPr>
    <w:rPr>
      <w:rFonts w:ascii="宋体" w:eastAsia="宋体" w:hAnsi="宋体" w:cs="宋体"/>
      <w:sz w:val="30"/>
      <w:szCs w:val="30"/>
      <w:lang w:val="zh-TW" w:eastAsia="zh-TW" w:bidi="zh-TW"/>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Arial" w:hAnsi="Arial" w:cs="Arial" w:hint="default"/>
      <w:color w:val="000000"/>
      <w:sz w:val="20"/>
      <w:szCs w:val="20"/>
      <w:u w:val="none"/>
    </w:rPr>
  </w:style>
  <w:style w:type="character" w:customStyle="1" w:styleId="font21">
    <w:name w:val="font21"/>
    <w:basedOn w:val="a0"/>
    <w:qFormat/>
    <w:rPr>
      <w:rFonts w:ascii="方正仿宋_GB2312" w:eastAsia="方正仿宋_GB2312" w:hAnsi="方正仿宋_GB2312" w:cs="方正仿宋_GB2312" w:hint="eastAsia"/>
      <w:color w:val="000000"/>
      <w:sz w:val="24"/>
      <w:szCs w:val="24"/>
      <w:u w:val="none"/>
    </w:r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character" w:customStyle="1" w:styleId="Char0">
    <w:name w:val="批注框文本 Char"/>
    <w:basedOn w:val="a0"/>
    <w:link w:val="a4"/>
    <w:semiHidden/>
    <w:qFormat/>
    <w:rPr>
      <w:rFonts w:asciiTheme="minorHAnsi" w:eastAsiaTheme="minorEastAsia" w:hAnsiTheme="minorHAnsi" w:cstheme="minorBidi"/>
      <w:kern w:val="2"/>
      <w:sz w:val="18"/>
      <w:szCs w:val="18"/>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3">
    <w:name w:val="批注主题 Char"/>
    <w:basedOn w:val="Char"/>
    <w:link w:val="a7"/>
    <w:semiHidden/>
    <w:qFormat/>
    <w:rPr>
      <w:rFonts w:asciiTheme="minorHAnsi" w:eastAsiaTheme="minorEastAsia" w:hAnsiTheme="minorHAnsi" w:cstheme="minorBidi"/>
      <w:b/>
      <w:bCs/>
      <w:kern w:val="2"/>
      <w:sz w:val="21"/>
      <w:szCs w:val="24"/>
    </w:rPr>
  </w:style>
  <w:style w:type="character" w:customStyle="1" w:styleId="Char1">
    <w:name w:val="页脚 Char"/>
    <w:basedOn w:val="a0"/>
    <w:link w:val="a5"/>
    <w:uiPriority w:val="99"/>
    <w:rsid w:val="00E145C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9</Pages>
  <Words>708</Words>
  <Characters>4038</Characters>
  <Application>Microsoft Office Word</Application>
  <DocSecurity>0</DocSecurity>
  <Lines>33</Lines>
  <Paragraphs>9</Paragraphs>
  <ScaleCrop>false</ScaleCrop>
  <Company>神州网信技术有限公司</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bzh</dc:creator>
  <cp:lastModifiedBy>宋雅娜</cp:lastModifiedBy>
  <cp:revision>39</cp:revision>
  <dcterms:created xsi:type="dcterms:W3CDTF">2024-06-24T01:00:00Z</dcterms:created>
  <dcterms:modified xsi:type="dcterms:W3CDTF">2026-02-12T01:17:00Z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D81C85C441A7404D8D0DF0B11152EA7D_13</vt:lpwstr>
  </property>
  <property fmtid="{D5CDD505-2E9C-101B-9397-08002B2CF9AE}" pid="4" name="KSOTemplateDocerSaveRecord">
    <vt:lpwstr>eyJoZGlkIjoiMWNjODgzNDE4ZTYwODdjZDJmMTU1NWQ1ZDNjOWI1MzIiLCJ1c2VySWQiOiI0MDc5NTQ5MzQifQ==</vt:lpwstr>
  </property>
</Properties>
</file>