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92" w:lineRule="exact"/>
        <w:jc w:val="center"/>
        <w:rPr>
          <w:rFonts w:ascii="Times New Roman" w:hAnsi="Times New Roman" w:eastAsia="方正小标宋简体" w:cs="Times New Roman"/>
          <w:sz w:val="44"/>
          <w:szCs w:val="44"/>
        </w:rPr>
      </w:pPr>
      <w:bookmarkStart w:id="1" w:name="_GoBack"/>
      <w:r>
        <w:rPr>
          <w:rFonts w:ascii="Times New Roman" w:hAnsi="Times New Roman" w:eastAsia="方正小标宋简体" w:cs="Times New Roman"/>
          <w:sz w:val="44"/>
          <w:szCs w:val="44"/>
        </w:rPr>
        <w:t>湖南省医保定点医疗机构违规收费问题清单（第一批）</w:t>
      </w:r>
    </w:p>
    <w:bookmarkEnd w:id="1"/>
    <w:p>
      <w:pPr>
        <w:spacing w:line="400" w:lineRule="exact"/>
        <w:ind w:firstLine="480" w:firstLineChars="200"/>
        <w:jc w:val="left"/>
        <w:rPr>
          <w:rFonts w:ascii="Times New Roman" w:hAnsi="Times New Roman" w:eastAsia="仿宋_GB2312" w:cs="Times New Roman"/>
          <w:kern w:val="0"/>
          <w:sz w:val="24"/>
          <w:szCs w:val="24"/>
        </w:rPr>
      </w:pPr>
    </w:p>
    <w:p>
      <w:pPr>
        <w:spacing w:line="3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重复收费是指医保定点医疗机构对所提供的某一医疗服务重复收费的行为。常见表现形式为收取某一医疗服务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项目费用的数量超过实际提供服务的数量。</w:t>
      </w:r>
    </w:p>
    <w:p>
      <w:pPr>
        <w:spacing w:line="3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收费是指医保定点医疗机构对所提供的某一医疗服务，超过该医疗服务价格项目相关定价标准（或医保定点非公立医疗机构医疗服务协议约定价格标准）收取费用的行为。常见表现形式包括：超过政府最高指导价收费，超过该医疗服务价格项目相关价格加收标准等。</w:t>
      </w:r>
    </w:p>
    <w:p>
      <w:pPr>
        <w:spacing w:line="3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分解项目收费是指医保定点医疗机构对所提供的某一医疗服务，分解加收该医疗服务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项目内涵、步骤（过程）等涵盖的医疗服务项目、特殊器械、耗材等费用的行为。常见表现形式包括：不据实收取该医疗服务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项目费用，而将这一医疗服务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项目按内涵或步骤（过程）分解为多个医疗服务价格项目收费；收取该医疗服务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项目费用同时，加收这一医疗服务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项目内涵或步骤（过程）涵盖的一个及以上医疗服务项目费用；收取该医疗服务</w:t>
      </w:r>
      <w:r>
        <w:rPr>
          <w:rFonts w:hint="eastAsia" w:ascii="Times New Roman" w:hAnsi="Times New Roman" w:eastAsia="仿宋_GB2312" w:cs="Times New Roman"/>
          <w:kern w:val="0"/>
          <w:sz w:val="24"/>
          <w:szCs w:val="24"/>
        </w:rPr>
        <w:t>价格</w:t>
      </w:r>
      <w:r>
        <w:rPr>
          <w:rFonts w:ascii="Times New Roman" w:hAnsi="Times New Roman" w:eastAsia="仿宋_GB2312" w:cs="Times New Roman"/>
          <w:kern w:val="0"/>
          <w:sz w:val="24"/>
          <w:szCs w:val="24"/>
        </w:rPr>
        <w:t>项目“除外内容”和“说明”中未明确规定可另计费用的医疗仪器和医用卫生材料、医用特殊物品费用。</w:t>
      </w:r>
    </w:p>
    <w:tbl>
      <w:tblPr>
        <w:tblStyle w:val="3"/>
        <w:tblW w:w="15384" w:type="dxa"/>
        <w:jc w:val="center"/>
        <w:tblInd w:w="0" w:type="dxa"/>
        <w:tblLayout w:type="fixed"/>
        <w:tblCellMar>
          <w:top w:w="0" w:type="dxa"/>
          <w:left w:w="108" w:type="dxa"/>
          <w:bottom w:w="0" w:type="dxa"/>
          <w:right w:w="108" w:type="dxa"/>
        </w:tblCellMar>
      </w:tblPr>
      <w:tblGrid>
        <w:gridCol w:w="704"/>
        <w:gridCol w:w="1244"/>
        <w:gridCol w:w="2300"/>
        <w:gridCol w:w="2499"/>
        <w:gridCol w:w="4272"/>
        <w:gridCol w:w="4365"/>
      </w:tblGrid>
      <w:tr>
        <w:tblPrEx>
          <w:tblLayout w:type="fixed"/>
          <w:tblCellMar>
            <w:top w:w="0" w:type="dxa"/>
            <w:left w:w="108" w:type="dxa"/>
            <w:bottom w:w="0" w:type="dxa"/>
            <w:right w:w="108" w:type="dxa"/>
          </w:tblCellMar>
        </w:tblPrEx>
        <w:trPr>
          <w:trHeight w:val="767" w:hRule="atLeast"/>
          <w:tblHeade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bookmarkStart w:id="0" w:name="_Hlk121996495"/>
            <w:r>
              <w:rPr>
                <w:rFonts w:ascii="Times New Roman" w:hAnsi="Times New Roman" w:eastAsia="黑体" w:cs="Times New Roman"/>
                <w:b w:val="0"/>
                <w:bCs w:val="0"/>
                <w:kern w:val="0"/>
                <w:sz w:val="24"/>
                <w:szCs w:val="24"/>
              </w:rPr>
              <w:t>序号</w:t>
            </w:r>
          </w:p>
        </w:tc>
        <w:tc>
          <w:tcPr>
            <w:tcW w:w="12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违规类型</w:t>
            </w:r>
          </w:p>
        </w:tc>
        <w:tc>
          <w:tcPr>
            <w:tcW w:w="23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问题描述</w:t>
            </w:r>
          </w:p>
        </w:tc>
        <w:tc>
          <w:tcPr>
            <w:tcW w:w="249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涉及医疗服务</w:t>
            </w:r>
          </w:p>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价格项目</w:t>
            </w:r>
          </w:p>
        </w:tc>
        <w:tc>
          <w:tcPr>
            <w:tcW w:w="427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典型案例</w:t>
            </w:r>
          </w:p>
        </w:tc>
        <w:tc>
          <w:tcPr>
            <w:tcW w:w="436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判定违规相关依据</w:t>
            </w:r>
          </w:p>
        </w:tc>
      </w:tr>
      <w:tr>
        <w:tblPrEx>
          <w:tblLayout w:type="fixed"/>
          <w:tblCellMar>
            <w:top w:w="0" w:type="dxa"/>
            <w:left w:w="108" w:type="dxa"/>
            <w:bottom w:w="0" w:type="dxa"/>
            <w:right w:w="108" w:type="dxa"/>
          </w:tblCellMar>
        </w:tblPrEx>
        <w:trPr>
          <w:trHeight w:val="1939"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44"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重复收费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计价单位为“日”的医疗服务价格项目，收费数量超过住院天数</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住院诊查费（110200007）；病房空调费（110800001）；普通病房床位费（110900001）；Ⅰ级护理（120100003）；皮肤牵引术（331523002）等</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某医院神经内科，某患者2022年11月1日上午8:00入院，11月12日下午15:00出院，住院天数11天，收取该患者床位费“两人间”、“住院诊查费”、“Ⅰ级护理”费用12天，超出住院天数1天。</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《湖南省现行医疗服务价格项目目录（2022）》“综合医疗服务类”说明第3点：出、入院时间的计算：一日内不论什么时间入院按一天计算住院天数，一日内无论什么时间出院均不计算住院天数。</w:t>
            </w:r>
          </w:p>
        </w:tc>
      </w:tr>
      <w:tr>
        <w:tblPrEx>
          <w:tblLayout w:type="fixed"/>
          <w:tblCellMar>
            <w:top w:w="0" w:type="dxa"/>
            <w:left w:w="108" w:type="dxa"/>
            <w:bottom w:w="0" w:type="dxa"/>
            <w:right w:w="108" w:type="dxa"/>
          </w:tblCellMar>
        </w:tblPrEx>
        <w:trPr>
          <w:trHeight w:val="1939"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44"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重复收费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计价单位为“次”的医疗服务项目（如： “微针针刺”、“灸法”），按“部位”重复收费</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微针针刺（430000005）；</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灸法（440000001）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w:t>
            </w:r>
            <w:r>
              <w:rPr>
                <w:rFonts w:hint="eastAsia" w:ascii="Times New Roman" w:hAnsi="Times New Roman" w:eastAsia="仿宋_GB2312" w:cs="Times New Roman"/>
                <w:kern w:val="0"/>
                <w:sz w:val="24"/>
                <w:szCs w:val="24"/>
              </w:rPr>
              <w:t>康复理疗科</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为肩颈痛患者行“灸法”治疗，每日两次。实际每日收取“灸法”费用4次。</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《湖南省现行医疗服务价格项目目录（2022）》，“微针针刺”、“灸法”等医疗服务项目，计价单位为“次”。</w:t>
            </w:r>
          </w:p>
        </w:tc>
      </w:tr>
      <w:tr>
        <w:tblPrEx>
          <w:tblLayout w:type="fixed"/>
          <w:tblCellMar>
            <w:top w:w="0" w:type="dxa"/>
            <w:left w:w="108" w:type="dxa"/>
            <w:bottom w:w="0" w:type="dxa"/>
            <w:right w:w="108" w:type="dxa"/>
          </w:tblCellMar>
        </w:tblPrEx>
        <w:trPr>
          <w:trHeight w:val="2285"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超限价标准收取“X线计算机体层(CT)螺旋平扫”费用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X线计算机体层(CT)螺旋平扫（210300001）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民营专科一级医院，医保服务协议约定执行公立医院同类医疗机构收费标准。医院CT室CT设备为16排二手CT,为就诊患者行“X线计算机体层（CT）螺旋平扫”每个部位按照“X线计算机体层（CT）螺旋平扫A等”收费。</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X线计算机体层(CT)扫描”说明项第3点：特等为设备≧64排、三级医疗机构，A等为≧16排，&lt;64排、二级及以上医疗机构，B等为小于16排的螺旋CT、一级及以上，C等为非螺旋CT或任意排数的二手CT、一级及以上。</w:t>
            </w:r>
          </w:p>
        </w:tc>
      </w:tr>
      <w:tr>
        <w:tblPrEx>
          <w:tblLayout w:type="fixed"/>
          <w:tblCellMar>
            <w:top w:w="0" w:type="dxa"/>
            <w:left w:w="108" w:type="dxa"/>
            <w:bottom w:w="0" w:type="dxa"/>
            <w:right w:w="108" w:type="dxa"/>
          </w:tblCellMar>
        </w:tblPrEx>
        <w:trPr>
          <w:trHeight w:val="311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“彩色多普勒超声常规检查”，第二个及以上部位按照该项目全价收取费用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彩色多普勒超声常规检查（220301001）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某三甲医院B超室，妇科患者行“腹部+妇科”B超，收取两个部位费用240元=120元+120元。</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彩色多普勒超声常规检查”项目内涵：胸部(含肺、胸腔、纵隔)、腹部(含肝、胆、胰、脾、双肾)、胃肠道、泌尿系(含双肾、输尿管、膀胱、前列腺)、妇科(含子宫、附件、膀胱及周围组织)、男性生殖系统（含睾丸、附睾、输精管、精索、前列腺）、腹膜后肿块；计价单位：部位；说明：每增一个部位加收40元。</w:t>
            </w:r>
          </w:p>
        </w:tc>
      </w:tr>
      <w:tr>
        <w:tblPrEx>
          <w:tblLayout w:type="fixed"/>
          <w:tblCellMar>
            <w:top w:w="0" w:type="dxa"/>
            <w:left w:w="108" w:type="dxa"/>
            <w:bottom w:w="0" w:type="dxa"/>
            <w:right w:w="108" w:type="dxa"/>
          </w:tblCellMar>
        </w:tblPrEx>
        <w:trPr>
          <w:trHeight w:val="2070"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某一病情首次手术（如：人工全髋关节置换术、人工全肩关节置换术），在相关手术价格基础上加收30% </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人工全髋关节置换术（331507005）；人工全肩关节置换术（331507001）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某三甲医院骨科，对“髋骨骨性关节炎”患者，首次行“人工全髋关节置换术”，收取费用5387元=4144元+4144元*30%。</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《湖南省现行医疗服务价格项目目录（2022）》，“人工全髋关节置换术”一类价格为4144元/次，再置换加收30%。</w:t>
            </w:r>
          </w:p>
        </w:tc>
      </w:tr>
      <w:tr>
        <w:tblPrEx>
          <w:tblLayout w:type="fixed"/>
          <w:tblCellMar>
            <w:top w:w="0" w:type="dxa"/>
            <w:left w:w="108" w:type="dxa"/>
            <w:bottom w:w="0" w:type="dxa"/>
            <w:right w:w="108" w:type="dxa"/>
          </w:tblCellMar>
        </w:tblPrEx>
        <w:trPr>
          <w:trHeight w:val="2669"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“X线计算机体层（CT）螺旋平扫”，第二个以上部位按照该项目全价收取费用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X线计算机体层（螺旋CT）（210300001）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某三甲医院CT室，行“X线计算机体层（CT）螺旋平扫”（特等价格），某患者扫描“胸部+上腹部”两个部位，收取两个部位费用460元=230元+230元。</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X线计算机体层（CT）螺旋平扫”说明：1.计价部位分为颅脑、眼眶、视神经管、颞骨、鞍区、副鼻窦、鼻骨、颈部、胸部、心脏、上腹部、下腹部、盆腔、椎体(每三个椎体)、髋关节、膝关节、肢体、其他；2.每增加一个部位加收50%。</w:t>
            </w:r>
          </w:p>
        </w:tc>
      </w:tr>
      <w:tr>
        <w:tblPrEx>
          <w:tblLayout w:type="fixed"/>
          <w:tblCellMar>
            <w:top w:w="0" w:type="dxa"/>
            <w:left w:w="108" w:type="dxa"/>
            <w:bottom w:w="0" w:type="dxa"/>
            <w:right w:w="108" w:type="dxa"/>
          </w:tblCellMar>
        </w:tblPrEx>
        <w:trPr>
          <w:trHeight w:val="1554"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“粪便常规”手工法，超标准收取机器法加收费用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粪便常规（250103001）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某医院检验科，因相关仪器设备故障报废，采取手工法开展“粪便常规”检验，收取“粪便常规”项目费用的同时，收取“粪便常规”机器法加收费用。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《湖南省现行医疗服务价格项目目录（2022）》，“粪便常规”项目内涵：指手工操作；含外观、镜检；说明：机器法加收9元。</w:t>
            </w:r>
          </w:p>
        </w:tc>
      </w:tr>
      <w:tr>
        <w:tblPrEx>
          <w:tblLayout w:type="fixed"/>
          <w:tblCellMar>
            <w:top w:w="0" w:type="dxa"/>
            <w:left w:w="108" w:type="dxa"/>
            <w:bottom w:w="0" w:type="dxa"/>
            <w:right w:w="108" w:type="dxa"/>
          </w:tblCellMar>
        </w:tblPrEx>
        <w:trPr>
          <w:trHeight w:val="2313"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酶免疫法开展“B型钠尿肽前体（PRO-BNP）测定”，收取该项目费用的同时，收取“化学发光法加收200元”费用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B型钠尿肽前体（PRO-BNP）测定（250306013）</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某三甲医院检验科，使用酶免疫法试剂开展“B型钠尿肽前体（PRO-BNP）测定”，收取费用280元=“B型钠尿肽前体（PRO-BNP）测定”费用80元+化学发光法加收200元。</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《湖南省现行医疗服务价格项目目录（2022）》，“B型钠尿肽前体（PRO-BNP）测定”项目内涵：指酶免疫法；说明：干免疫法加收220元、化学发光法加收200元。</w:t>
            </w:r>
          </w:p>
        </w:tc>
      </w:tr>
      <w:tr>
        <w:tblPrEx>
          <w:tblLayout w:type="fixed"/>
          <w:tblCellMar>
            <w:top w:w="0" w:type="dxa"/>
            <w:left w:w="108" w:type="dxa"/>
            <w:bottom w:w="0" w:type="dxa"/>
            <w:right w:w="108" w:type="dxa"/>
          </w:tblCellMar>
        </w:tblPrEx>
        <w:trPr>
          <w:trHeight w:val="2953"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收取“层流洁净病房床位费”的同时，重复收取“普通病房床位费”</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普通病房床位费（110900001）；层流洁净病房床位费（110900005）</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某医院肾移植病房（病房设置为层流洁净标准），对住院患者，每日常规收取“层流洁净病房床位费”和“普通病房床位费”各1次。</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《湖南省现行医疗服务价格项目目录（2022）》，层流洁净病房床位费”项目内涵已经包含普遍病房床位设施配备。</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“层流洁净病房床位费”项目内涵：指达到规定洁净级别、有层流装置，风淋通道的层流洁净间，采用全封闭管理，有严格消毒隔离措施及对外通话系统。要求具备普通病房的床位设施。含医用垃圾、污水处理。</w:t>
            </w:r>
          </w:p>
        </w:tc>
      </w:tr>
      <w:tr>
        <w:tblPrEx>
          <w:tblLayout w:type="fixed"/>
          <w:tblCellMar>
            <w:top w:w="0" w:type="dxa"/>
            <w:left w:w="108" w:type="dxa"/>
            <w:bottom w:w="0" w:type="dxa"/>
            <w:right w:w="108" w:type="dxa"/>
          </w:tblCellMar>
        </w:tblPrEx>
        <w:trPr>
          <w:trHeight w:val="2144"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收取“重症监护”费用的同时，重复收取“Ⅰ级护理”和（或）“一般专项护理”费用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重症监护（120100001）；Ⅰ级护理（120100003）；一般专项护理（120100014）</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某医院ICU病房，对护理级别为重症监护患者，收取“重症监护”费用的同时，重复收取“Ⅰ级护理”和“口腔护理（一般专项护理）”费用。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《湖南省现行医疗服务价格项目目录（2022）》，“重症监护”说明项明确：收取重症监护不得再收分级护理和一般专项护理费。</w:t>
            </w:r>
          </w:p>
        </w:tc>
      </w:tr>
      <w:tr>
        <w:tblPrEx>
          <w:tblLayout w:type="fixed"/>
          <w:tblCellMar>
            <w:top w:w="0" w:type="dxa"/>
            <w:left w:w="108" w:type="dxa"/>
            <w:bottom w:w="0" w:type="dxa"/>
            <w:right w:w="108" w:type="dxa"/>
          </w:tblCellMar>
        </w:tblPrEx>
        <w:trPr>
          <w:trHeight w:val="2010"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收取“特殊疾病护理”的同时，重复收取“Ⅰ级护理”费用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rPr>
            </w:pPr>
            <w:r>
              <w:rPr>
                <w:rFonts w:ascii="Times New Roman" w:hAnsi="Times New Roman" w:eastAsia="仿宋_GB2312" w:cs="Times New Roman"/>
                <w:kern w:val="0"/>
                <w:sz w:val="24"/>
                <w:szCs w:val="24"/>
              </w:rPr>
              <w:t>特殊疾病护理（120100006）</w:t>
            </w:r>
            <w:r>
              <w:rPr>
                <w:rFonts w:ascii="Times New Roman" w:hAnsi="Times New Roman" w:eastAsia="仿宋_GB2312" w:cs="Times New Roman"/>
              </w:rPr>
              <w:t>；</w:t>
            </w:r>
            <w:r>
              <w:rPr>
                <w:rFonts w:ascii="Times New Roman" w:hAnsi="Times New Roman" w:eastAsia="仿宋_GB2312" w:cs="Times New Roman"/>
                <w:kern w:val="0"/>
                <w:sz w:val="24"/>
                <w:szCs w:val="24"/>
              </w:rPr>
              <w:t>Ⅰ级护理</w:t>
            </w:r>
            <w:r>
              <w:rPr>
                <w:rFonts w:ascii="Times New Roman" w:hAnsi="Times New Roman" w:eastAsia="仿宋_GB2312" w:cs="Times New Roman"/>
              </w:rPr>
              <w:t>（120100003）</w:t>
            </w:r>
          </w:p>
          <w:p>
            <w:pPr>
              <w:widowControl/>
              <w:spacing w:line="300" w:lineRule="exact"/>
              <w:rPr>
                <w:rFonts w:ascii="Times New Roman" w:hAnsi="Times New Roman" w:eastAsia="仿宋_GB2312" w:cs="Times New Roman"/>
                <w:kern w:val="0"/>
                <w:sz w:val="24"/>
                <w:szCs w:val="24"/>
              </w:rPr>
            </w:pP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某医院肺结核专科病房，对肺结核住院患者，每日收取“特殊疾病护理”费用同时，重复收取“Ⅰ级护理”费用。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《湖南省现行医疗服务价格项目目录（2022）》，“特殊疾病护理”项目内涵已经包含“I级护理”</w:t>
            </w:r>
            <w:r>
              <w:rPr>
                <w:rFonts w:hint="eastAsia" w:ascii="Times New Roman" w:hAnsi="Times New Roman" w:eastAsia="仿宋_GB2312" w:cs="Times New Roman"/>
                <w:color w:val="0000FF"/>
                <w:kern w:val="0"/>
                <w:sz w:val="24"/>
                <w:szCs w:val="24"/>
                <w:lang w:eastAsia="zh-CN"/>
              </w:rPr>
              <w:t>。</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“特殊疾病护理”项目内涵：指气性坏疽、破伤风、活动性肺结核等特殊传染病的护理，含严格消毒隔离及Ⅰ级护理内容。</w:t>
            </w:r>
          </w:p>
        </w:tc>
      </w:tr>
      <w:tr>
        <w:tblPrEx>
          <w:tblLayout w:type="fixed"/>
          <w:tblCellMar>
            <w:top w:w="0" w:type="dxa"/>
            <w:left w:w="108" w:type="dxa"/>
            <w:bottom w:w="0" w:type="dxa"/>
            <w:right w:w="108" w:type="dxa"/>
          </w:tblCellMar>
        </w:tblPrEx>
        <w:trPr>
          <w:trHeight w:val="1934"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收取“气管切开护理”费用的同时，重复收取“吸痰护理”费用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气管切开护理（120100010）；吸痰护理（120100011）</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某医院ICU病房，对气管切开和气管插管住院患者，收取“气管切开护理”费用的同时，重复收取“吸痰护理”费用。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《湖南省现行医疗服务价格项目目录（2022）》，“气管切开护理”项目内涵包括吸痰护理。</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“气管切开护理”项目内涵：含吸痰、药物滴入、定时消毒、更换套管及其纱布。气管插管护理参照执行。</w:t>
            </w:r>
          </w:p>
        </w:tc>
      </w:tr>
      <w:tr>
        <w:tblPrEx>
          <w:tblLayout w:type="fixed"/>
          <w:tblCellMar>
            <w:top w:w="0" w:type="dxa"/>
            <w:left w:w="108" w:type="dxa"/>
            <w:bottom w:w="0" w:type="dxa"/>
            <w:right w:w="108" w:type="dxa"/>
          </w:tblCellMar>
        </w:tblPrEx>
        <w:trPr>
          <w:trHeight w:val="3459"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收取甲状腺切除相关手术（如：“甲状腺次全切除术”、“甲状腺全切术”、“甲状腺癌根治术”、“甲状腺癌扩大根治术”）费用的同时，重复收取“喉返神经探查术”费用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甲状腺部分切除术（330300008）；甲状腺次全切除术（330300009）；甲状腺全切术（330300010）；甲状腺癌根治术（330300011）；甲状腺癌扩大根治术（330300012）；</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喉返神经探查术（330300017）</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某医院手术室，对行甲状腺切除相关手术患者，收取相关甲状腺切除术费用的同时，重复收取“喉返神经探查术”费用。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《湖南省现行医疗服务价格项目目录（2022）》，“手术治疗”说明第11点:探查术只适应于术前诊断不明确或手术中因无法完成原定手术而中断的手术，不能与其他手术项目同时收费。</w:t>
            </w:r>
          </w:p>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《全国医疗服务价格项目规范》（2012年版），“喉返神经探查术”项目内涵：颈部原切口瘢痕切除，逐层切开，游离患侧甲状腺，在其后方探查显露喉返神经全程、确定有无损伤，止血，切口逐层缝合。</w:t>
            </w:r>
          </w:p>
        </w:tc>
      </w:tr>
      <w:tr>
        <w:tblPrEx>
          <w:tblLayout w:type="fixed"/>
          <w:tblCellMar>
            <w:top w:w="0" w:type="dxa"/>
            <w:left w:w="108" w:type="dxa"/>
            <w:bottom w:w="0" w:type="dxa"/>
            <w:right w:w="108" w:type="dxa"/>
          </w:tblCellMar>
        </w:tblPrEx>
        <w:trPr>
          <w:trHeight w:val="2210"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收取“全身麻醉”费用的同时，重复收取“气管插管”或“特殊气管插管”、“可视喉镜辅助下气管插管术”费用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全身麻醉（330100005）；气管插管（330100013）；特殊气管插管（330100014）；可视喉镜辅助下气管插管术（330100024）</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某医院手术室，对行全身麻醉患者，收取“全身麻醉”费用的同时，普遍根据麻醉过程中气管插管方式，重复收取“气管插管”或“特殊气管插管”、“可视喉镜辅助下气管插管术”费用。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《湖南省现行医疗服务价格项目目录（2022）》，“全身麻醉”项目内涵：含各种方法气管插管；包括吸入、静脉或吸静复合以及靶控输入</w:t>
            </w:r>
          </w:p>
        </w:tc>
      </w:tr>
      <w:tr>
        <w:tblPrEx>
          <w:tblLayout w:type="fixed"/>
          <w:tblCellMar>
            <w:top w:w="0" w:type="dxa"/>
            <w:left w:w="108" w:type="dxa"/>
            <w:bottom w:w="0" w:type="dxa"/>
            <w:right w:w="108" w:type="dxa"/>
          </w:tblCellMar>
        </w:tblPrEx>
        <w:trPr>
          <w:trHeight w:val="2746"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“麻醉中监测”，收取“心电监测”+“血氧饱和度”+心率变异性分析+“持续有创性血压监测”等费用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心电监测（310701022）；血氧饱和度（310701028）；心率变异性分析；（310701018）；持续有创性血压监测（310702002）</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某医院手术室，全身麻醉患者开展“麻醉中监测”，不对应收取“麻醉中监测”费用，而收取“心电监测”+“血氧饱和度”+心率变异性分析+“持续有创性血压监测”等费用。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麻醉中监测”项目内涵：含心电图、脉搏、氧饱和度、心率变异分析、ST段分析、无创血压、中心静脉压、呼气末二氧化碳、氧浓度、呼吸频率、潮气量、分钟通气量、气道压、肺顺应性、呼气末麻醉药浓度、体温、肌松、脑电双谱指数。</w:t>
            </w:r>
          </w:p>
        </w:tc>
      </w:tr>
      <w:tr>
        <w:tblPrEx>
          <w:tblLayout w:type="fixed"/>
          <w:tblCellMar>
            <w:top w:w="0" w:type="dxa"/>
            <w:left w:w="108" w:type="dxa"/>
            <w:bottom w:w="0" w:type="dxa"/>
            <w:right w:w="108" w:type="dxa"/>
          </w:tblCellMar>
        </w:tblPrEx>
        <w:trPr>
          <w:trHeight w:val="2035"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行“甲状腺癌扩大根治术”，收取“甲状腺全切术”+“颈淋巴结清扫术”费用</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甲状腺癌扩大根治术（330300012）；甲状腺全切术（330300010）；颈淋巴结清扫术（330900003）</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某肿瘤专科医院头颈科，为甲状腺癌患者行“甲状腺癌扩大根治术”，不对应收取“甲状腺癌扩大根治术”费用，而收取“甲状腺全切术”+“颈淋巴结清扫术”费用</w:t>
            </w:r>
            <w:r>
              <w:rPr>
                <w:rFonts w:hint="eastAsia" w:ascii="Times New Roman" w:hAnsi="Times New Roman" w:eastAsia="仿宋_GB2312" w:cs="Times New Roman"/>
                <w:color w:val="0000FF"/>
                <w:kern w:val="0"/>
                <w:sz w:val="24"/>
                <w:szCs w:val="24"/>
                <w:lang w:eastAsia="zh-CN"/>
              </w:rPr>
              <w:t>。</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《湖南省现行医疗服务价格项目目录（2022）》，“甲状腺癌扩大根治术”项目内涵：含甲状腺癌切除、同侧淋巴结清扫、所累及颈其他结构切除”。</w:t>
            </w:r>
          </w:p>
        </w:tc>
      </w:tr>
      <w:tr>
        <w:tblPrEx>
          <w:tblLayout w:type="fixed"/>
          <w:tblCellMar>
            <w:top w:w="0" w:type="dxa"/>
            <w:left w:w="108" w:type="dxa"/>
            <w:bottom w:w="0" w:type="dxa"/>
            <w:right w:w="108" w:type="dxa"/>
          </w:tblCellMar>
        </w:tblPrEx>
        <w:trPr>
          <w:trHeight w:val="2211"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w:t>
            </w:r>
          </w:p>
        </w:tc>
        <w:tc>
          <w:tcPr>
            <w:tcW w:w="1244"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行“根治性膀胱全切除术”，收取“根治性膀胱全切除术”+“经腹腔镜盆腔淋巴结清扫术”</w:t>
            </w:r>
          </w:p>
        </w:tc>
        <w:tc>
          <w:tcPr>
            <w:tcW w:w="2499"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根治性膀胱全切除术（331103006）；经腹腔镜盆腔淋巴结清扫术（330900006）</w:t>
            </w:r>
          </w:p>
        </w:tc>
        <w:tc>
          <w:tcPr>
            <w:tcW w:w="4272"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某医院普外科，为膀胱癌患者行行“根治性膀胱全切除术”，收取“根治性膀胱全切除术”费用的同时，加收“经腹腔镜盆腔淋巴结清扫术”费用。</w:t>
            </w:r>
          </w:p>
        </w:tc>
        <w:tc>
          <w:tcPr>
            <w:tcW w:w="4365" w:type="dxa"/>
            <w:tcBorders>
              <w:top w:val="nil"/>
              <w:left w:val="nil"/>
              <w:bottom w:val="single" w:color="auto" w:sz="4" w:space="0"/>
              <w:right w:val="single" w:color="auto" w:sz="4" w:space="0"/>
            </w:tcBorders>
            <w:noWrap w:val="0"/>
            <w:vAlign w:val="center"/>
          </w:tcPr>
          <w:p>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《湖南省现行医疗服务价格项目目录（2022）》，“根治性膀胱全切除术”项目内涵：含盆腔淋巴结清扫术。</w:t>
            </w:r>
          </w:p>
        </w:tc>
      </w:tr>
      <w:bookmarkEnd w:id="0"/>
    </w:tbl>
    <w:p/>
    <w:p/>
    <w:sectPr>
      <w:pgSz w:w="16838" w:h="11906" w:orient="landscape"/>
      <w:pgMar w:top="1984" w:right="1417" w:bottom="1474" w:left="1587" w:header="851" w:footer="992" w:gutter="0"/>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3190"/>
    <w:rsid w:val="67FF3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2023-02-03T02:01:00Z</dcterms:created>
  <dc:creator>彭小玲</dc:creator>
  <cp:lastModifiedBy>彭小玲</cp:lastModifiedBy>
  <dcterms:modified xsi:type="dcterms:W3CDTF">2023-02-03T02:01:50Z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