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D0E72">
      <w:pPr>
        <w:spacing w:line="500" w:lineRule="exact"/>
        <w:rPr>
          <w:rFonts w:ascii="黑体" w:eastAsia="黑体" w:hAnsi="华文仿宋" w:hint="eastAsia"/>
          <w:sz w:val="32"/>
          <w:szCs w:val="32"/>
        </w:rPr>
      </w:pPr>
      <w:r>
        <w:rPr>
          <w:rFonts w:ascii="黑体" w:eastAsia="黑体" w:hAnsi="华文仿宋" w:hint="eastAsia"/>
          <w:sz w:val="32"/>
          <w:szCs w:val="32"/>
        </w:rPr>
        <w:t>附件</w:t>
      </w:r>
    </w:p>
    <w:p w:rsidR="00000000" w:rsidRDefault="009D0E72">
      <w:pPr>
        <w:spacing w:line="500" w:lineRule="exact"/>
        <w:jc w:val="center"/>
        <w:rPr>
          <w:rFonts w:ascii="黑体" w:eastAsia="黑体" w:hAnsi="华文仿宋" w:hint="eastAsia"/>
          <w:sz w:val="32"/>
          <w:szCs w:val="32"/>
        </w:rPr>
      </w:pPr>
    </w:p>
    <w:p w:rsidR="00000000" w:rsidRDefault="009D0E72">
      <w:pPr>
        <w:spacing w:line="500" w:lineRule="exact"/>
        <w:jc w:val="center"/>
        <w:rPr>
          <w:rFonts w:ascii="方正小标宋简体" w:eastAsia="方正小标宋简体" w:hAnsi="仿宋" w:hint="eastAsia"/>
          <w:sz w:val="44"/>
          <w:szCs w:val="44"/>
        </w:rPr>
      </w:pPr>
      <w:r>
        <w:rPr>
          <w:rFonts w:ascii="方正小标宋简体" w:eastAsia="方正小标宋简体" w:hAnsi="方正小标宋简体" w:cs="方正小标宋简体" w:hint="eastAsia"/>
          <w:sz w:val="44"/>
          <w:szCs w:val="44"/>
        </w:rPr>
        <w:t>伊班膦酸钠注射液</w:t>
      </w:r>
      <w:r>
        <w:rPr>
          <w:rFonts w:ascii="方正小标宋简体" w:eastAsia="方正小标宋简体" w:hAnsi="仿宋" w:hint="eastAsia"/>
          <w:sz w:val="44"/>
          <w:szCs w:val="44"/>
        </w:rPr>
        <w:t>说明书修订</w:t>
      </w:r>
      <w:r>
        <w:rPr>
          <w:rFonts w:ascii="方正小标宋简体" w:eastAsia="方正小标宋简体" w:hAnsi="仿宋" w:hint="eastAsia"/>
          <w:sz w:val="44"/>
          <w:szCs w:val="44"/>
        </w:rPr>
        <w:t>要求</w:t>
      </w:r>
    </w:p>
    <w:p w:rsidR="00000000" w:rsidRDefault="009D0E72">
      <w:pPr>
        <w:spacing w:line="500" w:lineRule="exact"/>
        <w:ind w:firstLineChars="200" w:firstLine="880"/>
        <w:jc w:val="center"/>
        <w:rPr>
          <w:rFonts w:ascii="方正小标宋简体" w:eastAsia="方正小标宋简体" w:hAnsi="仿宋" w:hint="eastAsia"/>
          <w:sz w:val="44"/>
          <w:szCs w:val="44"/>
        </w:rPr>
      </w:pPr>
    </w:p>
    <w:p w:rsidR="00000000" w:rsidRDefault="009D0E72">
      <w:pPr>
        <w:spacing w:line="500" w:lineRule="exact"/>
        <w:ind w:firstLineChars="200" w:firstLine="640"/>
        <w:rPr>
          <w:rFonts w:ascii="黑体" w:eastAsia="黑体" w:hAnsi="黑体" w:hint="eastAsia"/>
          <w:sz w:val="32"/>
          <w:szCs w:val="32"/>
        </w:rPr>
      </w:pPr>
      <w:r>
        <w:rPr>
          <w:rFonts w:ascii="黑体" w:eastAsia="黑体" w:hAnsi="黑体" w:hint="eastAsia"/>
          <w:sz w:val="32"/>
          <w:szCs w:val="32"/>
        </w:rPr>
        <w:t>一、【不良反应】项</w:t>
      </w:r>
      <w:r>
        <w:rPr>
          <w:rFonts w:ascii="黑体" w:eastAsia="黑体" w:hAnsi="黑体" w:hint="eastAsia"/>
          <w:sz w:val="32"/>
          <w:szCs w:val="32"/>
        </w:rPr>
        <w:t>下</w:t>
      </w:r>
      <w:r>
        <w:rPr>
          <w:rFonts w:ascii="黑体" w:eastAsia="黑体" w:hAnsi="黑体" w:hint="eastAsia"/>
          <w:sz w:val="32"/>
          <w:szCs w:val="32"/>
        </w:rPr>
        <w:t>应包含</w:t>
      </w:r>
      <w:r>
        <w:rPr>
          <w:rFonts w:ascii="黑体" w:eastAsia="黑体" w:hAnsi="黑体" w:hint="eastAsia"/>
          <w:sz w:val="32"/>
          <w:szCs w:val="32"/>
        </w:rPr>
        <w:t>以下内容</w:t>
      </w:r>
    </w:p>
    <w:p w:rsidR="00000000" w:rsidRDefault="009D0E72">
      <w:pPr>
        <w:spacing w:line="50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上市后经验</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上市后监测到本品的下列不良反应</w:t>
      </w:r>
      <w:r>
        <w:rPr>
          <w:rFonts w:ascii="仿宋_GB2312" w:eastAsia="仿宋_GB2312" w:hAnsi="仿宋"/>
          <w:sz w:val="32"/>
          <w:szCs w:val="32"/>
        </w:rPr>
        <w:t>/</w:t>
      </w:r>
      <w:r>
        <w:rPr>
          <w:rFonts w:ascii="仿宋_GB2312" w:eastAsia="仿宋_GB2312" w:hAnsi="仿宋"/>
          <w:sz w:val="32"/>
          <w:szCs w:val="32"/>
        </w:rPr>
        <w:t>事件（发生率未知）：</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全身性反应：乏力。</w:t>
      </w:r>
    </w:p>
    <w:p w:rsidR="00000000" w:rsidRDefault="009D0E72">
      <w:pPr>
        <w:spacing w:line="500" w:lineRule="exact"/>
        <w:ind w:firstLineChars="200" w:firstLine="640"/>
        <w:rPr>
          <w:rFonts w:ascii="仿宋_GB2312" w:eastAsia="仿宋_GB2312" w:hAnsi="仿宋"/>
          <w:sz w:val="32"/>
          <w:szCs w:val="32"/>
          <w:u w:val="single"/>
        </w:rPr>
      </w:pPr>
      <w:r>
        <w:rPr>
          <w:rFonts w:ascii="仿宋_GB2312" w:eastAsia="仿宋_GB2312" w:hAnsi="仿宋" w:hint="eastAsia"/>
          <w:sz w:val="32"/>
          <w:szCs w:val="32"/>
        </w:rPr>
        <w:t>胸部：胸部不适、胸部痛。</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肌肉骨骼痛：骨、关节</w:t>
      </w:r>
      <w:r>
        <w:rPr>
          <w:rFonts w:ascii="仿宋_GB2312" w:eastAsia="仿宋_GB2312" w:hAnsi="仿宋" w:hint="eastAsia"/>
          <w:sz w:val="32"/>
          <w:szCs w:val="32"/>
        </w:rPr>
        <w:t>或肌肉痛（肌肉骨骼痛）。</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肌肉骨骼和结缔组织疾病：颌骨及其他口颌面部骨坏死（包括外耳道骨坏死），非典型性股骨干骨折。</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代谢和营养异常：低钙血症。</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免疫系统疾病：速发过敏性反应</w:t>
      </w:r>
      <w:r>
        <w:rPr>
          <w:rFonts w:ascii="仿宋_GB2312" w:eastAsia="仿宋_GB2312" w:hAnsi="仿宋"/>
          <w:sz w:val="32"/>
          <w:szCs w:val="32"/>
        </w:rPr>
        <w:t>/</w:t>
      </w:r>
      <w:r>
        <w:rPr>
          <w:rFonts w:ascii="仿宋_GB2312" w:eastAsia="仿宋_GB2312" w:hAnsi="仿宋"/>
          <w:sz w:val="32"/>
          <w:szCs w:val="32"/>
        </w:rPr>
        <w:t>休克病例报告，包括致死性事件报告。变态反应，包括血管性水肿、哮喘急性发作、支气管痉挛、面部肿胀</w:t>
      </w:r>
      <w:r>
        <w:rPr>
          <w:rFonts w:ascii="仿宋_GB2312" w:eastAsia="仿宋_GB2312" w:hAnsi="仿宋"/>
          <w:sz w:val="32"/>
          <w:szCs w:val="32"/>
        </w:rPr>
        <w:t>/</w:t>
      </w:r>
      <w:r>
        <w:rPr>
          <w:rFonts w:ascii="仿宋_GB2312" w:eastAsia="仿宋_GB2312" w:hAnsi="仿宋"/>
          <w:sz w:val="32"/>
          <w:szCs w:val="32"/>
        </w:rPr>
        <w:t>水肿、皮疹。严重皮肤不良反应，包括史蒂文斯</w:t>
      </w:r>
      <w:r>
        <w:rPr>
          <w:rFonts w:ascii="仿宋_GB2312" w:eastAsia="仿宋_GB2312" w:hAnsi="仿宋"/>
          <w:sz w:val="32"/>
          <w:szCs w:val="32"/>
        </w:rPr>
        <w:t>—</w:t>
      </w:r>
      <w:r>
        <w:rPr>
          <w:rFonts w:ascii="仿宋_GB2312" w:eastAsia="仿宋_GB2312" w:hAnsi="仿宋"/>
          <w:sz w:val="32"/>
          <w:szCs w:val="32"/>
        </w:rPr>
        <w:t>约翰逊综合症、多形性红斑、大疱性皮炎。</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呼吸系统：呼吸困难、呼吸急促。</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血管病变：静脉炎、血栓性静脉炎。</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肾毒性：急性肾功能衰竭。</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眼科疾病：在接受双膦酸盐治疗的患者中，有报道眼部炎症事件，如葡萄</w:t>
      </w:r>
      <w:r>
        <w:rPr>
          <w:rFonts w:ascii="仿宋_GB2312" w:eastAsia="仿宋_GB2312" w:hAnsi="仿宋" w:hint="eastAsia"/>
          <w:sz w:val="32"/>
          <w:szCs w:val="32"/>
        </w:rPr>
        <w:t>膜炎、表层巩膜炎和巩膜炎。在某些病例中，不良事件在停用双膦酸盐后才缓解。</w:t>
      </w:r>
    </w:p>
    <w:p w:rsidR="00000000" w:rsidRDefault="009D0E72">
      <w:pPr>
        <w:spacing w:line="500" w:lineRule="exact"/>
        <w:ind w:firstLineChars="200" w:firstLine="640"/>
        <w:rPr>
          <w:rFonts w:ascii="黑体" w:eastAsia="黑体" w:hAnsi="黑体"/>
          <w:sz w:val="32"/>
          <w:szCs w:val="32"/>
        </w:rPr>
      </w:pPr>
      <w:r>
        <w:rPr>
          <w:rFonts w:ascii="黑体" w:eastAsia="黑体" w:hAnsi="黑体" w:hint="eastAsia"/>
          <w:sz w:val="32"/>
          <w:szCs w:val="32"/>
        </w:rPr>
        <w:t>二、【注意事项】项</w:t>
      </w:r>
      <w:r>
        <w:rPr>
          <w:rFonts w:ascii="黑体" w:eastAsia="黑体" w:hAnsi="黑体" w:hint="eastAsia"/>
          <w:sz w:val="32"/>
          <w:szCs w:val="32"/>
        </w:rPr>
        <w:t>下</w:t>
      </w:r>
      <w:r>
        <w:rPr>
          <w:rFonts w:ascii="黑体" w:eastAsia="黑体" w:hAnsi="黑体" w:hint="eastAsia"/>
          <w:sz w:val="32"/>
          <w:szCs w:val="32"/>
        </w:rPr>
        <w:t>应包含</w:t>
      </w:r>
      <w:r>
        <w:rPr>
          <w:rFonts w:ascii="黑体" w:eastAsia="黑体" w:hAnsi="黑体" w:hint="eastAsia"/>
          <w:sz w:val="32"/>
          <w:szCs w:val="32"/>
        </w:rPr>
        <w:t>以下内容</w:t>
      </w:r>
    </w:p>
    <w:p w:rsidR="00000000" w:rsidRDefault="009D0E72">
      <w:pPr>
        <w:spacing w:line="500" w:lineRule="exact"/>
        <w:ind w:firstLineChars="200" w:firstLine="643"/>
        <w:rPr>
          <w:rFonts w:ascii="楷体_GB2312" w:eastAsia="楷体_GB2312" w:hAnsi="楷体"/>
          <w:b/>
          <w:sz w:val="32"/>
          <w:szCs w:val="32"/>
        </w:rPr>
      </w:pPr>
      <w:r>
        <w:rPr>
          <w:rFonts w:ascii="楷体_GB2312" w:eastAsia="楷体_GB2312" w:hAnsi="黑体" w:hint="eastAsia"/>
          <w:b/>
          <w:sz w:val="32"/>
          <w:szCs w:val="32"/>
        </w:rPr>
        <w:t>外耳道骨坏死</w:t>
      </w:r>
    </w:p>
    <w:p w:rsidR="00000000" w:rsidRDefault="009D0E72">
      <w:pPr>
        <w:spacing w:line="500" w:lineRule="exact"/>
        <w:ind w:firstLineChars="200" w:firstLine="640"/>
        <w:rPr>
          <w:rFonts w:ascii="仿宋_GB2312" w:eastAsia="仿宋_GB2312"/>
        </w:rPr>
      </w:pPr>
      <w:r>
        <w:rPr>
          <w:rFonts w:ascii="仿宋_GB2312" w:eastAsia="仿宋_GB2312" w:hAnsi="仿宋" w:hint="eastAsia"/>
          <w:sz w:val="32"/>
          <w:szCs w:val="32"/>
        </w:rPr>
        <w:t>外耳道骨坏死的可能危险因素包括使用类固醇和化疗和</w:t>
      </w:r>
      <w:r>
        <w:rPr>
          <w:rFonts w:ascii="仿宋_GB2312" w:eastAsia="仿宋_GB2312" w:hAnsi="仿宋"/>
          <w:sz w:val="32"/>
          <w:szCs w:val="32"/>
        </w:rPr>
        <w:t>/</w:t>
      </w:r>
      <w:r>
        <w:rPr>
          <w:rFonts w:ascii="仿宋_GB2312" w:eastAsia="仿宋_GB2312" w:hAnsi="仿宋"/>
          <w:sz w:val="32"/>
          <w:szCs w:val="32"/>
        </w:rPr>
        <w:t>或</w:t>
      </w:r>
      <w:r>
        <w:rPr>
          <w:rFonts w:ascii="仿宋_GB2312" w:eastAsia="仿宋_GB2312" w:hAnsi="仿宋" w:hint="eastAsia"/>
          <w:sz w:val="32"/>
          <w:szCs w:val="32"/>
        </w:rPr>
        <w:lastRenderedPageBreak/>
        <w:t>局部危险因素，如感染或创伤。接受双膦酸盐治疗的患者中，如果出现慢性耳感染等耳部症状，应考虑外耳道骨坏死的可能性。</w:t>
      </w:r>
    </w:p>
    <w:p w:rsidR="00000000" w:rsidRDefault="009D0E72">
      <w:pPr>
        <w:spacing w:line="50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非典型性股骨干骨折</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非典型性股骨干骨折的报道主要出现在长期使用双膦酸盐治疗骨质疏松症的患者中。这些横形或短斜形骨折可发生在股骨的任何部位，从小转子下方到髁上裂缝上方。这些骨折发生在轻微外伤或无外伤的情况下，一些患者在出现完</w:t>
      </w:r>
      <w:r>
        <w:rPr>
          <w:rFonts w:ascii="仿宋_GB2312" w:eastAsia="仿宋_GB2312" w:hAnsi="仿宋" w:hint="eastAsia"/>
          <w:sz w:val="32"/>
          <w:szCs w:val="32"/>
        </w:rPr>
        <w:t>整的股骨骨折前数周至数月，会出现大腿或腹股沟疼痛，常伴应力性骨折的影像特征。骨折通常是双侧的，因此对于接受双膦酸盐治疗的股骨干骨折患者，应检查其对侧股骨。也有报道说这些骨折的愈合不良。</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应根据患者个体获益风险评估结果，对有可能发生非典型股骨骨折的患者停止双膦酸盐治疗。</w:t>
      </w:r>
    </w:p>
    <w:p w:rsidR="00000000" w:rsidRDefault="009D0E72">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在双膦酸盐治疗期间，应建议患者报告大腿、髋部或腹股沟疼痛，对于出现此类症状的患者应评估是否存在不完全股骨骨折的风险。</w:t>
      </w:r>
    </w:p>
    <w:p w:rsidR="00000000" w:rsidRDefault="009D0E72">
      <w:pPr>
        <w:tabs>
          <w:tab w:val="left" w:pos="1470"/>
          <w:tab w:val="left" w:pos="1680"/>
        </w:tabs>
        <w:spacing w:line="500" w:lineRule="exact"/>
        <w:ind w:firstLineChars="200" w:firstLine="640"/>
        <w:rPr>
          <w:rFonts w:eastAsia="仿宋_GB2312"/>
          <w:sz w:val="32"/>
          <w:szCs w:val="32"/>
        </w:rPr>
      </w:pPr>
    </w:p>
    <w:p w:rsidR="00000000" w:rsidRDefault="009D0E72">
      <w:pPr>
        <w:spacing w:line="500" w:lineRule="exact"/>
        <w:ind w:firstLineChars="200" w:firstLine="640"/>
        <w:rPr>
          <w:rFonts w:eastAsia="仿宋_GB2312"/>
          <w:sz w:val="32"/>
          <w:szCs w:val="32"/>
        </w:rPr>
      </w:pPr>
      <w:r>
        <w:rPr>
          <w:rFonts w:eastAsia="仿宋_GB2312"/>
          <w:sz w:val="32"/>
          <w:szCs w:val="32"/>
        </w:rPr>
        <w:t>（</w:t>
      </w:r>
      <w:r>
        <w:rPr>
          <w:rFonts w:eastAsia="仿宋_GB2312"/>
          <w:color w:val="000000"/>
          <w:sz w:val="32"/>
          <w:szCs w:val="32"/>
        </w:rPr>
        <w:t>注：如原批准说明书的安全性内容较本修订要求内容更全面或更严格的，应保留原批准内容。说明书其他内容如与上述修订要求不一致的</w:t>
      </w:r>
      <w:r>
        <w:rPr>
          <w:rFonts w:eastAsia="仿宋_GB2312"/>
          <w:color w:val="000000"/>
          <w:sz w:val="32"/>
          <w:szCs w:val="32"/>
        </w:rPr>
        <w:t>，应当一并进行修订。</w:t>
      </w:r>
      <w:r>
        <w:rPr>
          <w:rFonts w:eastAsia="仿宋_GB2312"/>
          <w:sz w:val="32"/>
          <w:szCs w:val="32"/>
        </w:rPr>
        <w:t>）</w:t>
      </w:r>
    </w:p>
    <w:p w:rsidR="00000000" w:rsidRDefault="009D0E72">
      <w:pPr>
        <w:spacing w:line="500" w:lineRule="exact"/>
        <w:rPr>
          <w:rFonts w:ascii="仿宋_GB2312" w:eastAsia="仿宋_GB2312" w:hAnsi="仿宋" w:hint="eastAsia"/>
          <w:sz w:val="28"/>
          <w:szCs w:val="28"/>
        </w:rPr>
      </w:pPr>
    </w:p>
    <w:p w:rsidR="009D0E72" w:rsidRDefault="009D0E72">
      <w:pPr>
        <w:spacing w:line="500" w:lineRule="exact"/>
        <w:rPr>
          <w:rFonts w:ascii="仿宋_GB2312" w:eastAsia="仿宋_GB2312" w:hAnsi="仿宋" w:hint="eastAsia"/>
          <w:sz w:val="28"/>
          <w:szCs w:val="28"/>
        </w:rPr>
      </w:pPr>
      <w:bookmarkStart w:id="0" w:name="_GoBack"/>
      <w:bookmarkEnd w:id="0"/>
    </w:p>
    <w:sectPr w:rsidR="009D0E72">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E72" w:rsidRDefault="009D0E72">
      <w:r>
        <w:separator/>
      </w:r>
    </w:p>
  </w:endnote>
  <w:endnote w:type="continuationSeparator" w:id="0">
    <w:p w:rsidR="009D0E72" w:rsidRDefault="009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B7586">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D0E72">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B758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9D0E72">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B7586">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E72" w:rsidRDefault="009D0E72">
      <w:r>
        <w:separator/>
      </w:r>
    </w:p>
  </w:footnote>
  <w:footnote w:type="continuationSeparator" w:id="0">
    <w:p w:rsidR="009D0E72" w:rsidRDefault="009D0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DDEC664"/>
    <w:rsid w:val="6FFB354B"/>
    <w:rsid w:val="FDDEC664"/>
    <w:rsid w:val="00446CEF"/>
    <w:rsid w:val="009D0E72"/>
    <w:rsid w:val="00CB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0802F4-BBEC-4176-9CF5-3862282B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majh</dc:creator>
  <cp:keywords/>
  <cp:lastModifiedBy>pc</cp:lastModifiedBy>
  <cp:revision>2</cp:revision>
  <dcterms:created xsi:type="dcterms:W3CDTF">2023-01-09T02:26:00Z</dcterms:created>
  <dcterms:modified xsi:type="dcterms:W3CDTF">2023-01-09T02:26:00Z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