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C67EC">
      <w:pPr>
        <w:rPr>
          <w:rFonts w:ascii="黑体" w:eastAsia="黑体" w:hAnsi="华文仿宋" w:hint="eastAsia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ascii="黑体" w:eastAsia="黑体" w:hAnsi="华文仿宋" w:hint="eastAsia"/>
          <w:sz w:val="32"/>
          <w:szCs w:val="32"/>
        </w:rPr>
        <w:t>附</w:t>
      </w:r>
      <w:r>
        <w:rPr>
          <w:rFonts w:ascii="黑体" w:eastAsia="黑体" w:hAnsi="华文仿宋" w:hint="eastAsia"/>
          <w:sz w:val="32"/>
          <w:szCs w:val="32"/>
        </w:rPr>
        <w:t>件</w:t>
      </w:r>
    </w:p>
    <w:p w:rsidR="00000000" w:rsidRDefault="002C67EC" w:rsidP="007410D7">
      <w:pPr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2C67EC" w:rsidP="007410D7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甘油果糖氯化钠注射液说明书修订</w:t>
      </w:r>
      <w:r>
        <w:rPr>
          <w:rFonts w:ascii="方正小标宋简体" w:eastAsia="方正小标宋简体" w:hAnsi="仿宋" w:hint="eastAsia"/>
          <w:sz w:val="44"/>
          <w:szCs w:val="44"/>
        </w:rPr>
        <w:t>要求</w:t>
      </w:r>
    </w:p>
    <w:p w:rsidR="00000000" w:rsidRDefault="002C67EC" w:rsidP="007410D7">
      <w:pPr>
        <w:spacing w:line="540" w:lineRule="exact"/>
        <w:ind w:firstLineChars="200" w:firstLine="640"/>
        <w:jc w:val="center"/>
        <w:rPr>
          <w:rFonts w:ascii="黑体" w:eastAsia="黑体" w:hAnsi="黑体" w:hint="eastAsia"/>
          <w:sz w:val="32"/>
          <w:szCs w:val="28"/>
        </w:rPr>
      </w:pPr>
    </w:p>
    <w:p w:rsidR="00000000" w:rsidRDefault="002C67EC">
      <w:pPr>
        <w:spacing w:line="540" w:lineRule="exact"/>
        <w:ind w:firstLineChars="200" w:firstLine="640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一、【不良反应】项增加：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药品上市后监测数据显示本品可见以下不良反应</w:t>
      </w:r>
      <w:r w:rsidRPr="007410D7">
        <w:rPr>
          <w:rFonts w:eastAsia="仿宋_GB2312"/>
          <w:sz w:val="32"/>
          <w:szCs w:val="28"/>
        </w:rPr>
        <w:t>/</w:t>
      </w:r>
      <w:r w:rsidRPr="007410D7">
        <w:rPr>
          <w:rFonts w:eastAsia="仿宋_GB2312"/>
          <w:sz w:val="32"/>
          <w:szCs w:val="28"/>
        </w:rPr>
        <w:t>事件：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1.</w:t>
      </w:r>
      <w:r w:rsidRPr="007410D7">
        <w:rPr>
          <w:rFonts w:eastAsia="仿宋_GB2312"/>
          <w:sz w:val="32"/>
          <w:szCs w:val="28"/>
        </w:rPr>
        <w:t>全身性反应：寒战，发热，畏寒，高热，口渴；</w:t>
      </w:r>
      <w:r w:rsidRPr="007410D7">
        <w:rPr>
          <w:rFonts w:eastAsia="仿宋_GB2312"/>
          <w:sz w:val="32"/>
          <w:szCs w:val="28"/>
        </w:rPr>
        <w:t xml:space="preserve"> 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2.</w:t>
      </w:r>
      <w:r w:rsidRPr="007410D7">
        <w:rPr>
          <w:rFonts w:eastAsia="仿宋_GB2312"/>
          <w:sz w:val="32"/>
          <w:szCs w:val="28"/>
        </w:rPr>
        <w:t>皮肤系统：皮疹，瘙痒，红斑，荨麻疹，多汗；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3.</w:t>
      </w:r>
      <w:r w:rsidRPr="007410D7">
        <w:rPr>
          <w:rFonts w:eastAsia="仿宋_GB2312"/>
          <w:sz w:val="32"/>
          <w:szCs w:val="28"/>
        </w:rPr>
        <w:t>胃肠系统：恶心，呕吐，腹痛，腹部不适；</w:t>
      </w:r>
      <w:r w:rsidRPr="007410D7">
        <w:rPr>
          <w:rFonts w:eastAsia="仿宋_GB2312"/>
          <w:sz w:val="32"/>
          <w:szCs w:val="28"/>
        </w:rPr>
        <w:t xml:space="preserve"> 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4.</w:t>
      </w:r>
      <w:r w:rsidRPr="007410D7">
        <w:rPr>
          <w:rFonts w:eastAsia="仿宋_GB2312"/>
          <w:sz w:val="32"/>
          <w:szCs w:val="28"/>
        </w:rPr>
        <w:t>神经系统：头痛，头晕，感觉减退，震颤；</w:t>
      </w:r>
      <w:r w:rsidRPr="007410D7">
        <w:rPr>
          <w:rFonts w:eastAsia="仿宋_GB2312"/>
          <w:sz w:val="32"/>
          <w:szCs w:val="28"/>
        </w:rPr>
        <w:t xml:space="preserve"> 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5.</w:t>
      </w:r>
      <w:r w:rsidRPr="007410D7">
        <w:rPr>
          <w:rFonts w:eastAsia="仿宋_GB2312"/>
          <w:sz w:val="32"/>
          <w:szCs w:val="28"/>
        </w:rPr>
        <w:t>呼吸系统：胸部不适，胸痛，呼吸困难，呼吸急促；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6.</w:t>
      </w:r>
      <w:r w:rsidRPr="007410D7">
        <w:rPr>
          <w:rFonts w:eastAsia="仿宋_GB2312"/>
          <w:sz w:val="32"/>
          <w:szCs w:val="28"/>
        </w:rPr>
        <w:t>免疫功能紊</w:t>
      </w:r>
      <w:r w:rsidRPr="007410D7">
        <w:rPr>
          <w:rFonts w:eastAsia="仿宋_GB2312"/>
          <w:sz w:val="32"/>
          <w:szCs w:val="28"/>
        </w:rPr>
        <w:t>乱和感染：过敏反应，类速发严重过敏反应，过敏性休克；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7.</w:t>
      </w:r>
      <w:r w:rsidRPr="007410D7">
        <w:rPr>
          <w:rFonts w:eastAsia="仿宋_GB2312"/>
          <w:sz w:val="32"/>
          <w:szCs w:val="28"/>
        </w:rPr>
        <w:t>用药部位：注射部位疼痛、瘙痒、红肿，静脉炎；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8.</w:t>
      </w:r>
      <w:r w:rsidRPr="007410D7">
        <w:rPr>
          <w:rFonts w:eastAsia="仿宋_GB2312"/>
          <w:sz w:val="32"/>
          <w:szCs w:val="28"/>
        </w:rPr>
        <w:t>其他：心悸、溶血、血尿、低钾血症。</w:t>
      </w:r>
    </w:p>
    <w:p w:rsidR="00000000" w:rsidRDefault="002C67EC">
      <w:pPr>
        <w:spacing w:line="540" w:lineRule="exact"/>
        <w:ind w:firstLineChars="200" w:firstLine="640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二、【注意事项】应包含但不限于：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1.</w:t>
      </w:r>
      <w:r w:rsidRPr="007410D7">
        <w:rPr>
          <w:rFonts w:eastAsia="仿宋_GB2312"/>
          <w:sz w:val="32"/>
          <w:szCs w:val="28"/>
        </w:rPr>
        <w:t>严重循环系统机能障碍、肾脏功能障碍、尿崩症、糖尿病和溶血性贫血患者慎用。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2.</w:t>
      </w:r>
      <w:r w:rsidRPr="007410D7">
        <w:rPr>
          <w:rFonts w:eastAsia="仿宋_GB2312"/>
          <w:sz w:val="32"/>
          <w:szCs w:val="28"/>
        </w:rPr>
        <w:t>活动性颅内出血患者无手术条件时慎用，应先处理出血源或确认不再有出血后方可应用本品。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3.</w:t>
      </w:r>
      <w:r w:rsidRPr="007410D7">
        <w:rPr>
          <w:rFonts w:eastAsia="仿宋_GB2312"/>
          <w:sz w:val="32"/>
          <w:szCs w:val="28"/>
        </w:rPr>
        <w:t>本品含</w:t>
      </w:r>
      <w:r w:rsidRPr="007410D7">
        <w:rPr>
          <w:rFonts w:eastAsia="仿宋_GB2312"/>
          <w:sz w:val="32"/>
          <w:szCs w:val="28"/>
        </w:rPr>
        <w:t>0.9%</w:t>
      </w:r>
      <w:r w:rsidRPr="007410D7">
        <w:rPr>
          <w:rFonts w:eastAsia="仿宋_GB2312"/>
          <w:sz w:val="32"/>
          <w:szCs w:val="28"/>
        </w:rPr>
        <w:t>氯化钠，用药时须注意患者食盐摄入量。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4.</w:t>
      </w:r>
      <w:r w:rsidRPr="007410D7">
        <w:rPr>
          <w:rFonts w:eastAsia="仿宋_GB2312"/>
          <w:sz w:val="32"/>
          <w:szCs w:val="28"/>
        </w:rPr>
        <w:t>本品滴注过快可发生溶血，如患者出现血红蛋白尿（酱油色尿），立即停止滴注。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lastRenderedPageBreak/>
        <w:t>5.</w:t>
      </w:r>
      <w:r w:rsidRPr="007410D7">
        <w:rPr>
          <w:rFonts w:eastAsia="仿宋_GB2312"/>
          <w:sz w:val="32"/>
          <w:szCs w:val="28"/>
        </w:rPr>
        <w:t>在伴有严重肾功能不全的患者，因</w:t>
      </w:r>
      <w:r w:rsidRPr="007410D7">
        <w:rPr>
          <w:rFonts w:eastAsia="仿宋_GB2312"/>
          <w:sz w:val="32"/>
          <w:szCs w:val="28"/>
        </w:rPr>
        <w:t>排泄减少使本品在体内蓄积，可因其血容量明显增加，加重心脏负荷，诱发或加重心力衰竭。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6.</w:t>
      </w:r>
      <w:r w:rsidRPr="007410D7">
        <w:rPr>
          <w:rFonts w:eastAsia="仿宋_GB2312"/>
          <w:sz w:val="32"/>
          <w:szCs w:val="28"/>
        </w:rPr>
        <w:t>长期使用要注意防止水、电解质紊乱。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7.</w:t>
      </w:r>
      <w:r w:rsidRPr="007410D7">
        <w:rPr>
          <w:rFonts w:eastAsia="仿宋_GB2312"/>
          <w:sz w:val="32"/>
          <w:szCs w:val="28"/>
        </w:rPr>
        <w:t>用药前及使用过程中应认真检查本品，发现药液出现浑浊、沉淀、变色、结晶等药物性状改变以及瓶身有漏气、裂纹等现象时，均不得使用。</w:t>
      </w:r>
    </w:p>
    <w:p w:rsidR="00000000" w:rsidRPr="007410D7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8.</w:t>
      </w:r>
      <w:r w:rsidRPr="007410D7">
        <w:rPr>
          <w:rFonts w:eastAsia="仿宋_GB2312"/>
          <w:sz w:val="32"/>
          <w:szCs w:val="28"/>
        </w:rPr>
        <w:t>对于患有果糖</w:t>
      </w:r>
      <w:r w:rsidRPr="007410D7">
        <w:rPr>
          <w:rFonts w:eastAsia="仿宋_GB2312"/>
          <w:sz w:val="32"/>
          <w:szCs w:val="28"/>
        </w:rPr>
        <w:t>-1</w:t>
      </w:r>
      <w:r w:rsidRPr="007410D7">
        <w:rPr>
          <w:rFonts w:eastAsia="仿宋_GB2312"/>
          <w:sz w:val="32"/>
          <w:szCs w:val="28"/>
        </w:rPr>
        <w:t>，</w:t>
      </w:r>
      <w:r w:rsidRPr="007410D7">
        <w:rPr>
          <w:rFonts w:eastAsia="仿宋_GB2312"/>
          <w:sz w:val="32"/>
          <w:szCs w:val="28"/>
        </w:rPr>
        <w:t>6-</w:t>
      </w:r>
      <w:r w:rsidRPr="007410D7">
        <w:rPr>
          <w:rFonts w:eastAsia="仿宋_GB2312"/>
          <w:sz w:val="32"/>
          <w:szCs w:val="28"/>
        </w:rPr>
        <w:t>二磷酸酶（</w:t>
      </w:r>
      <w:r w:rsidRPr="007410D7">
        <w:rPr>
          <w:rFonts w:eastAsia="仿宋_GB2312"/>
          <w:sz w:val="32"/>
          <w:szCs w:val="28"/>
        </w:rPr>
        <w:t>FBPase</w:t>
      </w:r>
      <w:r w:rsidRPr="007410D7">
        <w:rPr>
          <w:rFonts w:eastAsia="仿宋_GB2312"/>
          <w:sz w:val="32"/>
          <w:szCs w:val="28"/>
        </w:rPr>
        <w:t>）缺乏症（又称遗传性果糖不耐受症）的患者，不建议使用该药物。</w:t>
      </w:r>
    </w:p>
    <w:p w:rsidR="00000000" w:rsidRDefault="002C67EC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 w:rsidRPr="007410D7">
        <w:rPr>
          <w:rFonts w:eastAsia="仿宋_GB2312"/>
          <w:sz w:val="32"/>
          <w:szCs w:val="28"/>
        </w:rPr>
        <w:t>9.Ⅱ</w:t>
      </w:r>
      <w:r w:rsidRPr="007410D7">
        <w:rPr>
          <w:rFonts w:eastAsia="仿宋_GB2312"/>
          <w:sz w:val="32"/>
          <w:szCs w:val="28"/>
        </w:rPr>
        <w:t>型瓜氨酸血症为反复发作的高氨血症及其相关神经精神症状，包括抽搐、行为异常、记忆障碍、定向力障碍或意识障碍等。有报道成年</w:t>
      </w:r>
      <w:r w:rsidRPr="007410D7">
        <w:rPr>
          <w:rFonts w:eastAsia="仿宋_GB2312"/>
          <w:sz w:val="32"/>
          <w:szCs w:val="28"/>
        </w:rPr>
        <w:t>Ⅱ</w:t>
      </w:r>
      <w:r w:rsidRPr="007410D7">
        <w:rPr>
          <w:rFonts w:eastAsia="仿宋_GB2312"/>
          <w:sz w:val="32"/>
          <w:szCs w:val="28"/>
        </w:rPr>
        <w:t>型瓜氨酸血症患者使用该</w:t>
      </w:r>
      <w:r w:rsidRPr="007410D7">
        <w:rPr>
          <w:rFonts w:eastAsia="仿宋_GB2312"/>
          <w:sz w:val="32"/>
          <w:szCs w:val="28"/>
        </w:rPr>
        <w:t>药物治疗脑水肿后出现病情恶化而死亡。成年</w:t>
      </w:r>
      <w:r w:rsidRPr="007410D7">
        <w:rPr>
          <w:rFonts w:eastAsia="仿宋_GB2312"/>
          <w:sz w:val="32"/>
          <w:szCs w:val="28"/>
        </w:rPr>
        <w:t>Ⅱ</w:t>
      </w:r>
      <w:r w:rsidRPr="007410D7">
        <w:rPr>
          <w:rFonts w:eastAsia="仿宋_GB2312"/>
          <w:sz w:val="32"/>
          <w:szCs w:val="28"/>
        </w:rPr>
        <w:t>型瓜氨酸血症患者禁止使用。</w:t>
      </w:r>
    </w:p>
    <w:p w:rsidR="00000000" w:rsidRDefault="002C67EC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C67EC">
      <w:pPr>
        <w:rPr>
          <w:rFonts w:ascii="仿宋_GB2312" w:eastAsia="仿宋_GB2312" w:hAnsi="华文仿宋" w:hint="eastAsia"/>
          <w:sz w:val="32"/>
          <w:szCs w:val="32"/>
        </w:rPr>
      </w:pPr>
    </w:p>
    <w:p w:rsidR="002C67EC" w:rsidRDefault="002C67EC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2C67EC">
      <w:footerReference w:type="even" r:id="rId6"/>
      <w:footerReference w:type="default" r:id="rId7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7EC" w:rsidRDefault="002C67EC">
      <w:r>
        <w:separator/>
      </w:r>
    </w:p>
  </w:endnote>
  <w:endnote w:type="continuationSeparator" w:id="0">
    <w:p w:rsidR="002C67EC" w:rsidRDefault="002C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624A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2540" r="635" b="0"/>
              <wp:wrapNone/>
              <wp:docPr id="2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C67EC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7410D7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410D7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410D7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410D7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410D7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410D7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624AA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7410D7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410D7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410D7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410D7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25.85pt;margin-top:0;width:77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kr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T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lTQkr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2C67EC">
                    <w:pPr>
                      <w:pStyle w:val="a5"/>
                      <w:rPr>
                        <w:rFonts w:hint="eastAsia"/>
                      </w:rPr>
                    </w:pPr>
                    <w:r w:rsidRPr="007410D7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410D7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410D7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410D7">
                      <w:rPr>
                        <w:sz w:val="28"/>
                        <w:szCs w:val="28"/>
                      </w:rPr>
                      <w:fldChar w:fldCharType="begin"/>
                    </w:r>
                    <w:r w:rsidRPr="007410D7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410D7">
                      <w:rPr>
                        <w:sz w:val="28"/>
                        <w:szCs w:val="28"/>
                      </w:rPr>
                      <w:fldChar w:fldCharType="separate"/>
                    </w:r>
                    <w:r w:rsidR="006624AA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7410D7">
                      <w:rPr>
                        <w:sz w:val="28"/>
                        <w:szCs w:val="28"/>
                      </w:rPr>
                      <w:fldChar w:fldCharType="end"/>
                    </w:r>
                    <w:r w:rsidRPr="007410D7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410D7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410D7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624A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175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7410D7" w:rsidRDefault="002C67EC">
                          <w:pPr>
                            <w:pStyle w:val="a5"/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</w:pPr>
                          <w:r w:rsidRPr="007410D7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410D7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410D7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410D7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410D7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410D7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624AA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7410D7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410D7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410D7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410D7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19cV&#10;fc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Pr="007410D7" w:rsidRDefault="002C67EC">
                    <w:pPr>
                      <w:pStyle w:val="a5"/>
                      <w:rPr>
                        <w:rFonts w:hint="eastAsia"/>
                        <w:color w:val="FFFFFF"/>
                        <w:sz w:val="28"/>
                        <w:szCs w:val="28"/>
                      </w:rPr>
                    </w:pPr>
                    <w:r w:rsidRPr="007410D7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410D7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410D7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410D7">
                      <w:rPr>
                        <w:sz w:val="28"/>
                        <w:szCs w:val="28"/>
                      </w:rPr>
                      <w:fldChar w:fldCharType="begin"/>
                    </w:r>
                    <w:r w:rsidRPr="007410D7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410D7">
                      <w:rPr>
                        <w:sz w:val="28"/>
                        <w:szCs w:val="28"/>
                      </w:rPr>
                      <w:fldChar w:fldCharType="separate"/>
                    </w:r>
                    <w:r w:rsidR="006624AA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7410D7">
                      <w:rPr>
                        <w:sz w:val="28"/>
                        <w:szCs w:val="28"/>
                      </w:rPr>
                      <w:fldChar w:fldCharType="end"/>
                    </w:r>
                    <w:r w:rsidRPr="007410D7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410D7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410D7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7EC" w:rsidRDefault="002C67EC">
      <w:r>
        <w:separator/>
      </w:r>
    </w:p>
  </w:footnote>
  <w:footnote w:type="continuationSeparator" w:id="0">
    <w:p w:rsidR="002C67EC" w:rsidRDefault="002C6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C67EC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624AA"/>
    <w:rsid w:val="0067038A"/>
    <w:rsid w:val="00673EAB"/>
    <w:rsid w:val="00690209"/>
    <w:rsid w:val="006D3D5E"/>
    <w:rsid w:val="006E0E17"/>
    <w:rsid w:val="00727597"/>
    <w:rsid w:val="00735046"/>
    <w:rsid w:val="007410D7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ED417C"/>
    <w:rsid w:val="00F64776"/>
    <w:rsid w:val="00F6624B"/>
    <w:rsid w:val="00F8685B"/>
    <w:rsid w:val="00FA60C8"/>
    <w:rsid w:val="00FD22E5"/>
    <w:rsid w:val="00FD443E"/>
    <w:rsid w:val="00FD754D"/>
    <w:rsid w:val="0BEC7EA0"/>
    <w:rsid w:val="0ED9548B"/>
    <w:rsid w:val="0F9E0E77"/>
    <w:rsid w:val="0FFE6BCE"/>
    <w:rsid w:val="1BDFE6E8"/>
    <w:rsid w:val="1BE9F336"/>
    <w:rsid w:val="1D8C25FC"/>
    <w:rsid w:val="2A8D465A"/>
    <w:rsid w:val="37F1D709"/>
    <w:rsid w:val="3B8B001A"/>
    <w:rsid w:val="3EBE6C92"/>
    <w:rsid w:val="3FFDB7CF"/>
    <w:rsid w:val="43E2636A"/>
    <w:rsid w:val="46D9D95D"/>
    <w:rsid w:val="4C1A048F"/>
    <w:rsid w:val="4F1F9CCA"/>
    <w:rsid w:val="591D3208"/>
    <w:rsid w:val="5D9FD3A8"/>
    <w:rsid w:val="5E3B4512"/>
    <w:rsid w:val="5F297A5F"/>
    <w:rsid w:val="5FFF2377"/>
    <w:rsid w:val="63E446CD"/>
    <w:rsid w:val="6CEB08BD"/>
    <w:rsid w:val="6F7D8092"/>
    <w:rsid w:val="6FF74479"/>
    <w:rsid w:val="75FF4E88"/>
    <w:rsid w:val="76F6D02E"/>
    <w:rsid w:val="7AFE5B88"/>
    <w:rsid w:val="7BBFEF4B"/>
    <w:rsid w:val="7BFE5DC3"/>
    <w:rsid w:val="7BFF8930"/>
    <w:rsid w:val="7BFFBF11"/>
    <w:rsid w:val="7DEB0037"/>
    <w:rsid w:val="7E6FB646"/>
    <w:rsid w:val="7ED62E8A"/>
    <w:rsid w:val="7F7821A8"/>
    <w:rsid w:val="7F7BDF68"/>
    <w:rsid w:val="7FAD1C2A"/>
    <w:rsid w:val="7FFF6F00"/>
    <w:rsid w:val="8E3DB281"/>
    <w:rsid w:val="9FBF9EA4"/>
    <w:rsid w:val="AAFB15B7"/>
    <w:rsid w:val="BCFF0107"/>
    <w:rsid w:val="BED76B9E"/>
    <w:rsid w:val="CFBB9A13"/>
    <w:rsid w:val="CFFCCD5B"/>
    <w:rsid w:val="E39F27A7"/>
    <w:rsid w:val="EBE2390E"/>
    <w:rsid w:val="F2FD0E14"/>
    <w:rsid w:val="F3F07D37"/>
    <w:rsid w:val="F79B8FA8"/>
    <w:rsid w:val="F7EF4C18"/>
    <w:rsid w:val="F7FDC851"/>
    <w:rsid w:val="FBBF7578"/>
    <w:rsid w:val="FEBFD840"/>
    <w:rsid w:val="FEFBCD79"/>
    <w:rsid w:val="FF6F2357"/>
    <w:rsid w:val="FFBFA0F1"/>
    <w:rsid w:val="FFDBE713"/>
    <w:rsid w:val="FFEB1660"/>
    <w:rsid w:val="FFFFD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C1DD9E-B5C2-4593-9868-5A80D49B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>Xtzj.Com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2021-11-30T15:32:00Z</cp:lastPrinted>
  <dcterms:created xsi:type="dcterms:W3CDTF">2021-11-30T09:36:00Z</dcterms:created>
  <dcterms:modified xsi:type="dcterms:W3CDTF">2021-11-30T09:36:00Z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