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附件2</w:t>
      </w:r>
    </w:p>
    <w:p>
      <w:pPr>
        <w:spacing w:line="600" w:lineRule="exact"/>
        <w:rPr>
          <w:rFonts w:ascii="Nimbus Roman" w:hAnsi="Nimbus Roman" w:eastAsia="宋体" w:cs="Nimbus Roman"/>
          <w:b/>
          <w:bCs/>
          <w:color w:val="000000" w:themeColor="text1"/>
          <w:sz w:val="32"/>
          <w:szCs w:val="32"/>
          <w14:textFill>
            <w14:solidFill>
              <w14:schemeClr w14:val="tx1"/>
            </w14:solidFill>
          </w14:textFill>
        </w:rPr>
      </w:pPr>
    </w:p>
    <w:p>
      <w:pPr>
        <w:spacing w:line="600" w:lineRule="exact"/>
        <w:jc w:val="center"/>
        <w:rPr>
          <w:rFonts w:hint="eastAsia" w:ascii="Times New Roman" w:hAnsi="Times New Roman" w:eastAsia="方正小标宋简体" w:cs="Times New Roman"/>
          <w:color w:val="000000" w:themeColor="text1"/>
          <w:sz w:val="44"/>
          <w:szCs w:val="44"/>
          <w:lang w:eastAsia="zh-CN"/>
          <w14:textFill>
            <w14:solidFill>
              <w14:schemeClr w14:val="tx1"/>
            </w14:solidFill>
          </w14:textFill>
        </w:rPr>
      </w:pPr>
      <w:r>
        <w:rPr>
          <w:rFonts w:hint="eastAsia" w:ascii="Times New Roman" w:hAnsi="Times New Roman" w:eastAsia="方正小标宋简体" w:cs="Times New Roman"/>
          <w:color w:val="000000" w:themeColor="text1"/>
          <w:sz w:val="44"/>
          <w:szCs w:val="44"/>
          <w:lang w:eastAsia="zh-CN"/>
          <w14:textFill>
            <w14:solidFill>
              <w14:schemeClr w14:val="tx1"/>
            </w14:solidFill>
          </w14:textFill>
        </w:rPr>
        <w:t>起草说明</w:t>
      </w:r>
    </w:p>
    <w:p>
      <w:pPr>
        <w:spacing w:line="600" w:lineRule="exact"/>
        <w:rPr>
          <w:rFonts w:ascii="Times New Roman" w:hAnsi="Times New Roman" w:eastAsia="仿宋_GB2312" w:cs="Nimbus Roman"/>
          <w:color w:val="000000" w:themeColor="text1"/>
          <w:sz w:val="32"/>
          <w:szCs w:val="32"/>
          <w14:textFill>
            <w14:solidFill>
              <w14:schemeClr w14:val="tx1"/>
            </w14:solidFill>
          </w14:textFill>
        </w:rPr>
      </w:pPr>
    </w:p>
    <w:p>
      <w:pPr>
        <w:pStyle w:val="7"/>
        <w:numPr>
          <w:ilvl w:val="0"/>
          <w:numId w:val="1"/>
        </w:numPr>
        <w:spacing w:line="600" w:lineRule="exact"/>
        <w:ind w:firstLineChars="0"/>
        <w:rPr>
          <w:rFonts w:ascii="Nimbus Roman" w:hAnsi="Nimbus Roman" w:eastAsia="黑体" w:cs="Nimbus Roman"/>
          <w:color w:val="000000" w:themeColor="text1"/>
          <w:sz w:val="32"/>
          <w:szCs w:val="32"/>
          <w14:textFill>
            <w14:solidFill>
              <w14:schemeClr w14:val="tx1"/>
            </w14:solidFill>
          </w14:textFill>
        </w:rPr>
      </w:pPr>
      <w:r>
        <w:rPr>
          <w:rFonts w:hint="eastAsia" w:ascii="Nimbus Roman" w:hAnsi="Nimbus Roman" w:eastAsia="黑体" w:cs="Nimbus Roman"/>
          <w:color w:val="000000" w:themeColor="text1"/>
          <w:sz w:val="32"/>
          <w:szCs w:val="32"/>
          <w:lang w:eastAsia="zh-CN"/>
          <w14:textFill>
            <w14:solidFill>
              <w14:schemeClr w14:val="tx1"/>
            </w14:solidFill>
          </w14:textFill>
        </w:rPr>
        <w:t>政策背景</w:t>
      </w:r>
    </w:p>
    <w:p>
      <w:pPr>
        <w:spacing w:line="600" w:lineRule="exact"/>
        <w:ind w:firstLine="640" w:firstLineChars="200"/>
        <w:rPr>
          <w:rFonts w:hint="eastAsia" w:ascii="Times New Roman" w:hAnsi="Times New Roman" w:eastAsia="仿宋_GB2312" w:cs="Nimbus Roman"/>
          <w:color w:val="000000" w:themeColor="text1"/>
          <w:sz w:val="32"/>
          <w:szCs w:val="32"/>
          <w:lang w:eastAsia="zh-CN"/>
          <w14:textFill>
            <w14:solidFill>
              <w14:schemeClr w14:val="tx1"/>
            </w14:solidFill>
          </w14:textFill>
        </w:rPr>
      </w:pPr>
      <w:r>
        <w:rPr>
          <w:rFonts w:hint="eastAsia" w:ascii="Times New Roman" w:hAnsi="Times New Roman" w:eastAsia="仿宋_GB2312" w:cs="Nimbus Roman"/>
          <w:color w:val="000000" w:themeColor="text1"/>
          <w:sz w:val="32"/>
          <w:szCs w:val="32"/>
          <w14:textFill>
            <w14:solidFill>
              <w14:schemeClr w14:val="tx1"/>
            </w14:solidFill>
          </w14:textFill>
        </w:rPr>
        <w:t>医疗服务价格项目是医疗服务项目定价和价格管理的基础和依据,</w:t>
      </w:r>
      <w:r>
        <w:rPr>
          <w:rFonts w:hint="eastAsia" w:ascii="Times New Roman" w:hAnsi="Times New Roman" w:eastAsia="仿宋_GB2312" w:cs="Nimbus Roman"/>
          <w:color w:val="000000" w:themeColor="text1"/>
          <w:sz w:val="32"/>
          <w:szCs w:val="32"/>
          <w:lang w:eastAsia="zh-CN"/>
          <w14:textFill>
            <w14:solidFill>
              <w14:schemeClr w14:val="tx1"/>
            </w14:solidFill>
          </w14:textFill>
        </w:rPr>
        <w:t>为贯彻落实国家医保局等八部委印发的</w:t>
      </w:r>
      <w:r>
        <w:rPr>
          <w:rFonts w:hint="eastAsia" w:ascii="Times New Roman" w:hAnsi="Times New Roman" w:eastAsia="仿宋_GB2312" w:cs="Nimbus Roman"/>
          <w:color w:val="000000" w:themeColor="text1"/>
          <w:sz w:val="32"/>
          <w:szCs w:val="32"/>
          <w14:textFill>
            <w14:solidFill>
              <w14:schemeClr w14:val="tx1"/>
            </w14:solidFill>
          </w14:textFill>
        </w:rPr>
        <w:t>《深化医疗服务价格改革试点方案》（医保发〔2021〕41号）、《国家医疗保障局办公室关于进一步做好医疗服务价格管理工作的通知》（医保办发〔2022〕16号）</w:t>
      </w:r>
      <w:r>
        <w:rPr>
          <w:rFonts w:hint="eastAsia" w:ascii="Times New Roman" w:hAnsi="Times New Roman" w:eastAsia="仿宋_GB2312" w:cs="Nimbus Roman"/>
          <w:color w:val="000000" w:themeColor="text1"/>
          <w:sz w:val="32"/>
          <w:szCs w:val="32"/>
          <w:lang w:eastAsia="zh-CN"/>
          <w14:textFill>
            <w14:solidFill>
              <w14:schemeClr w14:val="tx1"/>
            </w14:solidFill>
          </w14:textFill>
        </w:rPr>
        <w:t>以及</w:t>
      </w:r>
      <w:r>
        <w:rPr>
          <w:rFonts w:hint="eastAsia" w:ascii="Times New Roman" w:hAnsi="Times New Roman" w:eastAsia="仿宋_GB2312" w:cs="Nimbus Roman"/>
          <w:color w:val="000000" w:themeColor="text1"/>
          <w:sz w:val="32"/>
          <w:szCs w:val="32"/>
          <w14:textFill>
            <w14:solidFill>
              <w14:schemeClr w14:val="tx1"/>
            </w14:solidFill>
          </w14:textFill>
        </w:rPr>
        <w:t>《广东省医疗保障局医疗服务价格项目专家论证工作规程》（粤医保办函〔2022〕72号）等文件精神</w:t>
      </w:r>
      <w:r>
        <w:rPr>
          <w:rFonts w:hint="eastAsia" w:ascii="Times New Roman" w:hAnsi="Times New Roman" w:eastAsia="仿宋_GB2312" w:cs="Nimbus Roman"/>
          <w:color w:val="000000" w:themeColor="text1"/>
          <w:sz w:val="32"/>
          <w:szCs w:val="32"/>
          <w:lang w:eastAsia="zh-CN"/>
          <w14:textFill>
            <w14:solidFill>
              <w14:schemeClr w14:val="tx1"/>
            </w14:solidFill>
          </w14:textFill>
        </w:rPr>
        <w:t>，我局</w:t>
      </w:r>
      <w:r>
        <w:rPr>
          <w:rFonts w:hint="eastAsia" w:ascii="Times New Roman" w:hAnsi="Times New Roman" w:eastAsia="仿宋_GB2312" w:cs="Nimbus Roman"/>
          <w:color w:val="000000" w:themeColor="text1"/>
          <w:sz w:val="32"/>
          <w:szCs w:val="32"/>
          <w14:textFill>
            <w14:solidFill>
              <w14:schemeClr w14:val="tx1"/>
            </w14:solidFill>
          </w14:textFill>
        </w:rPr>
        <w:t>开展了新一轮修订医疗服务价格项目评审工作</w:t>
      </w:r>
      <w:r>
        <w:rPr>
          <w:rFonts w:hint="eastAsia" w:ascii="Times New Roman" w:hAnsi="Times New Roman" w:eastAsia="仿宋_GB2312" w:cs="Nimbus Roman"/>
          <w:color w:val="000000" w:themeColor="text1"/>
          <w:sz w:val="32"/>
          <w:szCs w:val="32"/>
          <w:lang w:eastAsia="zh-CN"/>
          <w14:textFill>
            <w14:solidFill>
              <w14:schemeClr w14:val="tx1"/>
            </w14:solidFill>
          </w14:textFill>
        </w:rPr>
        <w:t>，经过归纳初审、专家论证、复核论证等流程，拟定了《广东省医疗保障局关于公布“雾化治疗”等1</w:t>
      </w:r>
      <w:r>
        <w:rPr>
          <w:rFonts w:hint="eastAsia" w:ascii="Times New Roman" w:hAnsi="Times New Roman" w:eastAsia="仿宋_GB2312" w:cs="Nimbus Roman"/>
          <w:color w:val="000000" w:themeColor="text1"/>
          <w:sz w:val="32"/>
          <w:szCs w:val="32"/>
          <w:lang w:val="en-US" w:eastAsia="zh-CN"/>
          <w14:textFill>
            <w14:solidFill>
              <w14:schemeClr w14:val="tx1"/>
            </w14:solidFill>
          </w14:textFill>
        </w:rPr>
        <w:t>3</w:t>
      </w:r>
      <w:r>
        <w:rPr>
          <w:rFonts w:hint="eastAsia" w:ascii="Times New Roman" w:hAnsi="Times New Roman" w:eastAsia="仿宋_GB2312" w:cs="Nimbus Roman"/>
          <w:color w:val="000000" w:themeColor="text1"/>
          <w:sz w:val="32"/>
          <w:szCs w:val="32"/>
          <w:lang w:eastAsia="zh-CN"/>
          <w14:textFill>
            <w14:solidFill>
              <w14:schemeClr w14:val="tx1"/>
            </w14:solidFill>
          </w14:textFill>
        </w:rPr>
        <w:t>项修订医疗服务价格项目的通知（征求意见稿）》。</w:t>
      </w:r>
      <w:bookmarkStart w:id="0" w:name="_GoBack"/>
      <w:bookmarkEnd w:id="0"/>
    </w:p>
    <w:p>
      <w:pPr>
        <w:pStyle w:val="7"/>
        <w:numPr>
          <w:ilvl w:val="0"/>
          <w:numId w:val="1"/>
        </w:numPr>
        <w:spacing w:line="600" w:lineRule="exact"/>
        <w:ind w:firstLineChars="0"/>
        <w:rPr>
          <w:rFonts w:ascii="Nimbus Roman" w:hAnsi="Nimbus Roman" w:eastAsia="黑体" w:cs="Nimbus Roman"/>
          <w:color w:val="000000" w:themeColor="text1"/>
          <w:sz w:val="32"/>
          <w:szCs w:val="32"/>
          <w14:textFill>
            <w14:solidFill>
              <w14:schemeClr w14:val="tx1"/>
            </w14:solidFill>
          </w14:textFill>
        </w:rPr>
      </w:pPr>
      <w:r>
        <w:rPr>
          <w:rFonts w:hint="eastAsia" w:ascii="Nimbus Roman" w:hAnsi="Nimbus Roman" w:eastAsia="黑体" w:cs="Nimbus Roman"/>
          <w:color w:val="000000" w:themeColor="text1"/>
          <w:sz w:val="32"/>
          <w:szCs w:val="32"/>
          <w:lang w:eastAsia="zh-CN"/>
          <w14:textFill>
            <w14:solidFill>
              <w14:schemeClr w14:val="tx1"/>
            </w14:solidFill>
          </w14:textFill>
        </w:rPr>
        <w:t>政策依据</w:t>
      </w:r>
    </w:p>
    <w:p>
      <w:pPr>
        <w:spacing w:line="600" w:lineRule="exact"/>
        <w:ind w:firstLine="640" w:firstLineChars="200"/>
        <w:rPr>
          <w:rFonts w:hint="eastAsia" w:ascii="Times New Roman" w:hAnsi="Times New Roman" w:eastAsia="仿宋_GB2312" w:cs="Nimbus Roman"/>
          <w:color w:val="000000" w:themeColor="text1"/>
          <w:sz w:val="32"/>
          <w:szCs w:val="32"/>
          <w14:textFill>
            <w14:solidFill>
              <w14:schemeClr w14:val="tx1"/>
            </w14:solidFill>
          </w14:textFill>
        </w:rPr>
      </w:pPr>
      <w:r>
        <w:rPr>
          <w:rFonts w:hint="eastAsia" w:ascii="Times New Roman" w:hAnsi="Times New Roman" w:eastAsia="仿宋_GB2312" w:cs="Nimbus Roman"/>
          <w:color w:val="000000" w:themeColor="text1"/>
          <w:sz w:val="32"/>
          <w:szCs w:val="32"/>
          <w:lang w:eastAsia="zh-CN"/>
          <w14:textFill>
            <w14:solidFill>
              <w14:schemeClr w14:val="tx1"/>
            </w14:solidFill>
          </w14:textFill>
        </w:rPr>
        <w:t>（一）</w:t>
      </w:r>
      <w:r>
        <w:rPr>
          <w:rFonts w:hint="eastAsia" w:ascii="Times New Roman" w:hAnsi="Times New Roman" w:eastAsia="仿宋_GB2312" w:cs="Nimbus Roman"/>
          <w:color w:val="000000" w:themeColor="text1"/>
          <w:sz w:val="32"/>
          <w:szCs w:val="32"/>
          <w14:textFill>
            <w14:solidFill>
              <w14:schemeClr w14:val="tx1"/>
            </w14:solidFill>
          </w14:textFill>
        </w:rPr>
        <w:t>《深化医疗服务价格改革试点方案》（医保发〔2021〕41号）</w:t>
      </w:r>
    </w:p>
    <w:p>
      <w:pPr>
        <w:spacing w:line="600" w:lineRule="exact"/>
        <w:ind w:firstLine="640" w:firstLineChars="200"/>
        <w:rPr>
          <w:rFonts w:hint="eastAsia" w:ascii="Times New Roman" w:hAnsi="Times New Roman" w:eastAsia="仿宋_GB2312" w:cs="Nimbus Roman"/>
          <w:color w:val="000000" w:themeColor="text1"/>
          <w:sz w:val="32"/>
          <w:szCs w:val="32"/>
          <w14:textFill>
            <w14:solidFill>
              <w14:schemeClr w14:val="tx1"/>
            </w14:solidFill>
          </w14:textFill>
        </w:rPr>
      </w:pPr>
      <w:r>
        <w:rPr>
          <w:rFonts w:hint="eastAsia" w:ascii="Times New Roman" w:hAnsi="Times New Roman" w:eastAsia="仿宋_GB2312" w:cs="Nimbus Roman"/>
          <w:color w:val="000000" w:themeColor="text1"/>
          <w:sz w:val="32"/>
          <w:szCs w:val="32"/>
          <w:lang w:eastAsia="zh-CN"/>
          <w14:textFill>
            <w14:solidFill>
              <w14:schemeClr w14:val="tx1"/>
            </w14:solidFill>
          </w14:textFill>
        </w:rPr>
        <w:t>（二）</w:t>
      </w:r>
      <w:r>
        <w:rPr>
          <w:rFonts w:hint="eastAsia" w:ascii="Times New Roman" w:hAnsi="Times New Roman" w:eastAsia="仿宋_GB2312" w:cs="Nimbus Roman"/>
          <w:color w:val="000000" w:themeColor="text1"/>
          <w:sz w:val="32"/>
          <w:szCs w:val="32"/>
          <w14:textFill>
            <w14:solidFill>
              <w14:schemeClr w14:val="tx1"/>
            </w14:solidFill>
          </w14:textFill>
        </w:rPr>
        <w:t>《国家医疗保障局办公室关于进一步做好医疗服务价格管理工作的通知》（医保办发〔2022〕16号）</w:t>
      </w:r>
    </w:p>
    <w:p>
      <w:pPr>
        <w:spacing w:line="600" w:lineRule="exact"/>
        <w:ind w:firstLine="640" w:firstLineChars="200"/>
        <w:rPr>
          <w:rFonts w:ascii="Times New Roman" w:hAnsi="Times New Roman" w:eastAsia="仿宋_GB2312" w:cs="Nimbus Roman"/>
          <w:color w:val="000000" w:themeColor="text1"/>
          <w:sz w:val="32"/>
          <w:szCs w:val="32"/>
          <w14:textFill>
            <w14:solidFill>
              <w14:schemeClr w14:val="tx1"/>
            </w14:solidFill>
          </w14:textFill>
        </w:rPr>
      </w:pPr>
      <w:r>
        <w:rPr>
          <w:rFonts w:hint="eastAsia" w:ascii="Times New Roman" w:hAnsi="Times New Roman" w:eastAsia="仿宋_GB2312" w:cs="Nimbus Roman"/>
          <w:color w:val="000000" w:themeColor="text1"/>
          <w:sz w:val="32"/>
          <w:szCs w:val="32"/>
          <w:lang w:eastAsia="zh-CN"/>
          <w14:textFill>
            <w14:solidFill>
              <w14:schemeClr w14:val="tx1"/>
            </w14:solidFill>
          </w14:textFill>
        </w:rPr>
        <w:t>（三）</w:t>
      </w:r>
      <w:r>
        <w:rPr>
          <w:rFonts w:hint="eastAsia" w:ascii="Times New Roman" w:hAnsi="Times New Roman" w:eastAsia="仿宋_GB2312" w:cs="Nimbus Roman"/>
          <w:color w:val="000000" w:themeColor="text1"/>
          <w:sz w:val="32"/>
          <w:szCs w:val="32"/>
          <w14:textFill>
            <w14:solidFill>
              <w14:schemeClr w14:val="tx1"/>
            </w14:solidFill>
          </w14:textFill>
        </w:rPr>
        <w:t>《广东省医疗保障局医疗服务价格项目专家论证工作规程》（粤医保办函〔2022〕72号）</w:t>
      </w:r>
    </w:p>
    <w:p>
      <w:pPr>
        <w:pStyle w:val="7"/>
        <w:numPr>
          <w:ilvl w:val="0"/>
          <w:numId w:val="1"/>
        </w:numPr>
        <w:spacing w:line="560" w:lineRule="exact"/>
        <w:ind w:firstLineChars="0"/>
        <w:rPr>
          <w:rFonts w:ascii="Nimbus Roman" w:hAnsi="Nimbus Roman" w:eastAsia="黑体" w:cs="Nimbus Roman"/>
          <w:color w:val="000000" w:themeColor="text1"/>
          <w:sz w:val="32"/>
          <w:szCs w:val="32"/>
          <w14:textFill>
            <w14:solidFill>
              <w14:schemeClr w14:val="tx1"/>
            </w14:solidFill>
          </w14:textFill>
        </w:rPr>
      </w:pPr>
      <w:r>
        <w:rPr>
          <w:rFonts w:ascii="Nimbus Roman" w:hAnsi="Nimbus Roman" w:eastAsia="黑体" w:cs="Nimbus Roman"/>
          <w:color w:val="000000" w:themeColor="text1"/>
          <w:sz w:val="32"/>
          <w:szCs w:val="32"/>
          <w14:textFill>
            <w14:solidFill>
              <w14:schemeClr w14:val="tx1"/>
            </w14:solidFill>
          </w14:textFill>
        </w:rPr>
        <w:t>主要</w:t>
      </w:r>
      <w:r>
        <w:rPr>
          <w:rFonts w:hint="eastAsia" w:ascii="Nimbus Roman" w:hAnsi="Nimbus Roman" w:eastAsia="黑体" w:cs="Nimbus Roman"/>
          <w:color w:val="000000" w:themeColor="text1"/>
          <w:sz w:val="32"/>
          <w:szCs w:val="32"/>
          <w:lang w:eastAsia="zh-CN"/>
          <w14:textFill>
            <w14:solidFill>
              <w14:schemeClr w14:val="tx1"/>
            </w14:solidFill>
          </w14:textFill>
        </w:rPr>
        <w:t>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Nimbus Roman"/>
          <w:color w:val="000000" w:themeColor="text1"/>
          <w:sz w:val="32"/>
          <w:szCs w:val="32"/>
          <w:lang w:val="en-US" w:eastAsia="zh-CN"/>
          <w14:textFill>
            <w14:solidFill>
              <w14:schemeClr w14:val="tx1"/>
            </w14:solidFill>
          </w14:textFill>
        </w:rPr>
      </w:pPr>
      <w:r>
        <w:rPr>
          <w:rFonts w:hint="eastAsia" w:ascii="Times New Roman" w:hAnsi="Times New Roman" w:eastAsia="仿宋_GB2312" w:cs="Nimbus Roman"/>
          <w:color w:val="000000" w:themeColor="text1"/>
          <w:sz w:val="32"/>
          <w:szCs w:val="32"/>
          <w14:textFill>
            <w14:solidFill>
              <w14:schemeClr w14:val="tx1"/>
            </w14:solidFill>
          </w14:textFill>
        </w:rPr>
        <w:t>本次对《广东省基本医疗服务价格项目目录（2021年版）》（粤医保发〔2021〕20号）中</w:t>
      </w:r>
      <w:r>
        <w:rPr>
          <w:rFonts w:hint="eastAsia" w:ascii="Times New Roman" w:hAnsi="Times New Roman" w:eastAsia="仿宋_GB2312" w:cs="Nimbus Roman"/>
          <w:color w:val="000000" w:themeColor="text1"/>
          <w:sz w:val="32"/>
          <w:szCs w:val="32"/>
          <w:lang w:val="en-US" w:eastAsia="zh-CN"/>
          <w14:textFill>
            <w14:solidFill>
              <w14:schemeClr w14:val="tx1"/>
            </w14:solidFill>
          </w14:textFill>
        </w:rPr>
        <w:t>13</w:t>
      </w:r>
      <w:r>
        <w:rPr>
          <w:rFonts w:hint="eastAsia" w:ascii="Times New Roman" w:hAnsi="Times New Roman" w:eastAsia="仿宋_GB2312" w:cs="Nimbus Roman"/>
          <w:color w:val="000000" w:themeColor="text1"/>
          <w:sz w:val="32"/>
          <w:szCs w:val="32"/>
          <w14:textFill>
            <w14:solidFill>
              <w14:schemeClr w14:val="tx1"/>
            </w14:solidFill>
          </w14:textFill>
        </w:rPr>
        <w:t>项的医疗服务内涵、说明、除外收费</w:t>
      </w:r>
      <w:r>
        <w:rPr>
          <w:rFonts w:hint="eastAsia" w:ascii="Times New Roman" w:hAnsi="Times New Roman" w:eastAsia="仿宋_GB2312" w:cs="Nimbus Roman"/>
          <w:color w:val="000000" w:themeColor="text1"/>
          <w:sz w:val="32"/>
          <w:szCs w:val="32"/>
          <w:lang w:eastAsia="zh-CN"/>
          <w14:textFill>
            <w14:solidFill>
              <w14:schemeClr w14:val="tx1"/>
            </w14:solidFill>
          </w14:textFill>
        </w:rPr>
        <w:t>、计价单位</w:t>
      </w:r>
      <w:r>
        <w:rPr>
          <w:rFonts w:hint="eastAsia" w:ascii="Times New Roman" w:hAnsi="Times New Roman" w:eastAsia="仿宋_GB2312" w:cs="Nimbus Roman"/>
          <w:color w:val="000000" w:themeColor="text1"/>
          <w:sz w:val="32"/>
          <w:szCs w:val="32"/>
          <w14:textFill>
            <w14:solidFill>
              <w14:schemeClr w14:val="tx1"/>
            </w14:solidFill>
          </w14:textFill>
        </w:rPr>
        <w:t>等内容进行修订和完善</w:t>
      </w:r>
      <w:r>
        <w:rPr>
          <w:rFonts w:hint="eastAsia" w:ascii="Times New Roman" w:hAnsi="Times New Roman" w:eastAsia="仿宋_GB2312" w:cs="Nimbus Roman"/>
          <w:color w:val="000000" w:themeColor="text1"/>
          <w:sz w:val="32"/>
          <w:szCs w:val="32"/>
          <w:lang w:eastAsia="zh-CN"/>
          <w14:textFill>
            <w14:solidFill>
              <w14:schemeClr w14:val="tx1"/>
            </w14:solidFill>
          </w14:textFill>
        </w:rPr>
        <w:t>，包括综合医疗服务类</w:t>
      </w:r>
      <w:r>
        <w:rPr>
          <w:rFonts w:hint="eastAsia" w:ascii="Times New Roman" w:hAnsi="Times New Roman" w:eastAsia="仿宋_GB2312" w:cs="Nimbus Roman"/>
          <w:color w:val="000000" w:themeColor="text1"/>
          <w:sz w:val="32"/>
          <w:szCs w:val="32"/>
          <w:lang w:val="en-US" w:eastAsia="zh-CN"/>
          <w14:textFill>
            <w14:solidFill>
              <w14:schemeClr w14:val="tx1"/>
            </w14:solidFill>
          </w14:textFill>
        </w:rPr>
        <w:t>1项和临床诊疗类12项。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Nimbus Roman"/>
          <w:color w:val="000000" w:themeColor="text1"/>
          <w:sz w:val="32"/>
          <w:szCs w:val="32"/>
          <w:lang w:val="en-US" w:eastAsia="zh-CN"/>
          <w14:textFill>
            <w14:solidFill>
              <w14:schemeClr w14:val="tx1"/>
            </w14:solidFill>
          </w14:textFill>
        </w:rPr>
      </w:pPr>
      <w:r>
        <w:rPr>
          <w:rFonts w:hint="eastAsia" w:ascii="Times New Roman" w:hAnsi="Times New Roman" w:eastAsia="仿宋_GB2312" w:cs="Nimbus Roman"/>
          <w:color w:val="000000" w:themeColor="text1"/>
          <w:sz w:val="32"/>
          <w:szCs w:val="32"/>
          <w:lang w:val="en-US" w:eastAsia="zh-CN"/>
          <w14:textFill>
            <w14:solidFill>
              <w14:schemeClr w14:val="tx1"/>
            </w14:solidFill>
          </w14:textFill>
        </w:rPr>
        <w:t>本次修订目的主要通过优化整合，增加项目兼容性，减少医疗机构因技术或方法改良而无收费项目导致的违规收费行为。为增加项目的兼容性，本次修订共清理删除5项，增加子项目2项，对3项的项目名称、内涵及除外内容等内容进行完善，3项的计价单位由“次”修订为“每节段”并明确其中2项项目内涵，规范医疗机构的收费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Nimbus Roman"/>
          <w:color w:val="000000" w:themeColor="text1"/>
          <w:sz w:val="32"/>
          <w:szCs w:val="32"/>
          <w:lang w:val="en-US" w:eastAsia="zh-CN"/>
          <w14:textFill>
            <w14:solidFill>
              <w14:schemeClr w14:val="tx1"/>
            </w14:solidFill>
          </w14:textFill>
        </w:rPr>
      </w:pPr>
      <w:r>
        <w:rPr>
          <w:rFonts w:hint="eastAsia" w:ascii="Times New Roman" w:hAnsi="Times New Roman" w:eastAsia="仿宋_GB2312" w:cs="Nimbus Roman"/>
          <w:color w:val="000000" w:themeColor="text1"/>
          <w:sz w:val="32"/>
          <w:szCs w:val="32"/>
          <w:lang w:val="en-US" w:eastAsia="zh-CN"/>
          <w14:textFill>
            <w14:solidFill>
              <w14:schemeClr w14:val="tx1"/>
            </w14:solidFill>
          </w14:textFill>
        </w:rPr>
        <w:t>各地市需按程序核定修订医疗服务项目的政府指导价，</w:t>
      </w:r>
      <w:r>
        <w:rPr>
          <w:rFonts w:hint="eastAsia" w:eastAsia="仿宋_GB2312" w:cs="Times New Roman"/>
          <w:sz w:val="32"/>
          <w:szCs w:val="32"/>
          <w:lang w:val="en-US" w:eastAsia="zh-CN"/>
        </w:rPr>
        <w:t>并按规定做好价格信息公开和</w:t>
      </w:r>
      <w:r>
        <w:rPr>
          <w:rFonts w:hint="default" w:ascii="Times New Roman" w:hAnsi="Times New Roman" w:eastAsia="仿宋_GB2312" w:cs="Times New Roman"/>
          <w:sz w:val="32"/>
          <w:szCs w:val="32"/>
          <w:lang w:val="en-US" w:eastAsia="zh-CN"/>
        </w:rPr>
        <w:t>政策落实工作</w:t>
      </w:r>
      <w:r>
        <w:rPr>
          <w:rFonts w:hint="eastAsia" w:ascii="Times New Roman" w:hAnsi="Times New Roman" w:eastAsia="仿宋_GB2312" w:cs="Times New Roman"/>
          <w:sz w:val="32"/>
          <w:szCs w:val="32"/>
          <w:lang w:val="en-US" w:eastAsia="zh-CN"/>
        </w:rPr>
        <w:t>。</w:t>
      </w:r>
    </w:p>
    <w:sectPr>
      <w:footerReference r:id="rId3" w:type="default"/>
      <w:pgSz w:w="11906" w:h="16838"/>
      <w:pgMar w:top="2098" w:right="1587" w:bottom="2098" w:left="158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8"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GWZT-EN"/>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等线">
    <w:altName w:val="华文中宋"/>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Nimbus Roman">
    <w:panose1 w:val="00000500000000000000"/>
    <w:charset w:val="00"/>
    <w:family w:val="auto"/>
    <w:pitch w:val="default"/>
    <w:sig w:usb0="00000287" w:usb1="00000800" w:usb2="00000000" w:usb3="00000000" w:csb0="6000009F"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059">
    <w:panose1 w:val="00000500000000000000"/>
    <w:charset w:val="00"/>
    <w:family w:val="auto"/>
    <w:pitch w:val="default"/>
    <w:sig w:usb0="00000287" w:usb1="00000800" w:usb2="00000000" w:usb3="00000000" w:csb0="6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6D6894"/>
    <w:multiLevelType w:val="multilevel"/>
    <w:tmpl w:val="616D6894"/>
    <w:lvl w:ilvl="0" w:tentative="0">
      <w:start w:val="1"/>
      <w:numFmt w:val="japaneseCounting"/>
      <w:lvlText w:val="%1、"/>
      <w:lvlJc w:val="left"/>
      <w:pPr>
        <w:ind w:left="1350" w:hanging="720"/>
      </w:pPr>
      <w:rPr>
        <w:rFonts w:hint="eastAsia"/>
        <w:sz w:val="32"/>
        <w:szCs w:val="32"/>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c1Y2Y4ZWVmNDMwZmY3ZjdmN2U0M2NiODIzMzhhMzAifQ=="/>
  </w:docVars>
  <w:rsids>
    <w:rsidRoot w:val="000A57E0"/>
    <w:rsid w:val="00044C2E"/>
    <w:rsid w:val="000A57E0"/>
    <w:rsid w:val="000B4FC0"/>
    <w:rsid w:val="00104148"/>
    <w:rsid w:val="001C3A90"/>
    <w:rsid w:val="002B079D"/>
    <w:rsid w:val="00304D75"/>
    <w:rsid w:val="003057D6"/>
    <w:rsid w:val="003400CB"/>
    <w:rsid w:val="003C2324"/>
    <w:rsid w:val="003F66D4"/>
    <w:rsid w:val="00436B24"/>
    <w:rsid w:val="00485D05"/>
    <w:rsid w:val="00557288"/>
    <w:rsid w:val="00571227"/>
    <w:rsid w:val="00597486"/>
    <w:rsid w:val="005A70BA"/>
    <w:rsid w:val="005B4144"/>
    <w:rsid w:val="005F4D4B"/>
    <w:rsid w:val="00605939"/>
    <w:rsid w:val="006073EF"/>
    <w:rsid w:val="006B7DEC"/>
    <w:rsid w:val="006F62B5"/>
    <w:rsid w:val="00747A52"/>
    <w:rsid w:val="007C3EE2"/>
    <w:rsid w:val="00882DA8"/>
    <w:rsid w:val="00885451"/>
    <w:rsid w:val="009073A5"/>
    <w:rsid w:val="009344B6"/>
    <w:rsid w:val="009911BA"/>
    <w:rsid w:val="009A111F"/>
    <w:rsid w:val="00A436DA"/>
    <w:rsid w:val="00A83AE7"/>
    <w:rsid w:val="00AF6223"/>
    <w:rsid w:val="00B67C03"/>
    <w:rsid w:val="00BC6A02"/>
    <w:rsid w:val="00BF15A2"/>
    <w:rsid w:val="00BF3F75"/>
    <w:rsid w:val="00CA2552"/>
    <w:rsid w:val="00CC627F"/>
    <w:rsid w:val="00CE2547"/>
    <w:rsid w:val="00D868E5"/>
    <w:rsid w:val="00D904FB"/>
    <w:rsid w:val="00E26749"/>
    <w:rsid w:val="00E441EB"/>
    <w:rsid w:val="00E61F9A"/>
    <w:rsid w:val="00E659AC"/>
    <w:rsid w:val="00F03505"/>
    <w:rsid w:val="00FA561B"/>
    <w:rsid w:val="00FC2528"/>
    <w:rsid w:val="00FF7521"/>
    <w:rsid w:val="01311D17"/>
    <w:rsid w:val="01A8473E"/>
    <w:rsid w:val="03824AAC"/>
    <w:rsid w:val="05761F50"/>
    <w:rsid w:val="06DA3EF0"/>
    <w:rsid w:val="0A1307D7"/>
    <w:rsid w:val="0A480097"/>
    <w:rsid w:val="0FBB1E6E"/>
    <w:rsid w:val="11114515"/>
    <w:rsid w:val="1182036D"/>
    <w:rsid w:val="11C71F12"/>
    <w:rsid w:val="11D3426A"/>
    <w:rsid w:val="16575D9C"/>
    <w:rsid w:val="17272996"/>
    <w:rsid w:val="1BBD5B28"/>
    <w:rsid w:val="1BC32AA9"/>
    <w:rsid w:val="1C7F79C9"/>
    <w:rsid w:val="1CFF70D1"/>
    <w:rsid w:val="1FEEA1F9"/>
    <w:rsid w:val="1FEF3AB2"/>
    <w:rsid w:val="21192AAA"/>
    <w:rsid w:val="217C0ED7"/>
    <w:rsid w:val="234D351C"/>
    <w:rsid w:val="277B360C"/>
    <w:rsid w:val="27AA1FE9"/>
    <w:rsid w:val="28925D46"/>
    <w:rsid w:val="28FF44AC"/>
    <w:rsid w:val="2B0319AF"/>
    <w:rsid w:val="2BEF7A55"/>
    <w:rsid w:val="2FDB8853"/>
    <w:rsid w:val="2FE39C71"/>
    <w:rsid w:val="3232438D"/>
    <w:rsid w:val="35144DB9"/>
    <w:rsid w:val="37740704"/>
    <w:rsid w:val="37D452D1"/>
    <w:rsid w:val="39457F60"/>
    <w:rsid w:val="39470B2A"/>
    <w:rsid w:val="39783F40"/>
    <w:rsid w:val="39DC6C22"/>
    <w:rsid w:val="3A324001"/>
    <w:rsid w:val="3ADFDA6A"/>
    <w:rsid w:val="3C156351"/>
    <w:rsid w:val="3CDF1EEC"/>
    <w:rsid w:val="3CEF5B74"/>
    <w:rsid w:val="3D3D4EC9"/>
    <w:rsid w:val="3DA3BB69"/>
    <w:rsid w:val="3E90085F"/>
    <w:rsid w:val="3FDB8F39"/>
    <w:rsid w:val="3FE45593"/>
    <w:rsid w:val="40D573E7"/>
    <w:rsid w:val="4136427F"/>
    <w:rsid w:val="44003D81"/>
    <w:rsid w:val="47837708"/>
    <w:rsid w:val="4B1F0EF2"/>
    <w:rsid w:val="4BDFCA88"/>
    <w:rsid w:val="4E0538DC"/>
    <w:rsid w:val="5087164D"/>
    <w:rsid w:val="50D63AF7"/>
    <w:rsid w:val="524A3FB4"/>
    <w:rsid w:val="537E38FB"/>
    <w:rsid w:val="54534E5F"/>
    <w:rsid w:val="5663FDC4"/>
    <w:rsid w:val="57B9097D"/>
    <w:rsid w:val="58BF0736"/>
    <w:rsid w:val="5D347AD0"/>
    <w:rsid w:val="5DBE5856"/>
    <w:rsid w:val="5DCD9999"/>
    <w:rsid w:val="5F2E11C1"/>
    <w:rsid w:val="5FF701CC"/>
    <w:rsid w:val="5FFF38CA"/>
    <w:rsid w:val="601D24C2"/>
    <w:rsid w:val="63B975BD"/>
    <w:rsid w:val="67FF3FF0"/>
    <w:rsid w:val="69BEF020"/>
    <w:rsid w:val="69F60AE9"/>
    <w:rsid w:val="6B77C008"/>
    <w:rsid w:val="6BFEE0F0"/>
    <w:rsid w:val="6C2B319D"/>
    <w:rsid w:val="6CBFEDE3"/>
    <w:rsid w:val="6CFCEA0F"/>
    <w:rsid w:val="6F7B9B6B"/>
    <w:rsid w:val="6FCFF403"/>
    <w:rsid w:val="6FDF2C46"/>
    <w:rsid w:val="6FFC191E"/>
    <w:rsid w:val="71FF22F7"/>
    <w:rsid w:val="72BFC6BF"/>
    <w:rsid w:val="72DE698F"/>
    <w:rsid w:val="735F75D1"/>
    <w:rsid w:val="757AFDA2"/>
    <w:rsid w:val="76790A7B"/>
    <w:rsid w:val="767F607C"/>
    <w:rsid w:val="769493BF"/>
    <w:rsid w:val="76ADE600"/>
    <w:rsid w:val="77A60D1A"/>
    <w:rsid w:val="7902148D"/>
    <w:rsid w:val="7925600D"/>
    <w:rsid w:val="79B7D700"/>
    <w:rsid w:val="7A3E7DCF"/>
    <w:rsid w:val="7A965476"/>
    <w:rsid w:val="7BFDFEBB"/>
    <w:rsid w:val="7BFE6220"/>
    <w:rsid w:val="7BFECA70"/>
    <w:rsid w:val="7BFFE282"/>
    <w:rsid w:val="7CEB0AC5"/>
    <w:rsid w:val="7D5D0E2B"/>
    <w:rsid w:val="7D65D63E"/>
    <w:rsid w:val="7E33A012"/>
    <w:rsid w:val="7E5D4D48"/>
    <w:rsid w:val="7EDB5E87"/>
    <w:rsid w:val="7EEF5A65"/>
    <w:rsid w:val="7F3F227A"/>
    <w:rsid w:val="7FD964A1"/>
    <w:rsid w:val="7FDDA412"/>
    <w:rsid w:val="7FDDECBD"/>
    <w:rsid w:val="7FEF5E64"/>
    <w:rsid w:val="7FFBD79D"/>
    <w:rsid w:val="9A5FCFF7"/>
    <w:rsid w:val="AEF242B6"/>
    <w:rsid w:val="B3FD8E97"/>
    <w:rsid w:val="B43F2C4F"/>
    <w:rsid w:val="B5FF2B61"/>
    <w:rsid w:val="BB77F5AF"/>
    <w:rsid w:val="BBFF542D"/>
    <w:rsid w:val="BCB200FF"/>
    <w:rsid w:val="BF7F7491"/>
    <w:rsid w:val="BFDD2FB3"/>
    <w:rsid w:val="BFEFF2E6"/>
    <w:rsid w:val="BFF6A651"/>
    <w:rsid w:val="CFBA4FA0"/>
    <w:rsid w:val="D5FEB252"/>
    <w:rsid w:val="D74D3761"/>
    <w:rsid w:val="DD5BF2C9"/>
    <w:rsid w:val="DDF7E498"/>
    <w:rsid w:val="DDFE3B85"/>
    <w:rsid w:val="DEFF153A"/>
    <w:rsid w:val="DF9AE382"/>
    <w:rsid w:val="DFD76C04"/>
    <w:rsid w:val="DFDB8958"/>
    <w:rsid w:val="DFFB1D92"/>
    <w:rsid w:val="E3BE5657"/>
    <w:rsid w:val="E7FEFCA6"/>
    <w:rsid w:val="E9A94260"/>
    <w:rsid w:val="ED4CEE34"/>
    <w:rsid w:val="EF0F7CEB"/>
    <w:rsid w:val="F377CD8D"/>
    <w:rsid w:val="F378D4B5"/>
    <w:rsid w:val="F3FE534D"/>
    <w:rsid w:val="F4F74566"/>
    <w:rsid w:val="F4FEC093"/>
    <w:rsid w:val="F564839F"/>
    <w:rsid w:val="F76DB244"/>
    <w:rsid w:val="F7FD79F2"/>
    <w:rsid w:val="F7FEB75E"/>
    <w:rsid w:val="FBFF8FB6"/>
    <w:rsid w:val="FCFE0BC6"/>
    <w:rsid w:val="FDFEE767"/>
    <w:rsid w:val="FDFFC11E"/>
    <w:rsid w:val="FEEF9279"/>
    <w:rsid w:val="FF3DF7C1"/>
    <w:rsid w:val="FF7E0E19"/>
    <w:rsid w:val="FFA71897"/>
    <w:rsid w:val="FFD3E1F1"/>
    <w:rsid w:val="FFDD5F59"/>
    <w:rsid w:val="FFF94EDA"/>
    <w:rsid w:val="FFFE58BA"/>
    <w:rsid w:val="FFFF37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6">
    <w:name w:val="Char Char Char Char1 Char Char Char"/>
    <w:basedOn w:val="1"/>
    <w:qFormat/>
    <w:uiPriority w:val="0"/>
    <w:rPr>
      <w:rFonts w:ascii="Times New Roman" w:hAnsi="Times New Roman" w:eastAsia="宋体" w:cs="Times New Roman"/>
      <w:szCs w:val="24"/>
    </w:rPr>
  </w:style>
  <w:style w:type="paragraph" w:styleId="7">
    <w:name w:val="List Paragraph"/>
    <w:basedOn w:val="1"/>
    <w:qFormat/>
    <w:uiPriority w:val="34"/>
    <w:pPr>
      <w:ind w:firstLine="420" w:firstLineChars="200"/>
    </w:pPr>
  </w:style>
  <w:style w:type="paragraph" w:customStyle="1" w:styleId="8">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9">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0">
    <w:name w:val="修订3"/>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1">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417</Words>
  <Characters>2383</Characters>
  <Lines>19</Lines>
  <Paragraphs>5</Paragraphs>
  <TotalTime>0</TotalTime>
  <ScaleCrop>false</ScaleCrop>
  <LinksUpToDate>false</LinksUpToDate>
  <CharactersWithSpaces>2795</CharactersWithSpaces>
  <Application>WPS Office_11.8.2.12024_F1E327BC-269C-435d-A152-05C5408002CA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2022-11-21T09:22:00Z</dcterms:created>
  <dc:creator>He Bingjie</dc:creator>
  <cp:lastModifiedBy>陈雪莹</cp:lastModifiedBy>
  <cp:lastPrinted>2024-03-26T22:18:00Z</cp:lastPrinted>
  <dcterms:modified xsi:type="dcterms:W3CDTF">2024-04-12T08:44:40Z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2052-11.8.2.12024</vt:lpwstr>
  </property>
  <property fmtid="{D5CDD505-2E9C-101B-9397-08002B2CF9AE}" pid="3" name="ribbonExt">
    <vt:lpwstr>{"WPSExtOfficeTab":{"OnGetEnabled":false,"OnGetVisible":false}}</vt:lpwstr>
  </property>
  <property fmtid="{D5CDD505-2E9C-101B-9397-08002B2CF9AE}" pid="4" name="ICV">
    <vt:lpwstr>59C65B4FBF2A92D32B4517665D48BC75</vt:lpwstr>
  </property>
  <property fmtid="{D5CDD505-2E9C-101B-9397-08002B2CF9AE}" pid="5" name="showFlag">
    <vt:bool>true</vt:bool>
  </property>
  <property fmtid="{D5CDD505-2E9C-101B-9397-08002B2CF9AE}" pid="6" name="userName">
    <vt:lpwstr>陈小玲</vt:lpwstr>
  </property>
</Properties>
</file>