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pStyle w:val="6"/>
        <w:keepNext/>
        <w:keepLines/>
        <w:spacing w:after="0" w:line="360" w:lineRule="auto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基层门诊统筹综合改革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基本</w:t>
      </w:r>
      <w:r>
        <w:rPr>
          <w:rFonts w:ascii="Times New Roman" w:hAnsi="Times New Roman" w:eastAsia="方正小标宋_GBK"/>
          <w:sz w:val="44"/>
          <w:szCs w:val="44"/>
          <w:lang w:val="en-US"/>
        </w:rPr>
        <w:t>评估指标体系</w:t>
      </w:r>
      <w:bookmarkEnd w:id="0"/>
    </w:p>
    <w:tbl>
      <w:tblPr>
        <w:tblStyle w:val="4"/>
        <w:tblW w:w="501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474"/>
        <w:gridCol w:w="1103"/>
        <w:gridCol w:w="3467"/>
        <w:gridCol w:w="61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/>
              </w:rPr>
              <w:t>序号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 w:eastAsia="zh-CN"/>
              </w:rPr>
              <w:t>评估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</w:rPr>
              <w:t>指标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</w:rPr>
              <w:t>分值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/>
              </w:rPr>
              <w:t>计算公式</w:t>
            </w:r>
          </w:p>
        </w:tc>
        <w:tc>
          <w:tcPr>
            <w:tcW w:w="2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/>
              </w:rPr>
              <w:t>评估标准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/>
              </w:rPr>
              <w:t>签约参保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  <w:t>普通门诊个人负担比例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15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签约参保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普通门诊个人负担金额（含个人账户支出）/签约参保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普通门诊总医疗费用</w:t>
            </w:r>
          </w:p>
        </w:tc>
        <w:tc>
          <w:tcPr>
            <w:tcW w:w="21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以县域内签约参保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平均个人负担比例为基准值，基准分7分。每低于基准值0.5个百分点，在基准分上加1分（不足0.5个百分点的不计算加分），累计最高不超过15分。每高于基准值0.5个百分点，在基准份上扣1分（不足0.5个百分点的不计算扣分），扣完为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  <w:t>签约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/>
              </w:rPr>
              <w:t>参保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  <w:t>在签约医院门诊就诊率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20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签约参保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年门诊就诊人次/签约参保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人数</w:t>
            </w:r>
          </w:p>
        </w:tc>
        <w:tc>
          <w:tcPr>
            <w:tcW w:w="2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以县域内签约参保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平均门诊就诊率为基准值，基准分10分。每高于基准值0.5个百分点，在基准分上加1分（不足0.5个百分点的不计算加分），累计最高不超过20分。每低于基准值0.5个百分点，在基准份上扣1分（不足0.5个百分点的不计算扣分），扣完为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3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有效签约率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20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已完成“健康档案”和“一人一档”全民参保数据库建档的签约参保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人数/签约参保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人数</w:t>
            </w:r>
          </w:p>
        </w:tc>
        <w:tc>
          <w:tcPr>
            <w:tcW w:w="2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以县域内签约参保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平均有效签约率为基准值，基准分10分。每高于基准值0.1个百分点，在基准分上加1分，累计最高不超过20分。每低于基准值0.1个百分点，在基准份上扣1分，扣完为止。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4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特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定清单药品配备率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20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配备特定清单药品品种数量/规定的特定清单药品品种数量</w:t>
            </w:r>
          </w:p>
        </w:tc>
        <w:tc>
          <w:tcPr>
            <w:tcW w:w="2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shd w:val="clear" w:color="auto" w:fill="FFFFFF"/>
                <w:lang w:val="en-US"/>
              </w:rPr>
              <w:t>全部配齐得20分，每少1个品种扣1分，扣完为止。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5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村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卫生室一体化管理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10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乡镇卫生院对村卫生室实行统一药品配送、统一结算、统一监管、统一资金分配、统一协议签订</w:t>
            </w:r>
          </w:p>
        </w:tc>
        <w:tc>
          <w:tcPr>
            <w:tcW w:w="2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实行统一药品配送、统一监管、统一结算、统一资金分配、统一协议签订各得2分，未实行的，每项扣2分。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6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实地评估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15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1.政策知晓率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2.医疗服务满意度</w:t>
            </w:r>
          </w:p>
        </w:tc>
        <w:tc>
          <w:tcPr>
            <w:tcW w:w="2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随访20名签约参保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，评估他们对门诊综合改革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等医保政策及家庭签约服务政策的知晓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情况，知晓率达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0%以上的得7.5分，每低1个百分点扣0.5分，最多扣7.5分。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随机抽取参保签约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门诊患者20名,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shd w:val="clear" w:color="auto" w:fill="FFFFFF"/>
                <w:lang w:val="en-US"/>
              </w:rPr>
              <w:t>开展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对医疗卫生机构门诊医疗服务满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shd w:val="clear" w:color="auto" w:fill="FFFFFF"/>
                <w:lang w:val="en-US"/>
              </w:rPr>
              <w:t>意度调查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shd w:val="clear" w:color="auto" w:fill="FFFFFF"/>
              </w:rPr>
              <w:t>，满意度达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shd w:val="clear" w:color="auto" w:fill="FFFFFF"/>
              </w:rPr>
              <w:t>0%以上的得7.5分，每低1个百分点扣0.5分，最多扣7.5分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7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加分项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凡获得国家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市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县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级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表彰或示范点、典型案例被上级肯定均可视情况加分</w:t>
            </w:r>
          </w:p>
        </w:tc>
        <w:tc>
          <w:tcPr>
            <w:tcW w:w="2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获国家级表彰获示范点加5分、省级加3分、市级2分、县级1分，其他事项经查实每项加1分。最多加10分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8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扣分项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凡骗保被查处、推诿或拒收门诊就诊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，造成严重不良影响被处理的，均可视情况扣分</w:t>
            </w:r>
          </w:p>
        </w:tc>
        <w:tc>
          <w:tcPr>
            <w:tcW w:w="2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经查实每例扣1分，最多扣10分。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9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否决项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定点医疗卫生机构协议实际履行情况</w:t>
            </w:r>
          </w:p>
        </w:tc>
        <w:tc>
          <w:tcPr>
            <w:tcW w:w="2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" w:leftChars="10" w:right="21" w:rightChars="10" w:firstLine="0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/>
              </w:rPr>
              <w:t>协议考核等级不合格者，门诊综合改革结果直接不合格。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OTJjNTUwMDliZTA3NTEzMjU4OTBiMmMzYzhlZDIifQ=="/>
  </w:docVars>
  <w:rsids>
    <w:rsidRoot w:val="4B8C6160"/>
    <w:rsid w:val="4B8C6160"/>
    <w:rsid w:val="512A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Heading #1|1"/>
    <w:basedOn w:val="1"/>
    <w:qFormat/>
    <w:uiPriority w:val="0"/>
    <w:pPr>
      <w:spacing w:after="360"/>
      <w:jc w:val="center"/>
      <w:outlineLvl w:val="0"/>
    </w:pPr>
    <w:rPr>
      <w:rFonts w:ascii="宋体" w:hAnsi="宋体"/>
      <w:sz w:val="42"/>
      <w:szCs w:val="42"/>
      <w:lang w:val="zh-CN" w:bidi="zh-CN"/>
    </w:rPr>
  </w:style>
  <w:style w:type="paragraph" w:customStyle="1" w:styleId="7">
    <w:name w:val="Other|1"/>
    <w:basedOn w:val="1"/>
    <w:qFormat/>
    <w:uiPriority w:val="0"/>
    <w:pPr>
      <w:spacing w:line="442" w:lineRule="auto"/>
      <w:ind w:firstLine="400"/>
    </w:pPr>
    <w:rPr>
      <w:rFonts w:ascii="宋体" w:hAnsi="宋体"/>
      <w:sz w:val="20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1059</Characters>
  <Lines>0</Lines>
  <Paragraphs>0</Paragraphs>
  <TotalTime>0</TotalTime>
  <ScaleCrop>false</ScaleCrop>
  <LinksUpToDate>false</LinksUpToDate>
  <CharactersWithSpaces>1061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2025-07-16T08:33:00Z</dcterms:created>
  <dc:creator>LZY.</dc:creator>
  <cp:lastModifiedBy>LZY.</cp:lastModifiedBy>
  <dcterms:modified xsi:type="dcterms:W3CDTF">2025-07-16T09:28:13Z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587B777DEEF94C35BC351DDB6033C541_13</vt:lpwstr>
  </property>
</Properties>
</file>