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0"/>
          <w:szCs w:val="40"/>
          <w:highlight w:val="none"/>
        </w:rPr>
      </w:pPr>
      <w:r>
        <w:rPr>
          <w:rFonts w:hint="eastAsia" w:ascii="方正小标宋简体" w:hAnsi="方正小标宋简体" w:eastAsia="方正小标宋简体" w:cs="方正小标宋简体"/>
          <w:sz w:val="40"/>
          <w:szCs w:val="40"/>
          <w:highlight w:val="none"/>
        </w:rPr>
        <w:t>药品经营监督检查缺陷整改指南</w:t>
      </w:r>
    </w:p>
    <w:p>
      <w:pPr>
        <w:spacing w:line="560" w:lineRule="exact"/>
        <w:jc w:val="center"/>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w:t>
      </w:r>
      <w:r>
        <w:rPr>
          <w:rFonts w:hint="eastAsia" w:ascii="楷体" w:hAnsi="楷体" w:eastAsia="楷体" w:cs="楷体"/>
          <w:b/>
          <w:bCs/>
          <w:color w:val="auto"/>
          <w:sz w:val="32"/>
          <w:szCs w:val="32"/>
          <w:highlight w:val="none"/>
          <w:lang w:val="en-US" w:eastAsia="zh-CN"/>
        </w:rPr>
        <w:t>征求意见稿</w:t>
      </w:r>
      <w:r>
        <w:rPr>
          <w:rFonts w:hint="eastAsia" w:ascii="楷体" w:hAnsi="楷体" w:eastAsia="楷体" w:cs="楷体"/>
          <w:b/>
          <w:bCs/>
          <w:color w:val="auto"/>
          <w:sz w:val="32"/>
          <w:szCs w:val="32"/>
          <w:highlight w:val="none"/>
        </w:rPr>
        <w:t>）</w:t>
      </w:r>
    </w:p>
    <w:p>
      <w:pPr>
        <w:spacing w:line="560" w:lineRule="exact"/>
        <w:jc w:val="center"/>
        <w:rPr>
          <w:rFonts w:ascii="楷体" w:hAnsi="楷体" w:eastAsia="楷体" w:cs="楷体"/>
          <w:b/>
          <w:bCs/>
          <w:sz w:val="32"/>
          <w:szCs w:val="32"/>
          <w:highlight w:val="none"/>
        </w:rPr>
      </w:pPr>
    </w:p>
    <w:p>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一、适用范围</w:t>
      </w:r>
    </w:p>
    <w:p>
      <w:pPr>
        <w:spacing w:line="560" w:lineRule="exact"/>
        <w:ind w:firstLine="640" w:firstLineChars="200"/>
        <w:rPr>
          <w:rFonts w:eastAsia="仿宋_GB2312"/>
          <w:color w:val="000000"/>
          <w:sz w:val="32"/>
          <w:szCs w:val="32"/>
          <w:highlight w:val="none"/>
        </w:rPr>
      </w:pPr>
      <w:r>
        <w:rPr>
          <w:rFonts w:hint="eastAsia" w:ascii="仿宋_GB2312" w:hAnsi="仿宋_GB2312" w:eastAsia="仿宋_GB2312" w:cs="仿宋_GB2312"/>
          <w:sz w:val="32"/>
          <w:szCs w:val="32"/>
          <w:highlight w:val="none"/>
        </w:rPr>
        <w:t>辽宁省内药品批发企业、</w:t>
      </w:r>
      <w:r>
        <w:rPr>
          <w:rFonts w:hint="eastAsia" w:ascii="仿宋_GB2312" w:hAnsi="仿宋_GB2312" w:eastAsia="仿宋_GB2312" w:cs="仿宋_GB2312"/>
          <w:sz w:val="32"/>
          <w:szCs w:val="32"/>
          <w:highlight w:val="none"/>
          <w:lang w:val="en-US" w:eastAsia="zh-CN"/>
        </w:rPr>
        <w:t>零售</w:t>
      </w:r>
      <w:r>
        <w:rPr>
          <w:rFonts w:hint="eastAsia" w:ascii="仿宋_GB2312" w:hAnsi="仿宋_GB2312" w:eastAsia="仿宋_GB2312" w:cs="仿宋_GB2312"/>
          <w:sz w:val="32"/>
          <w:szCs w:val="32"/>
          <w:highlight w:val="none"/>
        </w:rPr>
        <w:t>连锁总部（以下简称“企业”），对</w:t>
      </w:r>
      <w:r>
        <w:rPr>
          <w:rFonts w:hint="eastAsia" w:eastAsia="仿宋_GB2312"/>
          <w:color w:val="000000"/>
          <w:sz w:val="32"/>
          <w:szCs w:val="32"/>
          <w:highlight w:val="none"/>
        </w:rPr>
        <w:t>辽宁省药品监督管理局</w:t>
      </w:r>
      <w:r>
        <w:rPr>
          <w:rFonts w:eastAsia="仿宋_GB2312"/>
          <w:color w:val="000000"/>
          <w:sz w:val="32"/>
          <w:szCs w:val="32"/>
          <w:highlight w:val="none"/>
        </w:rPr>
        <w:t>实施监督检查过程中发现的缺陷所进行的整改，适用本指南</w:t>
      </w:r>
      <w:r>
        <w:rPr>
          <w:rFonts w:hint="eastAsia" w:eastAsia="仿宋_GB2312"/>
          <w:color w:val="000000"/>
          <w:sz w:val="32"/>
          <w:szCs w:val="32"/>
          <w:highlight w:val="none"/>
        </w:rPr>
        <w:t>。</w:t>
      </w:r>
      <w:r>
        <w:rPr>
          <w:rFonts w:eastAsia="仿宋_GB2312"/>
          <w:color w:val="000000"/>
          <w:sz w:val="32"/>
          <w:szCs w:val="32"/>
          <w:highlight w:val="none"/>
        </w:rPr>
        <w:t>企业可根据缺陷</w:t>
      </w:r>
      <w:r>
        <w:rPr>
          <w:rFonts w:hint="eastAsia" w:eastAsia="仿宋_GB2312"/>
          <w:color w:val="000000"/>
          <w:sz w:val="32"/>
          <w:szCs w:val="32"/>
          <w:highlight w:val="none"/>
        </w:rPr>
        <w:t>类别</w:t>
      </w:r>
      <w:r>
        <w:rPr>
          <w:rFonts w:eastAsia="仿宋_GB2312"/>
          <w:color w:val="000000"/>
          <w:sz w:val="32"/>
          <w:szCs w:val="32"/>
          <w:highlight w:val="none"/>
        </w:rPr>
        <w:t>及整改的实际情况，基于本指南提出的通用性要求，在整改过程中予以细化和完善。</w:t>
      </w:r>
    </w:p>
    <w:p>
      <w:pPr>
        <w:spacing w:line="560" w:lineRule="exact"/>
        <w:ind w:firstLine="640" w:firstLineChars="200"/>
        <w:rPr>
          <w:rFonts w:eastAsia="黑体"/>
          <w:sz w:val="32"/>
          <w:szCs w:val="32"/>
          <w:highlight w:val="none"/>
        </w:rPr>
      </w:pPr>
      <w:r>
        <w:rPr>
          <w:rFonts w:eastAsia="黑体"/>
          <w:sz w:val="32"/>
          <w:szCs w:val="32"/>
          <w:highlight w:val="none"/>
        </w:rPr>
        <w:t>二、基本原则</w:t>
      </w:r>
    </w:p>
    <w:p>
      <w:pPr>
        <w:adjustRightInd w:val="0"/>
        <w:snapToGrid w:val="0"/>
        <w:spacing w:line="560" w:lineRule="exact"/>
        <w:ind w:firstLine="640" w:firstLineChars="200"/>
        <w:rPr>
          <w:rFonts w:eastAsia="仿宋_GB2312"/>
          <w:sz w:val="32"/>
          <w:szCs w:val="32"/>
          <w:highlight w:val="none"/>
        </w:rPr>
      </w:pPr>
      <w:r>
        <w:rPr>
          <w:rFonts w:eastAsia="仿宋_GB2312"/>
          <w:color w:val="000000"/>
          <w:sz w:val="32"/>
          <w:szCs w:val="32"/>
          <w:highlight w:val="none"/>
        </w:rPr>
        <w:t>企业在实施整改时，要体现针对性、系统性、科学性、及时性</w:t>
      </w:r>
      <w:r>
        <w:rPr>
          <w:rFonts w:hint="eastAsia" w:eastAsia="仿宋_GB2312"/>
          <w:color w:val="000000"/>
          <w:sz w:val="32"/>
          <w:szCs w:val="32"/>
          <w:highlight w:val="none"/>
        </w:rPr>
        <w:t>和</w:t>
      </w:r>
      <w:r>
        <w:rPr>
          <w:rFonts w:eastAsia="仿宋_GB2312"/>
          <w:color w:val="000000"/>
          <w:sz w:val="32"/>
          <w:szCs w:val="32"/>
          <w:highlight w:val="none"/>
        </w:rPr>
        <w:t>有效性原则，从监督检查发现的缺陷入手，</w:t>
      </w:r>
      <w:r>
        <w:rPr>
          <w:rFonts w:hint="eastAsia" w:eastAsia="仿宋_GB2312"/>
          <w:color w:val="000000"/>
          <w:sz w:val="32"/>
          <w:szCs w:val="32"/>
          <w:highlight w:val="none"/>
        </w:rPr>
        <w:t>运用</w:t>
      </w:r>
      <w:r>
        <w:rPr>
          <w:rFonts w:eastAsia="仿宋_GB2312"/>
          <w:color w:val="000000"/>
          <w:sz w:val="32"/>
          <w:szCs w:val="32"/>
          <w:highlight w:val="none"/>
        </w:rPr>
        <w:t>风险管理</w:t>
      </w:r>
      <w:r>
        <w:rPr>
          <w:rFonts w:hint="eastAsia" w:eastAsia="仿宋_GB2312"/>
          <w:color w:val="000000"/>
          <w:sz w:val="32"/>
          <w:szCs w:val="32"/>
          <w:highlight w:val="none"/>
        </w:rPr>
        <w:t>理念</w:t>
      </w:r>
      <w:r>
        <w:rPr>
          <w:rFonts w:eastAsia="仿宋_GB2312"/>
          <w:color w:val="000000"/>
          <w:sz w:val="32"/>
          <w:szCs w:val="32"/>
          <w:highlight w:val="none"/>
        </w:rPr>
        <w:t>，深入调查、全面分析缺陷产生的根本原因，科学评估对药品质量的潜在影响，采取与之相适应的</w:t>
      </w:r>
      <w:r>
        <w:rPr>
          <w:rFonts w:hint="eastAsia" w:eastAsia="仿宋_GB2312"/>
          <w:color w:val="000000"/>
          <w:sz w:val="32"/>
          <w:szCs w:val="32"/>
          <w:highlight w:val="none"/>
        </w:rPr>
        <w:t>整改</w:t>
      </w:r>
      <w:r>
        <w:rPr>
          <w:rFonts w:eastAsia="仿宋_GB2312"/>
          <w:color w:val="000000"/>
          <w:sz w:val="32"/>
          <w:szCs w:val="32"/>
          <w:highlight w:val="none"/>
        </w:rPr>
        <w:t>措施，制定有针对性的纠正预防措施，举一反三系统整改，并对纠正预防措施的实施结果和整改</w:t>
      </w:r>
      <w:r>
        <w:rPr>
          <w:rFonts w:eastAsia="仿宋_GB2312"/>
          <w:sz w:val="32"/>
          <w:szCs w:val="32"/>
          <w:highlight w:val="none"/>
        </w:rPr>
        <w:t>效果进行审核。确保药品</w:t>
      </w:r>
      <w:r>
        <w:rPr>
          <w:rFonts w:hint="eastAsia" w:eastAsia="仿宋_GB2312"/>
          <w:sz w:val="32"/>
          <w:szCs w:val="32"/>
          <w:highlight w:val="none"/>
        </w:rPr>
        <w:t>质量</w:t>
      </w:r>
      <w:r>
        <w:rPr>
          <w:rFonts w:eastAsia="仿宋_GB2312"/>
          <w:sz w:val="32"/>
          <w:szCs w:val="32"/>
          <w:highlight w:val="none"/>
        </w:rPr>
        <w:t>的安全性、有效性和可控性。</w:t>
      </w:r>
    </w:p>
    <w:p>
      <w:pPr>
        <w:adjustRightInd w:val="0"/>
        <w:snapToGrid w:val="0"/>
        <w:spacing w:line="560" w:lineRule="exact"/>
        <w:ind w:firstLine="640" w:firstLineChars="200"/>
        <w:rPr>
          <w:rFonts w:eastAsia="仿宋_GB2312"/>
          <w:color w:val="000000"/>
          <w:sz w:val="32"/>
          <w:szCs w:val="32"/>
          <w:highlight w:val="none"/>
        </w:rPr>
      </w:pPr>
      <w:r>
        <w:rPr>
          <w:rFonts w:eastAsia="仿宋_GB2312"/>
          <w:color w:val="000000"/>
          <w:sz w:val="32"/>
          <w:szCs w:val="32"/>
          <w:highlight w:val="none"/>
        </w:rPr>
        <w:t>企业在整改实施过程中，要注重不同缺陷之间的关联性，强化组织协调</w:t>
      </w:r>
      <w:r>
        <w:rPr>
          <w:rFonts w:hint="eastAsia" w:eastAsia="仿宋_GB2312"/>
          <w:color w:val="000000"/>
          <w:sz w:val="32"/>
          <w:szCs w:val="32"/>
          <w:highlight w:val="none"/>
          <w:lang w:val="en-US" w:eastAsia="zh-CN"/>
        </w:rPr>
        <w:t>涉及整改</w:t>
      </w:r>
      <w:r>
        <w:rPr>
          <w:rFonts w:eastAsia="仿宋_GB2312"/>
          <w:color w:val="000000"/>
          <w:sz w:val="32"/>
          <w:szCs w:val="32"/>
          <w:highlight w:val="none"/>
        </w:rPr>
        <w:t>各部门之间的沟通协作；要明确并</w:t>
      </w:r>
      <w:r>
        <w:rPr>
          <w:rFonts w:eastAsia="仿宋_GB2312"/>
          <w:sz w:val="32"/>
          <w:szCs w:val="32"/>
          <w:highlight w:val="none"/>
        </w:rPr>
        <w:t>落实</w:t>
      </w:r>
      <w:r>
        <w:rPr>
          <w:rFonts w:hint="eastAsia" w:ascii="仿宋_GB2312" w:hAnsi="仿宋_GB2312" w:eastAsia="仿宋_GB2312" w:cs="仿宋_GB2312"/>
          <w:sz w:val="32"/>
          <w:szCs w:val="32"/>
          <w:highlight w:val="none"/>
        </w:rPr>
        <w:t>原因分析、风险评估、</w:t>
      </w:r>
      <w:r>
        <w:rPr>
          <w:rFonts w:hint="eastAsia" w:ascii="仿宋_GB2312" w:hAnsi="仿宋_GB2312" w:eastAsia="仿宋_GB2312" w:cs="仿宋_GB2312"/>
          <w:sz w:val="32"/>
          <w:szCs w:val="32"/>
          <w:highlight w:val="none"/>
          <w:lang w:val="en-US" w:eastAsia="zh-CN"/>
        </w:rPr>
        <w:t>风险控制、</w:t>
      </w:r>
      <w:r>
        <w:rPr>
          <w:rFonts w:hint="eastAsia" w:ascii="仿宋_GB2312" w:hAnsi="仿宋_GB2312" w:eastAsia="仿宋_GB2312" w:cs="仿宋_GB2312"/>
          <w:sz w:val="32"/>
          <w:szCs w:val="32"/>
          <w:highlight w:val="none"/>
        </w:rPr>
        <w:t>拟采取的整改措施、责任部门及完成时间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质量部门</w:t>
      </w:r>
      <w:r>
        <w:rPr>
          <w:rFonts w:hint="eastAsia" w:ascii="仿宋_GB2312" w:hAnsi="仿宋_GB2312" w:eastAsia="仿宋_GB2312" w:cs="仿宋_GB2312"/>
          <w:sz w:val="32"/>
          <w:szCs w:val="32"/>
          <w:highlight w:val="none"/>
          <w:lang w:val="en-US" w:eastAsia="zh-CN"/>
        </w:rPr>
        <w:t>要组织相关部门</w:t>
      </w:r>
      <w:r>
        <w:rPr>
          <w:rFonts w:hint="eastAsia" w:ascii="仿宋_GB2312" w:hAnsi="仿宋_GB2312" w:eastAsia="仿宋_GB2312" w:cs="仿宋_GB2312"/>
          <w:sz w:val="32"/>
          <w:szCs w:val="32"/>
          <w:highlight w:val="none"/>
        </w:rPr>
        <w:t>撰写整改报告，并对整改报告进行审核。</w:t>
      </w:r>
      <w:r>
        <w:rPr>
          <w:rFonts w:eastAsia="仿宋_GB2312"/>
          <w:color w:val="000000"/>
          <w:sz w:val="32"/>
          <w:szCs w:val="32"/>
          <w:highlight w:val="none"/>
        </w:rPr>
        <w:t>整改的全过程要做到见人、见事、见责任、见措施、见成效，杜绝整改走过场、形式化、就事论事。</w:t>
      </w:r>
    </w:p>
    <w:p>
      <w:pPr>
        <w:adjustRightInd w:val="0"/>
        <w:snapToGrid w:val="0"/>
        <w:spacing w:line="560" w:lineRule="exact"/>
        <w:ind w:firstLine="640" w:firstLineChars="200"/>
        <w:rPr>
          <w:rFonts w:eastAsia="黑体"/>
          <w:sz w:val="32"/>
          <w:szCs w:val="32"/>
          <w:highlight w:val="none"/>
        </w:rPr>
      </w:pPr>
      <w:r>
        <w:rPr>
          <w:rFonts w:eastAsia="黑体"/>
          <w:sz w:val="32"/>
          <w:szCs w:val="32"/>
          <w:highlight w:val="none"/>
        </w:rPr>
        <w:t>三、缺陷整改</w:t>
      </w:r>
    </w:p>
    <w:p>
      <w:pPr>
        <w:adjustRightInd w:val="0"/>
        <w:snapToGrid w:val="0"/>
        <w:spacing w:line="560" w:lineRule="exact"/>
        <w:ind w:firstLine="643" w:firstLineChars="200"/>
        <w:rPr>
          <w:rFonts w:eastAsia="楷体_GB2312"/>
          <w:b/>
          <w:sz w:val="32"/>
          <w:szCs w:val="32"/>
          <w:highlight w:val="none"/>
        </w:rPr>
      </w:pPr>
      <w:r>
        <w:rPr>
          <w:rFonts w:eastAsia="楷体_GB2312"/>
          <w:b/>
          <w:sz w:val="32"/>
          <w:szCs w:val="32"/>
          <w:highlight w:val="none"/>
        </w:rPr>
        <w:t>（一）整改责任</w:t>
      </w:r>
    </w:p>
    <w:p>
      <w:pPr>
        <w:adjustRightInd w:val="0"/>
        <w:snapToGrid w:val="0"/>
        <w:spacing w:line="560" w:lineRule="exact"/>
        <w:ind w:firstLine="643" w:firstLineChars="200"/>
        <w:rPr>
          <w:rFonts w:hint="default" w:eastAsia="楷体_GB2312"/>
          <w:b/>
          <w:sz w:val="32"/>
          <w:szCs w:val="32"/>
          <w:highlight w:val="none"/>
          <w:lang w:val="en-US" w:eastAsia="zh-CN"/>
        </w:rPr>
      </w:pPr>
      <w:r>
        <w:rPr>
          <w:rFonts w:hint="eastAsia" w:eastAsia="楷体_GB2312"/>
          <w:b/>
          <w:sz w:val="32"/>
          <w:szCs w:val="32"/>
          <w:highlight w:val="none"/>
        </w:rPr>
        <w:t>1.企业</w:t>
      </w:r>
      <w:r>
        <w:rPr>
          <w:rFonts w:eastAsia="楷体_GB2312"/>
          <w:b/>
          <w:sz w:val="32"/>
          <w:szCs w:val="32"/>
          <w:highlight w:val="none"/>
        </w:rPr>
        <w:t>负责人</w:t>
      </w:r>
      <w:r>
        <w:rPr>
          <w:rFonts w:hint="eastAsia" w:eastAsia="楷体_GB2312"/>
          <w:b/>
          <w:sz w:val="32"/>
          <w:szCs w:val="32"/>
          <w:highlight w:val="none"/>
          <w:lang w:val="en-US" w:eastAsia="zh-CN"/>
        </w:rPr>
        <w:t xml:space="preserve">  </w:t>
      </w:r>
    </w:p>
    <w:p>
      <w:pPr>
        <w:adjustRightInd w:val="0"/>
        <w:snapToGrid w:val="0"/>
        <w:spacing w:line="560" w:lineRule="exact"/>
        <w:ind w:firstLine="420" w:firstLineChars="200"/>
        <w:rPr>
          <w:rFonts w:eastAsia="仿宋_GB2312"/>
          <w:sz w:val="32"/>
          <w:szCs w:val="32"/>
          <w:highlight w:val="none"/>
        </w:rPr>
      </w:pPr>
      <w:r>
        <w:rPr>
          <w:rFonts w:hint="eastAsia"/>
          <w:lang w:val="en-US" w:eastAsia="zh-CN"/>
        </w:rPr>
        <w:t xml:space="preserve">  </w:t>
      </w:r>
      <w:r>
        <w:rPr>
          <w:rFonts w:hint="eastAsia" w:eastAsia="仿宋_GB2312"/>
          <w:sz w:val="32"/>
          <w:szCs w:val="32"/>
          <w:highlight w:val="none"/>
        </w:rPr>
        <w:t>企业负责人</w:t>
      </w:r>
      <w:r>
        <w:rPr>
          <w:rFonts w:hint="eastAsia" w:ascii="仿宋_GB2312" w:hAnsi="宋体" w:eastAsia="仿宋_GB2312" w:cs="宋体"/>
          <w:color w:val="000000"/>
          <w:sz w:val="32"/>
          <w:szCs w:val="32"/>
          <w:highlight w:val="none"/>
        </w:rPr>
        <w:t>是药品质量</w:t>
      </w:r>
      <w:r>
        <w:rPr>
          <w:rFonts w:hint="eastAsia" w:ascii="仿宋_GB2312" w:hAnsi="宋体" w:eastAsia="仿宋_GB2312" w:cs="宋体"/>
          <w:color w:val="000000"/>
          <w:sz w:val="32"/>
          <w:szCs w:val="32"/>
          <w:highlight w:val="none"/>
          <w:lang w:val="en-US" w:eastAsia="zh-CN"/>
        </w:rPr>
        <w:t>主要</w:t>
      </w:r>
      <w:r>
        <w:rPr>
          <w:rFonts w:hint="eastAsia" w:ascii="仿宋_GB2312" w:hAnsi="宋体" w:eastAsia="仿宋_GB2312" w:cs="宋体"/>
          <w:color w:val="000000"/>
          <w:sz w:val="32"/>
          <w:szCs w:val="32"/>
          <w:highlight w:val="none"/>
        </w:rPr>
        <w:t>责任人</w:t>
      </w:r>
      <w:r>
        <w:rPr>
          <w:rFonts w:hint="eastAsia" w:ascii="仿宋_GB2312" w:hAnsi="宋体" w:eastAsia="仿宋_GB2312" w:cs="宋体"/>
          <w:color w:val="000000"/>
          <w:sz w:val="32"/>
          <w:szCs w:val="32"/>
          <w:highlight w:val="none"/>
          <w:lang w:eastAsia="zh-CN"/>
        </w:rPr>
        <w:t>，</w:t>
      </w:r>
      <w:r>
        <w:rPr>
          <w:rFonts w:eastAsia="仿宋_GB2312"/>
          <w:sz w:val="32"/>
          <w:szCs w:val="32"/>
          <w:highlight w:val="none"/>
        </w:rPr>
        <w:t>作为企业</w:t>
      </w:r>
      <w:r>
        <w:rPr>
          <w:rFonts w:hint="eastAsia" w:ascii="仿宋_GB2312" w:hAnsi="宋体" w:eastAsia="仿宋_GB2312" w:cs="宋体"/>
          <w:color w:val="000000"/>
          <w:sz w:val="32"/>
          <w:szCs w:val="32"/>
          <w:highlight w:val="none"/>
        </w:rPr>
        <w:t>日常工作最</w:t>
      </w:r>
      <w:r>
        <w:rPr>
          <w:rFonts w:hint="eastAsia" w:eastAsia="仿宋_GB2312"/>
          <w:sz w:val="32"/>
          <w:szCs w:val="32"/>
          <w:highlight w:val="none"/>
        </w:rPr>
        <w:t>高管理者，要充分落实企业</w:t>
      </w:r>
      <w:r>
        <w:rPr>
          <w:rFonts w:hint="eastAsia" w:eastAsia="仿宋_GB2312"/>
          <w:sz w:val="32"/>
          <w:szCs w:val="32"/>
          <w:highlight w:val="none"/>
          <w:lang w:val="en-US" w:eastAsia="zh-CN"/>
        </w:rPr>
        <w:t>的</w:t>
      </w:r>
      <w:r>
        <w:rPr>
          <w:rFonts w:hint="eastAsia" w:eastAsia="仿宋_GB2312"/>
          <w:sz w:val="32"/>
          <w:szCs w:val="32"/>
          <w:highlight w:val="none"/>
        </w:rPr>
        <w:t>主体责任</w:t>
      </w:r>
      <w:r>
        <w:rPr>
          <w:rFonts w:hint="eastAsia" w:eastAsia="仿宋_GB2312"/>
          <w:sz w:val="32"/>
          <w:szCs w:val="32"/>
          <w:highlight w:val="none"/>
          <w:lang w:eastAsia="zh-CN"/>
        </w:rPr>
        <w:t>；</w:t>
      </w:r>
      <w:r>
        <w:rPr>
          <w:rFonts w:hint="eastAsia" w:eastAsia="仿宋_GB2312"/>
          <w:sz w:val="32"/>
          <w:szCs w:val="32"/>
          <w:highlight w:val="none"/>
          <w:lang w:val="en-US" w:eastAsia="zh-CN"/>
        </w:rPr>
        <w:t>要</w:t>
      </w:r>
      <w:r>
        <w:rPr>
          <w:rFonts w:hint="eastAsia" w:eastAsia="仿宋_GB2312"/>
          <w:sz w:val="32"/>
          <w:szCs w:val="32"/>
          <w:highlight w:val="none"/>
        </w:rPr>
        <w:t>统筹协调整改工作,提供必要的人力资源和资金保障，</w:t>
      </w:r>
      <w:r>
        <w:rPr>
          <w:rFonts w:hint="eastAsia" w:eastAsia="仿宋_GB2312"/>
          <w:sz w:val="32"/>
          <w:szCs w:val="32"/>
          <w:highlight w:val="none"/>
          <w:lang w:val="en-US" w:eastAsia="zh-CN"/>
        </w:rPr>
        <w:t>保证缺陷整改有效实施；要</w:t>
      </w:r>
      <w:r>
        <w:rPr>
          <w:rFonts w:hint="eastAsia" w:eastAsia="仿宋_GB2312"/>
          <w:sz w:val="32"/>
          <w:szCs w:val="32"/>
          <w:highlight w:val="none"/>
        </w:rPr>
        <w:t>确保企业质量负责人独立履行职责，在公司内部对药品经营质量具有裁决权；严格要求缺陷整改相关部门密切沟通，高效落实质量部门提</w:t>
      </w:r>
      <w:r>
        <w:rPr>
          <w:rFonts w:eastAsia="仿宋_GB2312"/>
          <w:sz w:val="32"/>
          <w:szCs w:val="32"/>
          <w:highlight w:val="none"/>
        </w:rPr>
        <w:t>出的整改要求；通过实施整改，系统地解决企业存在的问题</w:t>
      </w:r>
      <w:r>
        <w:rPr>
          <w:rFonts w:hint="eastAsia" w:eastAsia="仿宋_GB2312"/>
          <w:sz w:val="32"/>
          <w:szCs w:val="32"/>
          <w:highlight w:val="none"/>
        </w:rPr>
        <w:t>并对</w:t>
      </w:r>
      <w:r>
        <w:rPr>
          <w:rFonts w:eastAsia="仿宋_GB2312"/>
          <w:sz w:val="32"/>
          <w:szCs w:val="32"/>
          <w:highlight w:val="none"/>
        </w:rPr>
        <w:t>整改报告进行</w:t>
      </w:r>
      <w:r>
        <w:rPr>
          <w:rFonts w:hint="eastAsia" w:eastAsia="仿宋_GB2312"/>
          <w:sz w:val="32"/>
          <w:szCs w:val="32"/>
          <w:highlight w:val="none"/>
        </w:rPr>
        <w:t>最终</w:t>
      </w:r>
      <w:r>
        <w:rPr>
          <w:rFonts w:hint="eastAsia" w:eastAsia="仿宋_GB2312"/>
          <w:sz w:val="32"/>
          <w:szCs w:val="32"/>
          <w:highlight w:val="none"/>
          <w:lang w:val="en-US" w:eastAsia="zh-CN"/>
        </w:rPr>
        <w:t>批准</w:t>
      </w:r>
      <w:r>
        <w:rPr>
          <w:rFonts w:hint="eastAsia" w:eastAsia="仿宋_GB2312"/>
          <w:sz w:val="32"/>
          <w:szCs w:val="32"/>
          <w:highlight w:val="none"/>
        </w:rPr>
        <w:t>。</w:t>
      </w:r>
    </w:p>
    <w:p>
      <w:pPr>
        <w:adjustRightInd w:val="0"/>
        <w:snapToGrid w:val="0"/>
        <w:spacing w:line="560" w:lineRule="exact"/>
        <w:ind w:firstLine="643" w:firstLineChars="200"/>
        <w:rPr>
          <w:rFonts w:eastAsia="楷体"/>
          <w:b/>
          <w:sz w:val="32"/>
          <w:szCs w:val="32"/>
          <w:highlight w:val="none"/>
        </w:rPr>
      </w:pPr>
      <w:r>
        <w:rPr>
          <w:rFonts w:eastAsia="楷体_GB2312"/>
          <w:b/>
          <w:sz w:val="32"/>
          <w:szCs w:val="32"/>
          <w:highlight w:val="none"/>
        </w:rPr>
        <w:t>2.质量负责人</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企业的质量负责人，</w:t>
      </w:r>
      <w:r>
        <w:rPr>
          <w:rFonts w:hint="eastAsia" w:eastAsia="仿宋_GB2312"/>
          <w:sz w:val="32"/>
          <w:szCs w:val="32"/>
          <w:highlight w:val="none"/>
          <w:lang w:val="en-US" w:eastAsia="zh-CN"/>
        </w:rPr>
        <w:t>要</w:t>
      </w:r>
      <w:r>
        <w:rPr>
          <w:rFonts w:eastAsia="仿宋_GB2312"/>
          <w:sz w:val="32"/>
          <w:szCs w:val="32"/>
          <w:highlight w:val="none"/>
        </w:rPr>
        <w:t>切实履行质量管理职责，组织质量部门参与各项缺陷的调查分析、风险评估、整改</w:t>
      </w:r>
      <w:r>
        <w:rPr>
          <w:rFonts w:hint="eastAsia" w:eastAsia="仿宋_GB2312"/>
          <w:sz w:val="32"/>
          <w:szCs w:val="32"/>
          <w:highlight w:val="none"/>
        </w:rPr>
        <w:t>措施</w:t>
      </w:r>
      <w:r>
        <w:rPr>
          <w:rFonts w:eastAsia="仿宋_GB2312"/>
          <w:sz w:val="32"/>
          <w:szCs w:val="32"/>
          <w:highlight w:val="none"/>
        </w:rPr>
        <w:t>、整改审核等过程；监督缺陷整改责任部门按照计划全面落实整改要求；组织质量部门对缺陷整改责任部门的整改结论进行评价，并提出改进建议</w:t>
      </w:r>
      <w:r>
        <w:rPr>
          <w:rFonts w:hint="eastAsia" w:eastAsia="仿宋_GB2312"/>
          <w:sz w:val="32"/>
          <w:szCs w:val="32"/>
          <w:highlight w:val="none"/>
          <w:lang w:eastAsia="zh-CN"/>
        </w:rPr>
        <w:t>；</w:t>
      </w:r>
      <w:r>
        <w:rPr>
          <w:rFonts w:eastAsia="仿宋_GB2312"/>
          <w:sz w:val="32"/>
          <w:szCs w:val="32"/>
          <w:highlight w:val="none"/>
        </w:rPr>
        <w:t>确保采取的整改措施能够有效防控风险；组织质量部门撰写整改报告</w:t>
      </w:r>
      <w:r>
        <w:rPr>
          <w:rFonts w:hint="eastAsia" w:eastAsia="仿宋_GB2312"/>
          <w:sz w:val="32"/>
          <w:szCs w:val="32"/>
          <w:highlight w:val="none"/>
          <w:lang w:eastAsia="zh-CN"/>
        </w:rPr>
        <w:t>；</w:t>
      </w:r>
      <w:r>
        <w:rPr>
          <w:rFonts w:hint="eastAsia" w:eastAsia="仿宋_GB2312"/>
          <w:sz w:val="32"/>
          <w:szCs w:val="32"/>
          <w:highlight w:val="none"/>
        </w:rPr>
        <w:t>对整改报告进行</w:t>
      </w:r>
      <w:r>
        <w:rPr>
          <w:rFonts w:hint="eastAsia" w:eastAsia="仿宋_GB2312"/>
          <w:sz w:val="32"/>
          <w:szCs w:val="32"/>
          <w:highlight w:val="none"/>
          <w:lang w:val="en-US" w:eastAsia="zh-CN"/>
        </w:rPr>
        <w:t>审核</w:t>
      </w:r>
      <w:r>
        <w:rPr>
          <w:rFonts w:eastAsia="仿宋_GB2312"/>
          <w:sz w:val="32"/>
          <w:szCs w:val="32"/>
          <w:highlight w:val="none"/>
        </w:rPr>
        <w:t>。</w:t>
      </w:r>
    </w:p>
    <w:p>
      <w:pPr>
        <w:adjustRightInd w:val="0"/>
        <w:snapToGrid w:val="0"/>
        <w:spacing w:line="560" w:lineRule="exact"/>
        <w:ind w:firstLine="643" w:firstLineChars="200"/>
        <w:rPr>
          <w:rFonts w:eastAsia="楷体_GB2312"/>
          <w:b/>
          <w:sz w:val="32"/>
          <w:szCs w:val="32"/>
          <w:highlight w:val="none"/>
        </w:rPr>
      </w:pPr>
      <w:r>
        <w:rPr>
          <w:rFonts w:eastAsia="楷体_GB2312"/>
          <w:b/>
          <w:sz w:val="32"/>
          <w:szCs w:val="32"/>
          <w:highlight w:val="none"/>
        </w:rPr>
        <w:t>3.责任部门</w:t>
      </w:r>
      <w:r>
        <w:rPr>
          <w:rFonts w:hint="eastAsia" w:eastAsia="楷体_GB2312"/>
          <w:b/>
          <w:sz w:val="32"/>
          <w:szCs w:val="32"/>
          <w:highlight w:val="none"/>
        </w:rPr>
        <w:t>（岗位）</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缺陷整改相关责任部门</w:t>
      </w:r>
      <w:r>
        <w:rPr>
          <w:rFonts w:hint="eastAsia" w:eastAsia="仿宋_GB2312"/>
          <w:sz w:val="32"/>
          <w:szCs w:val="32"/>
          <w:highlight w:val="none"/>
          <w:lang w:val="en-US" w:eastAsia="zh-CN"/>
        </w:rPr>
        <w:t>要</w:t>
      </w:r>
      <w:r>
        <w:rPr>
          <w:rFonts w:eastAsia="仿宋_GB2312"/>
          <w:sz w:val="32"/>
          <w:szCs w:val="32"/>
          <w:highlight w:val="none"/>
        </w:rPr>
        <w:t>主动落实整改责任</w:t>
      </w:r>
      <w:r>
        <w:rPr>
          <w:rFonts w:hint="eastAsia" w:eastAsia="仿宋_GB2312"/>
          <w:sz w:val="32"/>
          <w:szCs w:val="32"/>
          <w:highlight w:val="none"/>
          <w:lang w:eastAsia="zh-CN"/>
        </w:rPr>
        <w:t>，</w:t>
      </w:r>
      <w:r>
        <w:rPr>
          <w:rFonts w:eastAsia="仿宋_GB2312"/>
          <w:sz w:val="32"/>
          <w:szCs w:val="32"/>
          <w:highlight w:val="none"/>
        </w:rPr>
        <w:t>认真履行</w:t>
      </w:r>
      <w:r>
        <w:rPr>
          <w:rFonts w:hint="eastAsia" w:eastAsia="仿宋_GB2312"/>
          <w:sz w:val="32"/>
          <w:szCs w:val="32"/>
          <w:highlight w:val="none"/>
        </w:rPr>
        <w:t>原因</w:t>
      </w:r>
      <w:r>
        <w:rPr>
          <w:rFonts w:eastAsia="仿宋_GB2312"/>
          <w:sz w:val="32"/>
          <w:szCs w:val="32"/>
          <w:highlight w:val="none"/>
        </w:rPr>
        <w:t>分析、</w:t>
      </w:r>
      <w:r>
        <w:rPr>
          <w:rFonts w:hint="eastAsia" w:eastAsia="仿宋_GB2312"/>
          <w:sz w:val="32"/>
          <w:szCs w:val="32"/>
          <w:highlight w:val="none"/>
        </w:rPr>
        <w:t>风险评估、</w:t>
      </w:r>
      <w:r>
        <w:rPr>
          <w:rFonts w:eastAsia="仿宋_GB2312"/>
          <w:sz w:val="32"/>
          <w:szCs w:val="32"/>
          <w:highlight w:val="none"/>
        </w:rPr>
        <w:t>整改实施等职责，保证缺陷整改按照计划实施；在缺陷整改过程中追根溯源开展调查评估，并主动配合其他部门开展关联性调查，深入分析缺陷成因及其关联性因素，及时纠正预防系统性风险隐患，保证缺陷整改的质量和效果。</w:t>
      </w:r>
    </w:p>
    <w:p>
      <w:pPr>
        <w:numPr>
          <w:ilvl w:val="0"/>
          <w:numId w:val="1"/>
        </w:numPr>
        <w:adjustRightInd w:val="0"/>
        <w:snapToGrid w:val="0"/>
        <w:spacing w:line="560" w:lineRule="exact"/>
        <w:ind w:firstLine="643" w:firstLineChars="200"/>
        <w:rPr>
          <w:rFonts w:eastAsia="楷体_GB2312"/>
          <w:b/>
          <w:sz w:val="32"/>
          <w:szCs w:val="32"/>
          <w:highlight w:val="none"/>
        </w:rPr>
      </w:pPr>
      <w:r>
        <w:rPr>
          <w:rFonts w:eastAsia="楷体_GB2312"/>
          <w:b/>
          <w:sz w:val="32"/>
          <w:szCs w:val="32"/>
          <w:highlight w:val="none"/>
        </w:rPr>
        <w:t>整改要求</w:t>
      </w:r>
    </w:p>
    <w:p>
      <w:pPr>
        <w:adjustRightInd w:val="0"/>
        <w:snapToGrid w:val="0"/>
        <w:spacing w:line="560" w:lineRule="exact"/>
        <w:ind w:firstLine="643" w:firstLineChars="200"/>
        <w:rPr>
          <w:rFonts w:eastAsia="楷体_GB2312"/>
          <w:b/>
          <w:sz w:val="32"/>
          <w:szCs w:val="32"/>
          <w:highlight w:val="none"/>
        </w:rPr>
      </w:pPr>
      <w:r>
        <w:rPr>
          <w:rFonts w:eastAsia="楷体_GB2312"/>
          <w:b/>
          <w:sz w:val="32"/>
          <w:szCs w:val="32"/>
          <w:highlight w:val="none"/>
        </w:rPr>
        <w:t>1.</w:t>
      </w:r>
      <w:r>
        <w:rPr>
          <w:rFonts w:hint="eastAsia" w:eastAsia="楷体_GB2312"/>
          <w:b/>
          <w:sz w:val="32"/>
          <w:szCs w:val="32"/>
          <w:highlight w:val="none"/>
        </w:rPr>
        <w:t>原因</w:t>
      </w:r>
      <w:r>
        <w:rPr>
          <w:rFonts w:eastAsia="楷体_GB2312"/>
          <w:b/>
          <w:sz w:val="32"/>
          <w:szCs w:val="32"/>
          <w:highlight w:val="none"/>
        </w:rPr>
        <w:t>分析</w:t>
      </w:r>
    </w:p>
    <w:p>
      <w:pPr>
        <w:adjustRightInd w:val="0"/>
        <w:snapToGrid w:val="0"/>
        <w:spacing w:line="560" w:lineRule="exact"/>
        <w:ind w:firstLine="640" w:firstLineChars="200"/>
        <w:rPr>
          <w:rFonts w:hint="eastAsia" w:eastAsia="仿宋_GB2312"/>
          <w:color w:val="000000"/>
          <w:sz w:val="32"/>
          <w:szCs w:val="32"/>
          <w:highlight w:val="none"/>
          <w:lang w:val="en-US" w:eastAsia="zh-CN"/>
        </w:rPr>
      </w:pPr>
      <w:r>
        <w:rPr>
          <w:rFonts w:eastAsia="仿宋_GB2312"/>
          <w:color w:val="000000"/>
          <w:sz w:val="32"/>
          <w:szCs w:val="32"/>
          <w:highlight w:val="none"/>
        </w:rPr>
        <w:t>企业要遵循客观、科学的原则，</w:t>
      </w:r>
      <w:r>
        <w:rPr>
          <w:rFonts w:hint="eastAsia" w:eastAsia="仿宋_GB2312"/>
          <w:color w:val="000000"/>
          <w:sz w:val="32"/>
          <w:szCs w:val="32"/>
          <w:highlight w:val="none"/>
          <w:lang w:val="en-US" w:eastAsia="zh-CN"/>
        </w:rPr>
        <w:t>分析缺陷产生的根本原因。</w:t>
      </w:r>
    </w:p>
    <w:p>
      <w:pPr>
        <w:adjustRightInd w:val="0"/>
        <w:snapToGrid w:val="0"/>
        <w:spacing w:line="560" w:lineRule="exact"/>
        <w:rPr>
          <w:rFonts w:hint="default" w:eastAsia="仿宋_GB2312"/>
          <w:b w:val="0"/>
          <w:bCs w:val="0"/>
          <w:color w:val="000000"/>
          <w:sz w:val="32"/>
          <w:szCs w:val="32"/>
          <w:highlight w:val="none"/>
          <w:lang w:val="en-US" w:eastAsia="zh-CN"/>
        </w:rPr>
      </w:pPr>
      <w:r>
        <w:rPr>
          <w:rFonts w:eastAsia="仿宋_GB2312"/>
          <w:color w:val="000000"/>
          <w:sz w:val="32"/>
          <w:szCs w:val="32"/>
          <w:highlight w:val="none"/>
        </w:rPr>
        <w:t>参考</w:t>
      </w:r>
      <w:r>
        <w:rPr>
          <w:rFonts w:hint="eastAsia" w:eastAsia="仿宋_GB2312"/>
          <w:color w:val="000000"/>
          <w:sz w:val="32"/>
          <w:szCs w:val="32"/>
          <w:highlight w:val="none"/>
        </w:rPr>
        <w:t>是否配置了相应的岗位和人员、</w:t>
      </w:r>
      <w:r>
        <w:rPr>
          <w:rFonts w:eastAsia="仿宋_GB2312"/>
          <w:color w:val="000000"/>
          <w:sz w:val="32"/>
          <w:szCs w:val="32"/>
          <w:highlight w:val="none"/>
        </w:rPr>
        <w:t>是否制定相应的质量管理体系文件、是否按照文件规定执行、执行情况是否如实记录完整</w:t>
      </w:r>
      <w:r>
        <w:rPr>
          <w:rFonts w:hint="eastAsia" w:eastAsia="仿宋_GB2312"/>
          <w:color w:val="000000"/>
          <w:sz w:val="32"/>
          <w:szCs w:val="32"/>
          <w:highlight w:val="none"/>
          <w:lang w:val="en-US" w:eastAsia="zh-CN"/>
        </w:rPr>
        <w:t>准确</w:t>
      </w:r>
      <w:r>
        <w:rPr>
          <w:rFonts w:eastAsia="仿宋_GB2312"/>
          <w:color w:val="000000"/>
          <w:sz w:val="32"/>
          <w:szCs w:val="32"/>
          <w:highlight w:val="none"/>
        </w:rPr>
        <w:t>、执行效果是否达到要求的分析思路，</w:t>
      </w:r>
      <w:r>
        <w:rPr>
          <w:rFonts w:eastAsia="仿宋_GB2312"/>
          <w:b w:val="0"/>
          <w:bCs w:val="0"/>
          <w:color w:val="000000"/>
          <w:sz w:val="32"/>
          <w:szCs w:val="32"/>
          <w:highlight w:val="none"/>
        </w:rPr>
        <w:t>从</w:t>
      </w:r>
      <w:r>
        <w:rPr>
          <w:rFonts w:hint="eastAsia" w:ascii="仿宋_GB2312" w:hAnsi="仿宋_GB2312" w:eastAsia="仿宋_GB2312" w:cs="仿宋_GB2312"/>
          <w:b w:val="0"/>
          <w:bCs w:val="0"/>
          <w:i w:val="0"/>
          <w:iCs w:val="0"/>
          <w:caps w:val="0"/>
          <w:color w:val="333333"/>
          <w:spacing w:val="0"/>
          <w:sz w:val="32"/>
          <w:szCs w:val="32"/>
          <w:shd w:val="clear" w:fill="FFFFFF"/>
        </w:rPr>
        <w:t>人员培训</w:t>
      </w:r>
      <w:r>
        <w:rPr>
          <w:rFonts w:hint="eastAsia" w:ascii="仿宋_GB2312" w:hAnsi="仿宋_GB2312" w:eastAsia="仿宋_GB2312" w:cs="仿宋_GB2312"/>
          <w:b w:val="0"/>
          <w:bCs w:val="0"/>
          <w:i w:val="0"/>
          <w:iCs w:val="0"/>
          <w:caps w:val="0"/>
          <w:color w:val="333333"/>
          <w:spacing w:val="0"/>
          <w:sz w:val="32"/>
          <w:szCs w:val="32"/>
          <w:shd w:val="clear" w:fill="FFFFFF"/>
          <w:lang w:eastAsia="zh-CN"/>
        </w:rPr>
        <w:t>、</w:t>
      </w:r>
      <w:r>
        <w:rPr>
          <w:rFonts w:hint="eastAsia" w:ascii="仿宋_GB2312" w:hAnsi="仿宋_GB2312" w:eastAsia="仿宋_GB2312" w:cs="仿宋_GB2312"/>
          <w:b w:val="0"/>
          <w:bCs w:val="0"/>
          <w:i w:val="0"/>
          <w:iCs w:val="0"/>
          <w:caps w:val="0"/>
          <w:color w:val="333333"/>
          <w:spacing w:val="0"/>
          <w:sz w:val="32"/>
          <w:szCs w:val="32"/>
          <w:shd w:val="clear" w:fill="FFFFFF"/>
        </w:rPr>
        <w:t>体系文件</w:t>
      </w:r>
      <w:r>
        <w:rPr>
          <w:rFonts w:hint="eastAsia" w:ascii="仿宋_GB2312" w:hAnsi="仿宋_GB2312" w:eastAsia="仿宋_GB2312" w:cs="仿宋_GB2312"/>
          <w:b w:val="0"/>
          <w:bCs w:val="0"/>
          <w:i w:val="0"/>
          <w:iCs w:val="0"/>
          <w:caps w:val="0"/>
          <w:color w:val="333333"/>
          <w:spacing w:val="0"/>
          <w:sz w:val="32"/>
          <w:szCs w:val="32"/>
          <w:shd w:val="clear" w:fill="FFFFFF"/>
          <w:lang w:eastAsia="zh-CN"/>
        </w:rPr>
        <w:t>、</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设施设备</w:t>
      </w:r>
      <w:r>
        <w:rPr>
          <w:rFonts w:hint="eastAsia" w:ascii="仿宋_GB2312" w:hAnsi="仿宋_GB2312" w:eastAsia="仿宋_GB2312" w:cs="仿宋_GB2312"/>
          <w:b w:val="0"/>
          <w:bCs w:val="0"/>
          <w:i w:val="0"/>
          <w:iCs w:val="0"/>
          <w:caps w:val="0"/>
          <w:color w:val="333333"/>
          <w:spacing w:val="0"/>
          <w:sz w:val="32"/>
          <w:szCs w:val="32"/>
          <w:shd w:val="clear" w:fill="FFFFFF"/>
          <w:lang w:eastAsia="zh-CN"/>
        </w:rPr>
        <w:t>、计算机系统、</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工作流程等方面</w:t>
      </w:r>
      <w:r>
        <w:rPr>
          <w:rFonts w:eastAsia="仿宋_GB2312"/>
          <w:b w:val="0"/>
          <w:bCs w:val="0"/>
          <w:color w:val="000000"/>
          <w:sz w:val="32"/>
          <w:szCs w:val="32"/>
          <w:highlight w:val="none"/>
        </w:rPr>
        <w:t>排查缺陷成因，找到缺陷发生的根本原因</w:t>
      </w:r>
    </w:p>
    <w:p>
      <w:pPr>
        <w:adjustRightInd w:val="0"/>
        <w:snapToGrid w:val="0"/>
        <w:spacing w:line="560" w:lineRule="exact"/>
        <w:ind w:firstLine="643" w:firstLineChars="200"/>
        <w:rPr>
          <w:rFonts w:eastAsia="楷体_GB2312"/>
          <w:b/>
          <w:color w:val="000000"/>
          <w:sz w:val="32"/>
          <w:szCs w:val="32"/>
          <w:highlight w:val="none"/>
        </w:rPr>
      </w:pPr>
      <w:r>
        <w:rPr>
          <w:rFonts w:eastAsia="楷体_GB2312"/>
          <w:b/>
          <w:color w:val="000000"/>
          <w:sz w:val="32"/>
          <w:szCs w:val="32"/>
          <w:highlight w:val="none"/>
        </w:rPr>
        <w:t>2.风险评估</w:t>
      </w:r>
    </w:p>
    <w:p>
      <w:pPr>
        <w:adjustRightInd w:val="0"/>
        <w:snapToGrid w:val="0"/>
        <w:spacing w:line="560" w:lineRule="exact"/>
        <w:ind w:firstLine="640" w:firstLineChars="200"/>
        <w:rPr>
          <w:rFonts w:eastAsia="仿宋_GB2312"/>
          <w:color w:val="000000"/>
          <w:sz w:val="32"/>
          <w:szCs w:val="32"/>
          <w:highlight w:val="none"/>
        </w:rPr>
      </w:pPr>
      <w:r>
        <w:rPr>
          <w:rFonts w:eastAsia="仿宋_GB2312"/>
          <w:color w:val="000000"/>
          <w:sz w:val="32"/>
          <w:szCs w:val="32"/>
          <w:highlight w:val="none"/>
        </w:rPr>
        <w:t>企业根据</w:t>
      </w:r>
      <w:r>
        <w:rPr>
          <w:rFonts w:hint="eastAsia" w:eastAsia="仿宋_GB2312"/>
          <w:color w:val="000000"/>
          <w:sz w:val="32"/>
          <w:szCs w:val="32"/>
          <w:highlight w:val="none"/>
        </w:rPr>
        <w:t>对</w:t>
      </w:r>
      <w:r>
        <w:rPr>
          <w:rFonts w:eastAsia="仿宋_GB2312"/>
          <w:color w:val="000000"/>
          <w:sz w:val="32"/>
          <w:szCs w:val="32"/>
          <w:highlight w:val="none"/>
        </w:rPr>
        <w:t>缺陷</w:t>
      </w:r>
      <w:r>
        <w:rPr>
          <w:rFonts w:hint="eastAsia" w:eastAsia="仿宋_GB2312"/>
          <w:color w:val="000000"/>
          <w:sz w:val="32"/>
          <w:szCs w:val="32"/>
          <w:highlight w:val="none"/>
        </w:rPr>
        <w:t>成因的</w:t>
      </w:r>
      <w:r>
        <w:rPr>
          <w:rFonts w:eastAsia="仿宋_GB2312"/>
          <w:color w:val="000000"/>
          <w:sz w:val="32"/>
          <w:szCs w:val="32"/>
          <w:highlight w:val="none"/>
        </w:rPr>
        <w:t>分析情况，结合</w:t>
      </w:r>
      <w:r>
        <w:rPr>
          <w:rFonts w:hint="eastAsia" w:eastAsia="仿宋_GB2312"/>
          <w:color w:val="000000"/>
          <w:sz w:val="32"/>
          <w:szCs w:val="32"/>
          <w:highlight w:val="none"/>
          <w:lang w:val="en-US" w:eastAsia="zh-CN"/>
        </w:rPr>
        <w:t>自身的</w:t>
      </w:r>
      <w:r>
        <w:rPr>
          <w:rFonts w:hint="eastAsia" w:eastAsia="仿宋_GB2312"/>
          <w:color w:val="000000"/>
          <w:sz w:val="32"/>
          <w:szCs w:val="32"/>
          <w:highlight w:val="none"/>
        </w:rPr>
        <w:t>经营方式、经营范围 、</w:t>
      </w:r>
      <w:r>
        <w:rPr>
          <w:rFonts w:hint="eastAsia" w:eastAsia="仿宋_GB2312"/>
          <w:color w:val="000000"/>
          <w:sz w:val="32"/>
          <w:szCs w:val="32"/>
          <w:highlight w:val="none"/>
          <w:lang w:val="en-US" w:eastAsia="zh-CN"/>
        </w:rPr>
        <w:t>缺陷涉及</w:t>
      </w:r>
      <w:r>
        <w:rPr>
          <w:rFonts w:hint="eastAsia" w:eastAsia="仿宋_GB2312"/>
          <w:color w:val="000000"/>
          <w:sz w:val="32"/>
          <w:szCs w:val="32"/>
          <w:highlight w:val="none"/>
        </w:rPr>
        <w:t>药</w:t>
      </w:r>
      <w:r>
        <w:rPr>
          <w:rFonts w:eastAsia="仿宋_GB2312"/>
          <w:color w:val="000000"/>
          <w:sz w:val="32"/>
          <w:szCs w:val="32"/>
          <w:highlight w:val="none"/>
        </w:rPr>
        <w:t>品</w:t>
      </w:r>
      <w:r>
        <w:rPr>
          <w:rFonts w:hint="eastAsia" w:eastAsia="仿宋_GB2312"/>
          <w:color w:val="000000"/>
          <w:sz w:val="32"/>
          <w:szCs w:val="32"/>
          <w:highlight w:val="none"/>
          <w:lang w:val="en-US" w:eastAsia="zh-CN"/>
        </w:rPr>
        <w:t>的种类</w:t>
      </w:r>
      <w:r>
        <w:rPr>
          <w:rFonts w:eastAsia="仿宋_GB2312"/>
          <w:color w:val="000000"/>
          <w:sz w:val="32"/>
          <w:szCs w:val="32"/>
          <w:highlight w:val="none"/>
        </w:rPr>
        <w:t>等，综合评估缺陷造成危害的严重性和可能性，一般应考虑以下方面：</w:t>
      </w:r>
    </w:p>
    <w:p>
      <w:pPr>
        <w:adjustRightInd w:val="0"/>
        <w:snapToGrid w:val="0"/>
        <w:spacing w:line="560" w:lineRule="exact"/>
        <w:ind w:firstLine="640" w:firstLineChars="200"/>
        <w:rPr>
          <w:rFonts w:eastAsia="仿宋_GB2312"/>
          <w:color w:val="auto"/>
          <w:sz w:val="32"/>
          <w:szCs w:val="32"/>
          <w:highlight w:val="none"/>
        </w:rPr>
      </w:pPr>
      <w:r>
        <w:rPr>
          <w:rFonts w:eastAsia="仿宋_GB2312"/>
          <w:color w:val="auto"/>
          <w:sz w:val="32"/>
          <w:szCs w:val="32"/>
          <w:highlight w:val="none"/>
        </w:rPr>
        <w:fldChar w:fldCharType="begin"/>
      </w:r>
      <w:r>
        <w:rPr>
          <w:rFonts w:eastAsia="仿宋_GB2312"/>
          <w:color w:val="auto"/>
          <w:sz w:val="32"/>
          <w:szCs w:val="32"/>
          <w:highlight w:val="none"/>
        </w:rPr>
        <w:instrText xml:space="preserve"> = 1 \* GB3 \* MERGEFORMAT </w:instrText>
      </w:r>
      <w:r>
        <w:rPr>
          <w:rFonts w:eastAsia="仿宋_GB2312"/>
          <w:color w:val="auto"/>
          <w:sz w:val="32"/>
          <w:szCs w:val="32"/>
          <w:highlight w:val="none"/>
        </w:rPr>
        <w:fldChar w:fldCharType="separate"/>
      </w:r>
      <w:r>
        <w:rPr>
          <w:rFonts w:eastAsia="仿宋_GB2312"/>
          <w:color w:val="auto"/>
          <w:sz w:val="32"/>
          <w:szCs w:val="32"/>
          <w:highlight w:val="none"/>
        </w:rPr>
        <w:t>①</w:t>
      </w:r>
      <w:r>
        <w:rPr>
          <w:rFonts w:eastAsia="仿宋_GB2312"/>
          <w:color w:val="auto"/>
          <w:sz w:val="32"/>
          <w:szCs w:val="32"/>
          <w:highlight w:val="none"/>
        </w:rPr>
        <w:fldChar w:fldCharType="end"/>
      </w:r>
      <w:r>
        <w:rPr>
          <w:rFonts w:eastAsia="仿宋_GB2312"/>
          <w:color w:val="auto"/>
          <w:sz w:val="32"/>
          <w:szCs w:val="32"/>
          <w:highlight w:val="none"/>
        </w:rPr>
        <w:t>该缺陷产生的直接后果；</w:t>
      </w:r>
    </w:p>
    <w:p>
      <w:pPr>
        <w:adjustRightInd w:val="0"/>
        <w:snapToGrid w:val="0"/>
        <w:spacing w:line="560" w:lineRule="exact"/>
        <w:ind w:firstLine="640" w:firstLineChars="200"/>
        <w:rPr>
          <w:rFonts w:eastAsia="仿宋_GB2312"/>
          <w:color w:val="000000" w:themeColor="text1"/>
          <w:sz w:val="32"/>
          <w:szCs w:val="32"/>
          <w:highlight w:val="none"/>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fldChar w:fldCharType="begin"/>
      </w:r>
      <w:r>
        <w:rPr>
          <w:rFonts w:eastAsia="仿宋_GB2312"/>
          <w:color w:val="000000" w:themeColor="text1"/>
          <w:sz w:val="32"/>
          <w:szCs w:val="32"/>
          <w:highlight w:val="none"/>
          <w14:textFill>
            <w14:solidFill>
              <w14:schemeClr w14:val="tx1"/>
            </w14:solidFill>
          </w14:textFill>
        </w:rPr>
        <w:instrText xml:space="preserve"> = 2 \* GB3 \* MERGEFORMAT </w:instrText>
      </w:r>
      <w:r>
        <w:rPr>
          <w:rFonts w:eastAsia="仿宋_GB2312"/>
          <w:color w:val="000000" w:themeColor="text1"/>
          <w:sz w:val="32"/>
          <w:szCs w:val="32"/>
          <w:highlight w:val="none"/>
          <w14:textFill>
            <w14:solidFill>
              <w14:schemeClr w14:val="tx1"/>
            </w14:solidFill>
          </w14:textFill>
        </w:rPr>
        <w:fldChar w:fldCharType="separate"/>
      </w:r>
      <w:r>
        <w:rPr>
          <w:rFonts w:eastAsia="仿宋_GB2312"/>
          <w:color w:val="000000" w:themeColor="text1"/>
          <w:sz w:val="32"/>
          <w:szCs w:val="32"/>
          <w:highlight w:val="none"/>
          <w14:textFill>
            <w14:solidFill>
              <w14:schemeClr w14:val="tx1"/>
            </w14:solidFill>
          </w14:textFill>
        </w:rPr>
        <w:t>②</w:t>
      </w:r>
      <w:r>
        <w:rPr>
          <w:rFonts w:eastAsia="仿宋_GB2312"/>
          <w:color w:val="000000" w:themeColor="text1"/>
          <w:sz w:val="32"/>
          <w:szCs w:val="32"/>
          <w:highlight w:val="none"/>
          <w14:textFill>
            <w14:solidFill>
              <w14:schemeClr w14:val="tx1"/>
            </w14:solidFill>
          </w14:textFill>
        </w:rPr>
        <w:fldChar w:fldCharType="end"/>
      </w:r>
      <w:r>
        <w:rPr>
          <w:rFonts w:eastAsia="仿宋_GB2312"/>
          <w:color w:val="000000" w:themeColor="text1"/>
          <w:sz w:val="32"/>
          <w:szCs w:val="32"/>
          <w:highlight w:val="none"/>
          <w14:textFill>
            <w14:solidFill>
              <w14:schemeClr w14:val="tx1"/>
            </w14:solidFill>
          </w14:textFill>
        </w:rPr>
        <w:t>该缺陷对药品质量安全产生直接的不良影响</w:t>
      </w:r>
      <w:r>
        <w:rPr>
          <w:rFonts w:hint="eastAsia" w:eastAsia="仿宋_GB2312"/>
          <w:color w:val="000000" w:themeColor="text1"/>
          <w:sz w:val="32"/>
          <w:szCs w:val="32"/>
          <w:highlight w:val="none"/>
          <w14:textFill>
            <w14:solidFill>
              <w14:schemeClr w14:val="tx1"/>
            </w14:solidFill>
          </w14:textFill>
        </w:rPr>
        <w:t>；</w:t>
      </w:r>
    </w:p>
    <w:p>
      <w:pPr>
        <w:adjustRightInd w:val="0"/>
        <w:snapToGrid w:val="0"/>
        <w:spacing w:line="560" w:lineRule="exact"/>
        <w:ind w:firstLine="640" w:firstLineChars="200"/>
        <w:rPr>
          <w:rFonts w:hint="eastAsia" w:eastAsia="仿宋_GB2312"/>
          <w:color w:val="auto"/>
          <w:sz w:val="32"/>
          <w:szCs w:val="32"/>
          <w:highlight w:val="none"/>
          <w:lang w:eastAsia="zh-CN"/>
        </w:rPr>
      </w:pPr>
      <w:r>
        <w:rPr>
          <w:rFonts w:eastAsia="仿宋_GB2312"/>
          <w:color w:val="auto"/>
          <w:sz w:val="32"/>
          <w:szCs w:val="32"/>
          <w:highlight w:val="none"/>
        </w:rPr>
        <w:fldChar w:fldCharType="begin"/>
      </w:r>
      <w:r>
        <w:rPr>
          <w:rFonts w:eastAsia="仿宋_GB2312"/>
          <w:color w:val="auto"/>
          <w:sz w:val="32"/>
          <w:szCs w:val="32"/>
          <w:highlight w:val="none"/>
        </w:rPr>
        <w:instrText xml:space="preserve"> = 3 \* GB3 \* MERGEFORMAT </w:instrText>
      </w:r>
      <w:r>
        <w:rPr>
          <w:rFonts w:eastAsia="仿宋_GB2312"/>
          <w:color w:val="auto"/>
          <w:sz w:val="32"/>
          <w:szCs w:val="32"/>
          <w:highlight w:val="none"/>
        </w:rPr>
        <w:fldChar w:fldCharType="separate"/>
      </w:r>
      <w:r>
        <w:rPr>
          <w:rFonts w:eastAsia="仿宋_GB2312"/>
          <w:color w:val="auto"/>
          <w:sz w:val="32"/>
          <w:szCs w:val="32"/>
          <w:highlight w:val="none"/>
        </w:rPr>
        <w:t>③</w:t>
      </w:r>
      <w:r>
        <w:rPr>
          <w:rFonts w:eastAsia="仿宋_GB2312"/>
          <w:color w:val="auto"/>
          <w:sz w:val="32"/>
          <w:szCs w:val="32"/>
          <w:highlight w:val="none"/>
        </w:rPr>
        <w:fldChar w:fldCharType="end"/>
      </w:r>
      <w:r>
        <w:rPr>
          <w:rFonts w:eastAsia="仿宋_GB2312"/>
          <w:color w:val="auto"/>
          <w:sz w:val="32"/>
          <w:szCs w:val="32"/>
          <w:highlight w:val="none"/>
        </w:rPr>
        <w:t>该缺陷是否药品质量安全产生潜在的风险隐患</w:t>
      </w:r>
      <w:r>
        <w:rPr>
          <w:rFonts w:hint="eastAsia" w:eastAsia="仿宋_GB2312"/>
          <w:color w:val="auto"/>
          <w:sz w:val="32"/>
          <w:szCs w:val="32"/>
          <w:highlight w:val="none"/>
          <w:lang w:eastAsia="zh-CN"/>
        </w:rPr>
        <w:t>；</w:t>
      </w:r>
    </w:p>
    <w:p>
      <w:pPr>
        <w:adjustRightInd w:val="0"/>
        <w:snapToGrid w:val="0"/>
        <w:spacing w:line="560" w:lineRule="exact"/>
        <w:ind w:firstLine="640" w:firstLineChars="200"/>
        <w:rPr>
          <w:rFonts w:hint="eastAsia" w:eastAsia="仿宋_GB2312"/>
          <w:color w:val="0000FF"/>
          <w:sz w:val="32"/>
          <w:szCs w:val="32"/>
          <w:highlight w:val="none"/>
          <w:lang w:val="en-US" w:eastAsia="zh-CN"/>
        </w:rPr>
      </w:pPr>
      <w:r>
        <w:rPr>
          <w:rFonts w:eastAsia="仿宋_GB2312"/>
          <w:b w:val="0"/>
          <w:bCs w:val="0"/>
          <w:color w:val="auto"/>
          <w:sz w:val="32"/>
          <w:szCs w:val="32"/>
          <w:highlight w:val="none"/>
        </w:rPr>
        <w:fldChar w:fldCharType="begin"/>
      </w:r>
      <w:r>
        <w:rPr>
          <w:rFonts w:eastAsia="仿宋_GB2312"/>
          <w:b w:val="0"/>
          <w:bCs w:val="0"/>
          <w:color w:val="auto"/>
          <w:sz w:val="32"/>
          <w:szCs w:val="32"/>
          <w:highlight w:val="none"/>
        </w:rPr>
        <w:instrText xml:space="preserve"> = 4 \* GB3 \* MERGEFORMAT </w:instrText>
      </w:r>
      <w:r>
        <w:rPr>
          <w:rFonts w:eastAsia="仿宋_GB2312"/>
          <w:b w:val="0"/>
          <w:bCs w:val="0"/>
          <w:color w:val="auto"/>
          <w:sz w:val="32"/>
          <w:szCs w:val="32"/>
          <w:highlight w:val="none"/>
        </w:rPr>
        <w:fldChar w:fldCharType="separate"/>
      </w:r>
      <w:r>
        <w:rPr>
          <w:rFonts w:eastAsia="仿宋_GB2312"/>
          <w:b w:val="0"/>
          <w:bCs w:val="0"/>
          <w:color w:val="auto"/>
          <w:sz w:val="32"/>
          <w:szCs w:val="32"/>
          <w:highlight w:val="none"/>
        </w:rPr>
        <w:t>④</w:t>
      </w:r>
      <w:r>
        <w:rPr>
          <w:rFonts w:eastAsia="仿宋_GB2312"/>
          <w:b w:val="0"/>
          <w:bCs w:val="0"/>
          <w:color w:val="auto"/>
          <w:sz w:val="32"/>
          <w:szCs w:val="32"/>
          <w:highlight w:val="none"/>
        </w:rPr>
        <w:fldChar w:fldCharType="end"/>
      </w:r>
      <w:r>
        <w:rPr>
          <w:rFonts w:eastAsia="仿宋_GB2312"/>
          <w:color w:val="auto"/>
          <w:sz w:val="32"/>
          <w:szCs w:val="32"/>
          <w:highlight w:val="none"/>
        </w:rPr>
        <w:t>该缺陷涉及的范围，是否</w:t>
      </w:r>
      <w:r>
        <w:rPr>
          <w:rFonts w:hint="eastAsia" w:eastAsia="仿宋_GB2312"/>
          <w:color w:val="auto"/>
          <w:sz w:val="32"/>
          <w:szCs w:val="32"/>
          <w:highlight w:val="none"/>
          <w:lang w:val="en-US" w:eastAsia="zh-CN"/>
        </w:rPr>
        <w:t>存在本次检查范围外的药品；</w:t>
      </w:r>
    </w:p>
    <w:p>
      <w:pPr>
        <w:adjustRightInd w:val="0"/>
        <w:snapToGrid w:val="0"/>
        <w:spacing w:line="560" w:lineRule="exact"/>
        <w:ind w:firstLine="640" w:firstLineChars="200"/>
        <w:rPr>
          <w:rFonts w:eastAsia="仿宋_GB2312"/>
          <w:color w:val="0000FF"/>
          <w:sz w:val="32"/>
          <w:szCs w:val="32"/>
          <w:highlight w:val="none"/>
        </w:rPr>
      </w:pPr>
      <w:r>
        <w:rPr>
          <w:rFonts w:eastAsia="仿宋_GB2312"/>
          <w:color w:val="auto"/>
          <w:sz w:val="32"/>
          <w:szCs w:val="32"/>
          <w:highlight w:val="none"/>
        </w:rPr>
        <w:fldChar w:fldCharType="begin"/>
      </w:r>
      <w:r>
        <w:rPr>
          <w:rFonts w:eastAsia="仿宋_GB2312"/>
          <w:color w:val="auto"/>
          <w:sz w:val="32"/>
          <w:szCs w:val="32"/>
          <w:highlight w:val="none"/>
        </w:rPr>
        <w:instrText xml:space="preserve"> = 5 \* GB3 \* MERGEFORMAT </w:instrText>
      </w:r>
      <w:r>
        <w:rPr>
          <w:rFonts w:eastAsia="仿宋_GB2312"/>
          <w:color w:val="auto"/>
          <w:sz w:val="32"/>
          <w:szCs w:val="32"/>
          <w:highlight w:val="none"/>
        </w:rPr>
        <w:fldChar w:fldCharType="separate"/>
      </w:r>
      <w:r>
        <w:rPr>
          <w:rFonts w:eastAsia="仿宋_GB2312"/>
          <w:color w:val="auto"/>
          <w:sz w:val="32"/>
          <w:szCs w:val="32"/>
          <w:highlight w:val="none"/>
        </w:rPr>
        <w:t>⑤</w:t>
      </w:r>
      <w:r>
        <w:rPr>
          <w:rFonts w:eastAsia="仿宋_GB2312"/>
          <w:color w:val="auto"/>
          <w:sz w:val="32"/>
          <w:szCs w:val="32"/>
          <w:highlight w:val="none"/>
        </w:rPr>
        <w:fldChar w:fldCharType="end"/>
      </w:r>
      <w:r>
        <w:rPr>
          <w:rFonts w:hint="eastAsia" w:eastAsia="仿宋_GB2312"/>
          <w:b w:val="0"/>
          <w:bCs w:val="0"/>
          <w:color w:val="auto"/>
          <w:sz w:val="32"/>
          <w:szCs w:val="32"/>
          <w:highlight w:val="none"/>
        </w:rPr>
        <w:t>该缺陷可能引发的法规符合性风险；</w:t>
      </w:r>
    </w:p>
    <w:p>
      <w:pPr>
        <w:adjustRightInd w:val="0"/>
        <w:snapToGrid w:val="0"/>
        <w:spacing w:line="560" w:lineRule="exact"/>
        <w:ind w:firstLine="640" w:firstLineChars="200"/>
        <w:rPr>
          <w:rFonts w:eastAsia="仿宋_GB2312"/>
          <w:color w:val="auto"/>
          <w:sz w:val="32"/>
          <w:szCs w:val="32"/>
          <w:highlight w:val="none"/>
        </w:rPr>
      </w:pPr>
      <w:r>
        <w:rPr>
          <w:rFonts w:hint="eastAsia" w:ascii="微软雅黑" w:hAnsi="微软雅黑" w:eastAsia="微软雅黑" w:cs="微软雅黑"/>
          <w:color w:val="auto"/>
          <w:sz w:val="32"/>
          <w:szCs w:val="32"/>
          <w:highlight w:val="none"/>
        </w:rPr>
        <w:t>⑥</w:t>
      </w:r>
      <w:r>
        <w:rPr>
          <w:rFonts w:eastAsia="仿宋_GB2312"/>
          <w:color w:val="auto"/>
          <w:sz w:val="32"/>
          <w:szCs w:val="32"/>
          <w:highlight w:val="none"/>
        </w:rPr>
        <w:t>该缺陷是否引发舆情风险。</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3" w:firstLineChars="200"/>
        <w:textAlignment w:val="auto"/>
        <w:rPr>
          <w:rFonts w:hint="default" w:ascii="Times New Roman" w:hAnsi="Times New Roman" w:eastAsia="楷体_GB2312" w:cs="Times New Roman"/>
          <w:b/>
          <w:color w:val="auto"/>
          <w:sz w:val="32"/>
          <w:szCs w:val="32"/>
          <w:lang w:val="en-US" w:eastAsia="zh-CN"/>
        </w:rPr>
      </w:pPr>
      <w:r>
        <w:rPr>
          <w:rFonts w:hint="default" w:ascii="Times New Roman" w:hAnsi="Times New Roman" w:eastAsia="楷体_GB2312" w:cs="Times New Roman"/>
          <w:b/>
          <w:color w:val="auto"/>
          <w:sz w:val="32"/>
          <w:szCs w:val="32"/>
          <w:lang w:val="en-US" w:eastAsia="zh-CN"/>
        </w:rPr>
        <w:t>3.风险控制</w:t>
      </w:r>
    </w:p>
    <w:p>
      <w:pPr>
        <w:keepNext w:val="0"/>
        <w:keepLines w:val="0"/>
        <w:pageBreakBefore w:val="0"/>
        <w:widowControl w:val="0"/>
        <w:kinsoku/>
        <w:wordWrap/>
        <w:overflowPunct/>
        <w:topLinePunct w:val="0"/>
        <w:autoSpaceDE/>
        <w:autoSpaceDN/>
        <w:bidi w:val="0"/>
        <w:adjustRightInd w:val="0"/>
        <w:snapToGrid w:val="0"/>
        <w:spacing w:line="600" w:lineRule="exact"/>
        <w:ind w:leftChars="0" w:firstLine="640" w:firstLineChars="200"/>
        <w:textAlignment w:val="auto"/>
        <w:rPr>
          <w:rFonts w:hint="default"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企业</w:t>
      </w:r>
      <w:r>
        <w:rPr>
          <w:rFonts w:hint="eastAsia" w:eastAsia="仿宋_GB2312" w:cs="Times New Roman"/>
          <w:color w:val="auto"/>
          <w:sz w:val="32"/>
          <w:szCs w:val="32"/>
          <w:lang w:val="en-US" w:eastAsia="zh-CN"/>
        </w:rPr>
        <w:t>针对风险评估的结果，</w:t>
      </w:r>
      <w:r>
        <w:rPr>
          <w:rFonts w:hint="default" w:ascii="Times New Roman" w:hAnsi="Times New Roman" w:eastAsia="仿宋_GB2312" w:cs="Times New Roman"/>
          <w:color w:val="auto"/>
          <w:sz w:val="32"/>
          <w:szCs w:val="32"/>
          <w:lang w:val="en-US" w:eastAsia="zh-CN"/>
        </w:rPr>
        <w:t>根据实际情况</w:t>
      </w:r>
      <w:r>
        <w:rPr>
          <w:rFonts w:hint="eastAsia" w:eastAsia="仿宋_GB2312" w:cs="Times New Roman"/>
          <w:color w:val="auto"/>
          <w:sz w:val="32"/>
          <w:szCs w:val="32"/>
          <w:lang w:val="en-US" w:eastAsia="zh-CN"/>
        </w:rPr>
        <w:t>可采取</w:t>
      </w:r>
      <w:r>
        <w:rPr>
          <w:rFonts w:hint="default" w:ascii="Times New Roman" w:hAnsi="Times New Roman" w:eastAsia="仿宋_GB2312" w:cs="Times New Roman"/>
          <w:color w:val="auto"/>
          <w:sz w:val="32"/>
          <w:szCs w:val="32"/>
          <w:lang w:val="en-US" w:eastAsia="zh-CN"/>
        </w:rPr>
        <w:t>停止销售、</w:t>
      </w:r>
      <w:r>
        <w:rPr>
          <w:rFonts w:hint="eastAsia" w:eastAsia="仿宋_GB2312" w:cs="Times New Roman"/>
          <w:color w:val="auto"/>
          <w:sz w:val="32"/>
          <w:szCs w:val="32"/>
          <w:lang w:val="en-US" w:eastAsia="zh-CN"/>
        </w:rPr>
        <w:t>配合召回、销毁药品、通知上下游企业采取措施、报告药品监督管理部门等相应的风险控制措施，</w:t>
      </w:r>
      <w:r>
        <w:rPr>
          <w:rFonts w:hint="default" w:ascii="Times New Roman" w:hAnsi="Times New Roman" w:eastAsia="仿宋_GB2312" w:cs="Times New Roman"/>
          <w:color w:val="auto"/>
          <w:sz w:val="32"/>
          <w:szCs w:val="32"/>
        </w:rPr>
        <w:t>将</w:t>
      </w:r>
      <w:r>
        <w:rPr>
          <w:rFonts w:hint="eastAsia" w:eastAsia="仿宋_GB2312" w:cs="Times New Roman"/>
          <w:color w:val="auto"/>
          <w:sz w:val="32"/>
          <w:szCs w:val="32"/>
          <w:lang w:val="en-US" w:eastAsia="zh-CN"/>
        </w:rPr>
        <w:t>药品</w:t>
      </w:r>
      <w:r>
        <w:rPr>
          <w:rFonts w:hint="default" w:ascii="Times New Roman" w:hAnsi="Times New Roman" w:eastAsia="仿宋_GB2312" w:cs="Times New Roman"/>
          <w:color w:val="auto"/>
          <w:sz w:val="32"/>
          <w:szCs w:val="32"/>
        </w:rPr>
        <w:t>安全风险降低至可控、可接受程度。</w:t>
      </w:r>
    </w:p>
    <w:p>
      <w:pPr>
        <w:adjustRightInd w:val="0"/>
        <w:snapToGrid w:val="0"/>
        <w:spacing w:line="560" w:lineRule="exact"/>
        <w:ind w:firstLine="643" w:firstLineChars="200"/>
        <w:rPr>
          <w:rFonts w:eastAsia="楷体_GB2312"/>
          <w:b/>
          <w:sz w:val="32"/>
          <w:szCs w:val="32"/>
          <w:highlight w:val="none"/>
        </w:rPr>
      </w:pPr>
      <w:r>
        <w:rPr>
          <w:rFonts w:hint="eastAsia" w:eastAsia="楷体_GB2312"/>
          <w:b/>
          <w:sz w:val="32"/>
          <w:szCs w:val="32"/>
          <w:highlight w:val="none"/>
          <w:lang w:val="en-US" w:eastAsia="zh-CN"/>
        </w:rPr>
        <w:t>4</w:t>
      </w:r>
      <w:r>
        <w:rPr>
          <w:rFonts w:eastAsia="楷体_GB2312"/>
          <w:b/>
          <w:sz w:val="32"/>
          <w:szCs w:val="32"/>
          <w:highlight w:val="none"/>
        </w:rPr>
        <w:t>.整改措施</w:t>
      </w:r>
    </w:p>
    <w:p>
      <w:pPr>
        <w:adjustRightInd w:val="0"/>
        <w:snapToGrid w:val="0"/>
        <w:spacing w:line="560" w:lineRule="exact"/>
        <w:ind w:firstLine="640" w:firstLineChars="200"/>
        <w:rPr>
          <w:rFonts w:eastAsia="仿宋_GB2312"/>
          <w:bCs/>
          <w:color w:val="0000FF"/>
          <w:sz w:val="32"/>
          <w:szCs w:val="32"/>
          <w:highlight w:val="none"/>
        </w:rPr>
      </w:pPr>
      <w:r>
        <w:rPr>
          <w:rFonts w:eastAsia="仿宋_GB2312"/>
          <w:sz w:val="32"/>
          <w:szCs w:val="32"/>
          <w:highlight w:val="none"/>
        </w:rPr>
        <w:t>企业采取及时有效的整改措施，持续改进质量管理体系，防止同类缺陷再次发生。实施的整改措施要充分考虑缺陷的影响范围和程度，能够从根本上消除缺陷问题产生的根源，具有靶向性和可操作性。既包括针对缺陷成因的具体纠正措施，还包括</w:t>
      </w:r>
      <w:r>
        <w:rPr>
          <w:rFonts w:hint="eastAsia" w:eastAsia="仿宋_GB2312"/>
          <w:sz w:val="32"/>
          <w:szCs w:val="32"/>
          <w:highlight w:val="none"/>
          <w:lang w:val="en-US" w:eastAsia="zh-CN"/>
        </w:rPr>
        <w:t>再次</w:t>
      </w:r>
      <w:r>
        <w:rPr>
          <w:rFonts w:eastAsia="仿宋_GB2312"/>
          <w:sz w:val="32"/>
          <w:szCs w:val="32"/>
          <w:highlight w:val="none"/>
        </w:rPr>
        <w:t>发生类似缺陷而采取事先防范的预防措施</w:t>
      </w:r>
      <w:r>
        <w:rPr>
          <w:rFonts w:eastAsia="仿宋_GB2312"/>
          <w:bCs/>
          <w:color w:val="000000"/>
          <w:sz w:val="32"/>
          <w:szCs w:val="32"/>
          <w:highlight w:val="none"/>
        </w:rPr>
        <w:t>。</w:t>
      </w:r>
      <w:r>
        <w:rPr>
          <w:rFonts w:eastAsia="仿宋_GB2312"/>
          <w:sz w:val="32"/>
          <w:szCs w:val="32"/>
          <w:highlight w:val="none"/>
        </w:rPr>
        <w:t>要明确具体整改措施</w:t>
      </w:r>
      <w:r>
        <w:rPr>
          <w:rFonts w:hint="eastAsia" w:eastAsia="仿宋_GB2312"/>
          <w:sz w:val="32"/>
          <w:szCs w:val="32"/>
          <w:highlight w:val="none"/>
        </w:rPr>
        <w:t>、</w:t>
      </w:r>
      <w:r>
        <w:rPr>
          <w:rFonts w:eastAsia="仿宋_GB2312"/>
          <w:sz w:val="32"/>
          <w:szCs w:val="32"/>
          <w:highlight w:val="none"/>
        </w:rPr>
        <w:t>相关责任部门和责任人、整改时间要求，相关责任部门和责任人要按照整改时限要求推进落实。</w:t>
      </w:r>
    </w:p>
    <w:p>
      <w:pPr>
        <w:adjustRightInd w:val="0"/>
        <w:snapToGrid w:val="0"/>
        <w:spacing w:line="560" w:lineRule="exact"/>
        <w:ind w:firstLine="640" w:firstLineChars="200"/>
        <w:rPr>
          <w:rFonts w:eastAsia="楷体"/>
          <w:b/>
          <w:color w:val="000000"/>
          <w:sz w:val="32"/>
          <w:szCs w:val="32"/>
          <w:highlight w:val="none"/>
        </w:rPr>
      </w:pPr>
      <w:r>
        <w:rPr>
          <w:rFonts w:hint="eastAsia" w:eastAsia="楷体"/>
          <w:bCs/>
          <w:color w:val="000000"/>
          <w:sz w:val="32"/>
          <w:szCs w:val="32"/>
          <w:highlight w:val="none"/>
          <w:lang w:val="en-US" w:eastAsia="zh-CN"/>
        </w:rPr>
        <w:t>5</w:t>
      </w:r>
      <w:r>
        <w:rPr>
          <w:rFonts w:eastAsia="楷体"/>
          <w:bCs/>
          <w:color w:val="000000"/>
          <w:sz w:val="32"/>
          <w:szCs w:val="32"/>
          <w:highlight w:val="none"/>
        </w:rPr>
        <w:t>.</w:t>
      </w:r>
      <w:r>
        <w:rPr>
          <w:rFonts w:eastAsia="楷体_GB2312"/>
          <w:b/>
          <w:sz w:val="32"/>
          <w:szCs w:val="32"/>
          <w:highlight w:val="none"/>
        </w:rPr>
        <w:t>整改</w:t>
      </w:r>
      <w:r>
        <w:rPr>
          <w:rFonts w:hint="eastAsia" w:eastAsia="楷体_GB2312"/>
          <w:b/>
          <w:sz w:val="32"/>
          <w:szCs w:val="32"/>
          <w:highlight w:val="none"/>
          <w:lang w:val="en-US" w:eastAsia="zh-CN"/>
        </w:rPr>
        <w:t>评价和</w:t>
      </w:r>
      <w:r>
        <w:rPr>
          <w:rFonts w:eastAsia="楷体_GB2312"/>
          <w:b/>
          <w:sz w:val="32"/>
          <w:szCs w:val="32"/>
          <w:highlight w:val="none"/>
        </w:rPr>
        <w:t>审核</w:t>
      </w:r>
    </w:p>
    <w:p>
      <w:pPr>
        <w:adjustRightInd w:val="0"/>
        <w:snapToGrid w:val="0"/>
        <w:spacing w:line="560" w:lineRule="exact"/>
        <w:ind w:firstLine="640" w:firstLineChars="200"/>
        <w:rPr>
          <w:rFonts w:hint="default" w:eastAsia="仿宋_GB2312"/>
          <w:color w:val="000000"/>
          <w:sz w:val="32"/>
          <w:szCs w:val="32"/>
          <w:highlight w:val="none"/>
          <w:lang w:val="en-US" w:eastAsia="zh-CN"/>
        </w:rPr>
      </w:pPr>
      <w:r>
        <w:rPr>
          <w:rFonts w:eastAsia="仿宋_GB2312"/>
          <w:color w:val="000000"/>
          <w:sz w:val="32"/>
          <w:szCs w:val="32"/>
          <w:highlight w:val="none"/>
        </w:rPr>
        <w:t>缺陷整改完成后，缺陷整改责任部门负责人要对整改情况进行</w:t>
      </w:r>
      <w:r>
        <w:rPr>
          <w:rFonts w:hint="eastAsia" w:eastAsia="仿宋_GB2312"/>
          <w:color w:val="000000"/>
          <w:sz w:val="32"/>
          <w:szCs w:val="32"/>
          <w:highlight w:val="none"/>
        </w:rPr>
        <w:t>审核</w:t>
      </w:r>
      <w:r>
        <w:rPr>
          <w:rFonts w:eastAsia="仿宋_GB2312"/>
          <w:color w:val="000000"/>
          <w:sz w:val="32"/>
          <w:szCs w:val="32"/>
          <w:highlight w:val="none"/>
        </w:rPr>
        <w:t>，逐项形成整改结论。质量部门</w:t>
      </w:r>
      <w:r>
        <w:rPr>
          <w:rFonts w:hint="eastAsia" w:eastAsia="仿宋_GB2312"/>
          <w:color w:val="000000"/>
          <w:sz w:val="32"/>
          <w:szCs w:val="32"/>
          <w:highlight w:val="none"/>
        </w:rPr>
        <w:t>根据</w:t>
      </w:r>
      <w:r>
        <w:rPr>
          <w:rFonts w:eastAsia="仿宋_GB2312"/>
          <w:color w:val="000000"/>
          <w:sz w:val="32"/>
          <w:szCs w:val="32"/>
          <w:highlight w:val="none"/>
        </w:rPr>
        <w:t>汇总各责任部门的整改情况、整改结论，</w:t>
      </w:r>
      <w:r>
        <w:rPr>
          <w:rFonts w:hint="eastAsia" w:eastAsia="仿宋_GB2312"/>
          <w:color w:val="000000"/>
          <w:sz w:val="32"/>
          <w:szCs w:val="32"/>
          <w:highlight w:val="none"/>
          <w:lang w:val="en-US" w:eastAsia="zh-CN"/>
        </w:rPr>
        <w:t>对</w:t>
      </w:r>
      <w:r>
        <w:rPr>
          <w:rFonts w:eastAsia="仿宋_GB2312"/>
          <w:color w:val="000000"/>
          <w:sz w:val="32"/>
          <w:szCs w:val="32"/>
          <w:highlight w:val="none"/>
        </w:rPr>
        <w:t>整改措施的有效性逐项进行</w:t>
      </w:r>
      <w:r>
        <w:rPr>
          <w:rFonts w:hint="eastAsia" w:eastAsia="仿宋_GB2312"/>
          <w:color w:val="000000"/>
          <w:sz w:val="32"/>
          <w:szCs w:val="32"/>
          <w:highlight w:val="none"/>
          <w:lang w:val="en-US" w:eastAsia="zh-CN"/>
        </w:rPr>
        <w:t>评价，质量负责人进行审核。</w:t>
      </w:r>
    </w:p>
    <w:p>
      <w:pPr>
        <w:adjustRightInd w:val="0"/>
        <w:snapToGrid w:val="0"/>
        <w:spacing w:line="560" w:lineRule="exact"/>
        <w:ind w:firstLine="640" w:firstLineChars="200"/>
        <w:rPr>
          <w:rFonts w:eastAsia="仿宋_GB2312"/>
          <w:color w:val="000000"/>
          <w:sz w:val="32"/>
          <w:szCs w:val="32"/>
          <w:highlight w:val="none"/>
        </w:rPr>
      </w:pPr>
      <w:r>
        <w:rPr>
          <w:rFonts w:eastAsia="仿宋_GB2312"/>
          <w:color w:val="000000"/>
          <w:sz w:val="32"/>
          <w:szCs w:val="32"/>
          <w:highlight w:val="none"/>
        </w:rPr>
        <w:t>对于</w:t>
      </w:r>
      <w:r>
        <w:rPr>
          <w:rFonts w:hint="eastAsia" w:eastAsia="仿宋_GB2312"/>
          <w:color w:val="000000"/>
          <w:sz w:val="32"/>
          <w:szCs w:val="32"/>
          <w:highlight w:val="none"/>
          <w:lang w:val="en-US" w:eastAsia="zh-CN"/>
        </w:rPr>
        <w:t>评价和</w:t>
      </w:r>
      <w:r>
        <w:rPr>
          <w:rFonts w:hint="eastAsia" w:eastAsia="仿宋_GB2312"/>
          <w:color w:val="000000"/>
          <w:sz w:val="32"/>
          <w:szCs w:val="32"/>
          <w:highlight w:val="none"/>
        </w:rPr>
        <w:t>审核</w:t>
      </w:r>
      <w:r>
        <w:rPr>
          <w:rFonts w:eastAsia="仿宋_GB2312"/>
          <w:color w:val="000000"/>
          <w:sz w:val="32"/>
          <w:szCs w:val="32"/>
          <w:highlight w:val="none"/>
        </w:rPr>
        <w:t>结果认为整改措施不充分、整改结果不符合预期的，应要求</w:t>
      </w:r>
      <w:r>
        <w:rPr>
          <w:rFonts w:hint="eastAsia" w:eastAsia="仿宋_GB2312"/>
          <w:color w:val="000000"/>
          <w:sz w:val="32"/>
          <w:szCs w:val="32"/>
          <w:highlight w:val="none"/>
        </w:rPr>
        <w:t>和督促</w:t>
      </w:r>
      <w:r>
        <w:rPr>
          <w:rFonts w:eastAsia="仿宋_GB2312"/>
          <w:color w:val="000000"/>
          <w:sz w:val="32"/>
          <w:szCs w:val="32"/>
          <w:highlight w:val="none"/>
        </w:rPr>
        <w:t>相关责任部门采取进一步的整改措施，直至整改落实到位。</w:t>
      </w:r>
    </w:p>
    <w:p>
      <w:pPr>
        <w:adjustRightInd w:val="0"/>
        <w:snapToGrid w:val="0"/>
        <w:spacing w:line="560" w:lineRule="exact"/>
        <w:ind w:firstLine="640" w:firstLineChars="200"/>
        <w:rPr>
          <w:rFonts w:eastAsia="仿宋_GB2312"/>
          <w:color w:val="000000"/>
          <w:sz w:val="32"/>
          <w:szCs w:val="32"/>
          <w:highlight w:val="none"/>
        </w:rPr>
      </w:pPr>
      <w:r>
        <w:rPr>
          <w:rFonts w:eastAsia="仿宋_GB2312"/>
          <w:color w:val="000000"/>
          <w:sz w:val="32"/>
          <w:szCs w:val="32"/>
          <w:highlight w:val="none"/>
        </w:rPr>
        <w:t>如在整改时限内不能完成整改的，如验证、设备变更、</w:t>
      </w:r>
      <w:r>
        <w:rPr>
          <w:rFonts w:hint="eastAsia" w:eastAsia="仿宋_GB2312"/>
          <w:color w:val="000000"/>
          <w:sz w:val="32"/>
          <w:szCs w:val="32"/>
          <w:highlight w:val="none"/>
        </w:rPr>
        <w:t>库房</w:t>
      </w:r>
      <w:r>
        <w:rPr>
          <w:rFonts w:eastAsia="仿宋_GB2312"/>
          <w:color w:val="000000"/>
          <w:sz w:val="32"/>
          <w:szCs w:val="32"/>
          <w:highlight w:val="none"/>
        </w:rPr>
        <w:t>改扩建等，缺陷整改责任部门要制定切实可行的整改计划，并对未完成整改的缺陷可能继续产生的影响进行评估，确保所产生的风险可控、可接受。</w:t>
      </w:r>
    </w:p>
    <w:p>
      <w:pPr>
        <w:adjustRightInd w:val="0"/>
        <w:snapToGrid w:val="0"/>
        <w:spacing w:line="560" w:lineRule="exact"/>
        <w:ind w:firstLine="640" w:firstLineChars="200"/>
        <w:rPr>
          <w:rFonts w:eastAsia="黑体"/>
          <w:bCs/>
          <w:sz w:val="32"/>
          <w:szCs w:val="32"/>
          <w:highlight w:val="none"/>
        </w:rPr>
      </w:pPr>
      <w:r>
        <w:rPr>
          <w:rFonts w:eastAsia="黑体"/>
          <w:bCs/>
          <w:sz w:val="32"/>
          <w:szCs w:val="32"/>
          <w:highlight w:val="none"/>
        </w:rPr>
        <w:t>四、整改报告撰写和提交</w:t>
      </w:r>
    </w:p>
    <w:p>
      <w:pPr>
        <w:adjustRightInd w:val="0"/>
        <w:snapToGrid w:val="0"/>
        <w:spacing w:line="560" w:lineRule="exact"/>
        <w:ind w:firstLine="643" w:firstLineChars="200"/>
        <w:rPr>
          <w:rFonts w:eastAsia="楷体_GB2312"/>
          <w:b/>
          <w:sz w:val="32"/>
          <w:szCs w:val="32"/>
          <w:highlight w:val="none"/>
        </w:rPr>
      </w:pPr>
      <w:r>
        <w:rPr>
          <w:rFonts w:eastAsia="楷体_GB2312"/>
          <w:b/>
          <w:sz w:val="32"/>
          <w:szCs w:val="32"/>
          <w:highlight w:val="none"/>
        </w:rPr>
        <w:t>（一）</w:t>
      </w:r>
      <w:r>
        <w:rPr>
          <w:rFonts w:hint="eastAsia" w:eastAsia="楷体_GB2312"/>
          <w:b/>
          <w:sz w:val="32"/>
          <w:szCs w:val="32"/>
          <w:highlight w:val="none"/>
        </w:rPr>
        <w:t>整改报告撰写</w:t>
      </w:r>
    </w:p>
    <w:p>
      <w:pPr>
        <w:adjustRightInd w:val="0"/>
        <w:snapToGrid w:val="0"/>
        <w:spacing w:line="56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质量部门确认所有缺陷均已整改到位后，质量负责人组织撰写整改报告</w:t>
      </w:r>
      <w:r>
        <w:rPr>
          <w:rFonts w:hint="eastAsia" w:eastAsia="仿宋_GB2312"/>
          <w:color w:val="000000"/>
          <w:sz w:val="32"/>
          <w:szCs w:val="32"/>
          <w:highlight w:val="none"/>
          <w:lang w:eastAsia="zh-CN"/>
        </w:rPr>
        <w:t>，</w:t>
      </w:r>
      <w:r>
        <w:rPr>
          <w:rFonts w:hint="eastAsia" w:eastAsia="仿宋_GB2312"/>
          <w:color w:val="000000"/>
          <w:sz w:val="32"/>
          <w:szCs w:val="32"/>
          <w:highlight w:val="none"/>
          <w:lang w:val="en-US" w:eastAsia="zh-CN"/>
        </w:rPr>
        <w:t>企业负责人负责批准</w:t>
      </w:r>
      <w:r>
        <w:rPr>
          <w:rFonts w:hint="eastAsia" w:eastAsia="仿宋_GB2312"/>
          <w:color w:val="000000"/>
          <w:sz w:val="32"/>
          <w:szCs w:val="32"/>
          <w:highlight w:val="none"/>
        </w:rPr>
        <w:t>。整改报告要确保内容真实完整，表述清晰准确，如实反映整改实施情况，包括报告正文和附件两部分。报告正文按照监督检查发现的缺陷项目顺序逐条表述缺陷的整改情况，至少包含缺陷描述、原因分析、风险评估、</w:t>
      </w:r>
      <w:r>
        <w:rPr>
          <w:rFonts w:hint="eastAsia" w:eastAsia="仿宋_GB2312"/>
          <w:color w:val="000000"/>
          <w:sz w:val="32"/>
          <w:szCs w:val="32"/>
          <w:highlight w:val="none"/>
          <w:lang w:val="en-US" w:eastAsia="zh-CN"/>
        </w:rPr>
        <w:t>风险控制、</w:t>
      </w:r>
      <w:r>
        <w:rPr>
          <w:rFonts w:hint="eastAsia" w:eastAsia="仿宋_GB2312"/>
          <w:color w:val="000000"/>
          <w:sz w:val="32"/>
          <w:szCs w:val="32"/>
          <w:highlight w:val="none"/>
        </w:rPr>
        <w:t>整改措施、完成时间等内容，可用文字表述，也可采用表格形式说明。附件是缺陷整改过程中产生的文件、记录、图片等证明性资料，随整改报告一并归档。</w:t>
      </w:r>
    </w:p>
    <w:p>
      <w:pPr>
        <w:adjustRightInd w:val="0"/>
        <w:snapToGrid w:val="0"/>
        <w:spacing w:line="560" w:lineRule="exact"/>
        <w:ind w:left="420" w:leftChars="200"/>
        <w:rPr>
          <w:rFonts w:eastAsia="楷体_GB2312"/>
          <w:b/>
          <w:sz w:val="32"/>
          <w:szCs w:val="32"/>
          <w:highlight w:val="none"/>
        </w:rPr>
      </w:pPr>
      <w:r>
        <w:rPr>
          <w:rFonts w:hint="eastAsia" w:eastAsia="楷体_GB2312"/>
          <w:b/>
          <w:sz w:val="32"/>
          <w:szCs w:val="32"/>
          <w:highlight w:val="none"/>
        </w:rPr>
        <w:t>（二）</w:t>
      </w:r>
      <w:r>
        <w:rPr>
          <w:rFonts w:eastAsia="楷体_GB2312"/>
          <w:b/>
          <w:sz w:val="32"/>
          <w:szCs w:val="32"/>
          <w:highlight w:val="none"/>
        </w:rPr>
        <w:t>整改报告提交</w:t>
      </w:r>
    </w:p>
    <w:p>
      <w:pPr>
        <w:adjustRightInd w:val="0"/>
        <w:snapToGrid w:val="0"/>
        <w:spacing w:line="560" w:lineRule="exact"/>
        <w:ind w:firstLine="640" w:firstLineChars="200"/>
        <w:rPr>
          <w:rFonts w:eastAsia="楷体_GB2312"/>
          <w:b/>
          <w:sz w:val="32"/>
          <w:szCs w:val="32"/>
          <w:highlight w:val="none"/>
        </w:rPr>
      </w:pPr>
      <w:r>
        <w:rPr>
          <w:rFonts w:eastAsia="仿宋_GB2312"/>
          <w:color w:val="000000"/>
          <w:sz w:val="32"/>
          <w:szCs w:val="32"/>
          <w:highlight w:val="none"/>
        </w:rPr>
        <w:t>企业在规定的时间内向辽宁省药品监督管理局报送整改报告</w:t>
      </w:r>
      <w:r>
        <w:rPr>
          <w:rFonts w:hint="eastAsia" w:eastAsia="仿宋_GB2312"/>
          <w:color w:val="000000"/>
          <w:sz w:val="32"/>
          <w:szCs w:val="32"/>
          <w:highlight w:val="none"/>
        </w:rPr>
        <w:t>和</w:t>
      </w:r>
      <w:r>
        <w:rPr>
          <w:rFonts w:eastAsia="仿宋_GB2312"/>
          <w:color w:val="000000"/>
          <w:sz w:val="32"/>
          <w:szCs w:val="32"/>
          <w:highlight w:val="none"/>
        </w:rPr>
        <w:t>相关证明性</w:t>
      </w:r>
      <w:r>
        <w:rPr>
          <w:rFonts w:hint="eastAsia" w:eastAsia="仿宋_GB2312"/>
          <w:color w:val="000000"/>
          <w:sz w:val="32"/>
          <w:szCs w:val="32"/>
          <w:highlight w:val="none"/>
        </w:rPr>
        <w:t>资料</w:t>
      </w:r>
      <w:r>
        <w:rPr>
          <w:rFonts w:eastAsia="仿宋_GB2312"/>
          <w:color w:val="000000"/>
          <w:sz w:val="32"/>
          <w:szCs w:val="32"/>
          <w:highlight w:val="none"/>
        </w:rPr>
        <w:t>。</w:t>
      </w:r>
      <w:r>
        <w:rPr>
          <w:rFonts w:eastAsia="仿宋_GB2312"/>
          <w:sz w:val="32"/>
          <w:szCs w:val="32"/>
          <w:highlight w:val="none"/>
        </w:rPr>
        <w:t>对于在规定时限内不能完成整改的，</w:t>
      </w:r>
      <w:r>
        <w:rPr>
          <w:rFonts w:eastAsia="仿宋_GB2312"/>
          <w:color w:val="000000"/>
          <w:sz w:val="32"/>
          <w:szCs w:val="32"/>
          <w:highlight w:val="none"/>
        </w:rPr>
        <w:t>企业可将制定的整改计划作为对应缺陷的阶段整改完成情况列入整改报告，并说明相关影响的评估结果及临时采取的控制措施。</w:t>
      </w:r>
      <w:r>
        <w:rPr>
          <w:rFonts w:eastAsia="仿宋_GB2312"/>
          <w:sz w:val="32"/>
          <w:szCs w:val="32"/>
          <w:highlight w:val="none"/>
        </w:rPr>
        <w:t>在整改计划全部完成后，</w:t>
      </w:r>
      <w:r>
        <w:rPr>
          <w:rFonts w:eastAsia="仿宋_GB2312"/>
          <w:color w:val="000000"/>
          <w:sz w:val="32"/>
          <w:szCs w:val="32"/>
          <w:highlight w:val="none"/>
        </w:rPr>
        <w:t>企业应按照本指南要求</w:t>
      </w:r>
      <w:r>
        <w:rPr>
          <w:rFonts w:eastAsia="仿宋_GB2312"/>
          <w:sz w:val="32"/>
          <w:szCs w:val="32"/>
          <w:highlight w:val="none"/>
        </w:rPr>
        <w:t>形成补充整改报告，经</w:t>
      </w:r>
      <w:r>
        <w:rPr>
          <w:rFonts w:hint="eastAsia" w:eastAsia="仿宋_GB2312"/>
          <w:color w:val="000000"/>
          <w:sz w:val="32"/>
          <w:szCs w:val="32"/>
          <w:highlight w:val="none"/>
          <w:lang w:val="en-US" w:eastAsia="zh-CN"/>
        </w:rPr>
        <w:t>企业负责人</w:t>
      </w:r>
      <w:r>
        <w:rPr>
          <w:rFonts w:eastAsia="仿宋_GB2312"/>
          <w:color w:val="000000"/>
          <w:sz w:val="32"/>
          <w:szCs w:val="32"/>
          <w:highlight w:val="none"/>
        </w:rPr>
        <w:t>批准后</w:t>
      </w:r>
      <w:r>
        <w:rPr>
          <w:rFonts w:eastAsia="仿宋_GB2312"/>
          <w:sz w:val="32"/>
          <w:szCs w:val="32"/>
          <w:highlight w:val="none"/>
        </w:rPr>
        <w:t>报送</w:t>
      </w:r>
      <w:r>
        <w:rPr>
          <w:rFonts w:eastAsia="仿宋_GB2312"/>
          <w:color w:val="000000"/>
          <w:sz w:val="32"/>
          <w:szCs w:val="32"/>
          <w:highlight w:val="none"/>
        </w:rPr>
        <w:t>至相应的监管部门</w:t>
      </w:r>
      <w:r>
        <w:rPr>
          <w:rFonts w:eastAsia="仿宋_GB2312"/>
          <w:sz w:val="32"/>
          <w:szCs w:val="32"/>
          <w:highlight w:val="none"/>
        </w:rPr>
        <w:t>。</w:t>
      </w:r>
      <w:r>
        <w:rPr>
          <w:rFonts w:eastAsia="仿宋_GB2312"/>
          <w:color w:val="000000"/>
          <w:sz w:val="32"/>
          <w:szCs w:val="32"/>
          <w:highlight w:val="none"/>
        </w:rPr>
        <w:t>整改涉及到行政许可或备案等事项的，企业应按照法律法规要求进行相应的许可或备案。</w:t>
      </w:r>
    </w:p>
    <w:p>
      <w:pPr>
        <w:adjustRightInd w:val="0"/>
        <w:snapToGrid w:val="0"/>
        <w:spacing w:line="560" w:lineRule="exact"/>
        <w:ind w:firstLine="640" w:firstLineChars="200"/>
        <w:rPr>
          <w:rFonts w:eastAsia="仿宋_GB2312"/>
          <w:color w:val="000000"/>
          <w:sz w:val="32"/>
          <w:szCs w:val="32"/>
          <w:highlight w:val="none"/>
        </w:rPr>
      </w:pPr>
      <w:r>
        <w:rPr>
          <w:rFonts w:eastAsia="仿宋_GB2312"/>
          <w:color w:val="000000"/>
          <w:sz w:val="32"/>
          <w:szCs w:val="32"/>
          <w:highlight w:val="none"/>
        </w:rPr>
        <w:t>为有助于企业理解和把握本指南关于</w:t>
      </w:r>
      <w:r>
        <w:rPr>
          <w:rFonts w:hint="eastAsia" w:eastAsia="仿宋_GB2312"/>
          <w:color w:val="000000"/>
          <w:sz w:val="32"/>
          <w:szCs w:val="32"/>
          <w:highlight w:val="none"/>
        </w:rPr>
        <w:t>原因</w:t>
      </w:r>
      <w:r>
        <w:rPr>
          <w:rFonts w:eastAsia="仿宋_GB2312"/>
          <w:color w:val="000000"/>
          <w:sz w:val="32"/>
          <w:szCs w:val="32"/>
          <w:highlight w:val="none"/>
        </w:rPr>
        <w:t>分析、</w:t>
      </w:r>
      <w:r>
        <w:rPr>
          <w:rFonts w:hint="eastAsia" w:eastAsia="仿宋_GB2312"/>
          <w:color w:val="000000"/>
          <w:sz w:val="32"/>
          <w:szCs w:val="32"/>
          <w:highlight w:val="none"/>
          <w:lang w:val="en-US" w:eastAsia="zh-CN"/>
        </w:rPr>
        <w:t>风险评估、</w:t>
      </w:r>
      <w:r>
        <w:rPr>
          <w:rFonts w:eastAsia="仿宋_GB2312"/>
          <w:color w:val="000000"/>
          <w:sz w:val="32"/>
          <w:szCs w:val="32"/>
          <w:highlight w:val="none"/>
        </w:rPr>
        <w:t>整改措施、整改审核</w:t>
      </w:r>
      <w:r>
        <w:rPr>
          <w:rFonts w:hint="eastAsia" w:eastAsia="仿宋_GB2312"/>
          <w:color w:val="000000"/>
          <w:sz w:val="32"/>
          <w:szCs w:val="32"/>
          <w:highlight w:val="none"/>
          <w:lang w:val="en-US" w:eastAsia="zh-CN"/>
        </w:rPr>
        <w:t>批准</w:t>
      </w:r>
      <w:r>
        <w:rPr>
          <w:rFonts w:eastAsia="仿宋_GB2312"/>
          <w:color w:val="000000"/>
          <w:sz w:val="32"/>
          <w:szCs w:val="32"/>
          <w:highlight w:val="none"/>
        </w:rPr>
        <w:t>等环节的规范要求，在整改实施过程中有所遵循和参考，通过</w:t>
      </w:r>
      <w:r>
        <w:rPr>
          <w:rFonts w:hint="eastAsia" w:eastAsia="仿宋_GB2312"/>
          <w:color w:val="000000"/>
          <w:sz w:val="32"/>
          <w:szCs w:val="32"/>
          <w:highlight w:val="none"/>
        </w:rPr>
        <w:t>虚拟药品经营</w:t>
      </w:r>
      <w:r>
        <w:rPr>
          <w:rFonts w:eastAsia="仿宋_GB2312"/>
          <w:color w:val="000000"/>
          <w:sz w:val="32"/>
          <w:szCs w:val="32"/>
          <w:highlight w:val="none"/>
        </w:rPr>
        <w:t>企业</w:t>
      </w:r>
      <w:r>
        <w:rPr>
          <w:rFonts w:hint="eastAsia" w:eastAsia="仿宋_GB2312"/>
          <w:color w:val="000000"/>
          <w:sz w:val="32"/>
          <w:szCs w:val="32"/>
          <w:highlight w:val="none"/>
        </w:rPr>
        <w:t>的</w:t>
      </w:r>
      <w:r>
        <w:rPr>
          <w:rFonts w:eastAsia="仿宋_GB2312"/>
          <w:color w:val="000000"/>
          <w:sz w:val="32"/>
          <w:szCs w:val="32"/>
          <w:highlight w:val="none"/>
        </w:rPr>
        <w:t>缺陷案例进行具体阐述</w:t>
      </w:r>
      <w:r>
        <w:rPr>
          <w:rFonts w:hint="eastAsia" w:eastAsia="仿宋_GB2312"/>
          <w:color w:val="000000"/>
          <w:sz w:val="32"/>
          <w:szCs w:val="32"/>
          <w:highlight w:val="none"/>
        </w:rPr>
        <w:t>（</w:t>
      </w:r>
      <w:r>
        <w:rPr>
          <w:rFonts w:eastAsia="仿宋_GB2312"/>
          <w:color w:val="000000"/>
          <w:sz w:val="32"/>
          <w:szCs w:val="32"/>
          <w:highlight w:val="none"/>
        </w:rPr>
        <w:t>详见附件</w:t>
      </w:r>
      <w:r>
        <w:rPr>
          <w:rFonts w:hint="eastAsia" w:eastAsia="仿宋_GB2312"/>
          <w:color w:val="000000"/>
          <w:sz w:val="32"/>
          <w:szCs w:val="32"/>
          <w:highlight w:val="none"/>
        </w:rPr>
        <w:t>）</w:t>
      </w:r>
      <w:r>
        <w:rPr>
          <w:rFonts w:eastAsia="仿宋_GB2312"/>
          <w:color w:val="000000"/>
          <w:sz w:val="32"/>
          <w:szCs w:val="32"/>
          <w:highlight w:val="none"/>
        </w:rPr>
        <w:t>。</w:t>
      </w:r>
    </w:p>
    <w:p>
      <w:pPr>
        <w:adjustRightInd w:val="0"/>
        <w:snapToGrid w:val="0"/>
        <w:spacing w:line="560" w:lineRule="exact"/>
        <w:ind w:firstLine="640" w:firstLineChars="200"/>
        <w:rPr>
          <w:rFonts w:eastAsia="仿宋_GB2312"/>
          <w:sz w:val="32"/>
          <w:szCs w:val="32"/>
          <w:highlight w:val="none"/>
        </w:rPr>
      </w:pPr>
    </w:p>
    <w:p>
      <w:pPr>
        <w:adjustRightInd w:val="0"/>
        <w:snapToGrid w:val="0"/>
        <w:spacing w:line="560" w:lineRule="exact"/>
        <w:ind w:firstLine="640" w:firstLineChars="200"/>
        <w:rPr>
          <w:rFonts w:hint="eastAsia" w:eastAsia="仿宋_GB2312"/>
          <w:sz w:val="32"/>
          <w:szCs w:val="32"/>
          <w:highlight w:val="none"/>
        </w:rPr>
      </w:pPr>
    </w:p>
    <w:p>
      <w:pPr>
        <w:adjustRightInd w:val="0"/>
        <w:snapToGrid w:val="0"/>
        <w:spacing w:line="560" w:lineRule="exact"/>
        <w:ind w:firstLine="640" w:firstLineChars="200"/>
        <w:rPr>
          <w:rFonts w:hint="eastAsia" w:eastAsia="仿宋_GB2312"/>
          <w:sz w:val="32"/>
          <w:szCs w:val="32"/>
          <w:highlight w:val="none"/>
        </w:rPr>
      </w:pPr>
    </w:p>
    <w:p>
      <w:pPr>
        <w:adjustRightInd w:val="0"/>
        <w:snapToGrid w:val="0"/>
        <w:spacing w:line="560" w:lineRule="exact"/>
        <w:ind w:firstLine="640" w:firstLineChars="200"/>
        <w:rPr>
          <w:rFonts w:hint="eastAsia" w:eastAsia="仿宋_GB2312"/>
          <w:sz w:val="32"/>
          <w:szCs w:val="32"/>
          <w:highlight w:val="none"/>
        </w:rPr>
      </w:pPr>
    </w:p>
    <w:p>
      <w:pPr>
        <w:adjustRightInd w:val="0"/>
        <w:snapToGrid w:val="0"/>
        <w:spacing w:line="560" w:lineRule="exact"/>
        <w:ind w:firstLine="640" w:firstLineChars="200"/>
        <w:rPr>
          <w:rFonts w:hint="eastAsia" w:eastAsia="仿宋_GB2312"/>
          <w:sz w:val="32"/>
          <w:szCs w:val="32"/>
          <w:highlight w:val="none"/>
        </w:rPr>
      </w:pPr>
    </w:p>
    <w:p>
      <w:pPr>
        <w:adjustRightInd w:val="0"/>
        <w:snapToGrid w:val="0"/>
        <w:spacing w:line="560" w:lineRule="exact"/>
        <w:ind w:firstLine="640" w:firstLineChars="200"/>
        <w:rPr>
          <w:rFonts w:hint="eastAsia" w:eastAsia="仿宋_GB2312"/>
          <w:sz w:val="32"/>
          <w:szCs w:val="32"/>
          <w:highlight w:val="none"/>
        </w:rPr>
      </w:pPr>
    </w:p>
    <w:p>
      <w:pPr>
        <w:adjustRightInd w:val="0"/>
        <w:snapToGrid w:val="0"/>
        <w:spacing w:line="560" w:lineRule="exact"/>
        <w:ind w:firstLine="640" w:firstLineChars="200"/>
        <w:rPr>
          <w:rFonts w:hint="eastAsia" w:eastAsia="仿宋_GB2312"/>
          <w:sz w:val="32"/>
          <w:szCs w:val="32"/>
          <w:highlight w:val="none"/>
        </w:rPr>
      </w:pPr>
      <w:bookmarkStart w:id="0" w:name="_GoBack"/>
      <w:bookmarkEnd w:id="0"/>
    </w:p>
    <w:p>
      <w:pPr>
        <w:adjustRightInd w:val="0"/>
        <w:snapToGrid w:val="0"/>
        <w:spacing w:line="600" w:lineRule="exact"/>
        <w:jc w:val="left"/>
        <w:rPr>
          <w:rFonts w:hint="eastAsia" w:eastAsia="仿宋_GB2312"/>
          <w:sz w:val="32"/>
          <w:szCs w:val="32"/>
        </w:rPr>
      </w:pPr>
      <w:r>
        <w:rPr>
          <w:rFonts w:hint="eastAsia" w:eastAsia="仿宋_GB2312"/>
          <w:sz w:val="32"/>
          <w:szCs w:val="32"/>
        </w:rPr>
        <w:t>附件</w:t>
      </w:r>
    </w:p>
    <w:p>
      <w:pPr>
        <w:adjustRightInd w:val="0"/>
        <w:snapToGrid w:val="0"/>
        <w:spacing w:line="600" w:lineRule="exact"/>
        <w:jc w:val="center"/>
        <w:rPr>
          <w:rFonts w:hint="eastAsia" w:ascii="方正小标宋_GBK" w:hAnsi="方正小标宋_GBK" w:eastAsia="方正小标宋_GBK" w:cs="方正小标宋_GBK"/>
          <w:sz w:val="40"/>
          <w:szCs w:val="40"/>
        </w:rPr>
      </w:pPr>
    </w:p>
    <w:p>
      <w:pPr>
        <w:adjustRightInd w:val="0"/>
        <w:snapToGrid w:val="0"/>
        <w:spacing w:line="600" w:lineRule="exact"/>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辽宁省XX药品经营企业整改报告</w:t>
      </w:r>
    </w:p>
    <w:p>
      <w:pPr>
        <w:adjustRightInd w:val="0"/>
        <w:snapToGrid w:val="0"/>
        <w:spacing w:line="600" w:lineRule="exact"/>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（参考示例）</w:t>
      </w:r>
    </w:p>
    <w:p>
      <w:pPr>
        <w:adjustRightInd w:val="0"/>
        <w:snapToGrid w:val="0"/>
        <w:spacing w:line="600" w:lineRule="exact"/>
        <w:jc w:val="center"/>
        <w:rPr>
          <w:rFonts w:hint="eastAsia" w:eastAsia="仿宋_GB2312"/>
          <w:sz w:val="32"/>
          <w:szCs w:val="32"/>
        </w:rPr>
      </w:pP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年*月*日，辽宁省药品监督管理局对我公司进行现场检查，发现缺陷项目*项，其中严重缺陷*项、主要缺陷*项、一般缺陷*项。我公司按照岗位职责，由质量负责人负责，质量部牵头，组织销售部、储运部、采购部、**部对相关缺陷进行整改。在各部门根据本部门职责调查的基础上，于*月*日召开缺陷原因分析会，对缺陷问题进行讨论、评估并提出具体整改措施。*月*日，质量负责人组织质量部对各项整改措施的实施情况进行跟踪评估，所有缺陷项目整改完成。具体如下：</w:t>
      </w:r>
    </w:p>
    <w:p>
      <w:pPr>
        <w:adjustRightInd w:val="0"/>
        <w:snapToGrid w:val="0"/>
        <w:spacing w:line="600" w:lineRule="exact"/>
        <w:rPr>
          <w:rFonts w:hint="eastAsia" w:eastAsia="仿宋_GB2312"/>
          <w:sz w:val="32"/>
          <w:szCs w:val="32"/>
        </w:rPr>
      </w:pPr>
    </w:p>
    <w:p>
      <w:pPr>
        <w:adjustRightInd w:val="0"/>
        <w:snapToGrid w:val="0"/>
        <w:spacing w:line="600" w:lineRule="exact"/>
        <w:rPr>
          <w:rFonts w:eastAsia="仿宋_GB2312"/>
          <w:sz w:val="32"/>
          <w:szCs w:val="32"/>
        </w:rPr>
      </w:pPr>
      <w:r>
        <w:rPr>
          <w:rFonts w:eastAsia="仿宋_GB2312"/>
          <w:sz w:val="32"/>
          <w:szCs w:val="32"/>
        </w:rPr>
        <w:br w:type="page"/>
      </w:r>
    </w:p>
    <w:tbl>
      <w:tblPr>
        <w:tblStyle w:val="3"/>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585"/>
        <w:gridCol w:w="1666"/>
        <w:gridCol w:w="2577"/>
        <w:gridCol w:w="106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5000" w:type="pct"/>
            <w:gridSpan w:val="4"/>
            <w:tcBorders>
              <w:tl2br w:val="nil"/>
              <w:tr2bl w:val="nil"/>
            </w:tcBorders>
            <w:noWrap w:val="0"/>
            <w:vAlign w:val="center"/>
          </w:tcPr>
          <w:p>
            <w:pPr>
              <w:widowControl/>
              <w:jc w:val="left"/>
              <w:rPr>
                <w:rFonts w:ascii="楷体_GB2312" w:hAnsi="宋体" w:eastAsia="楷体_GB2312" w:cs="宋体"/>
                <w:color w:val="000000"/>
                <w:kern w:val="0"/>
                <w:sz w:val="28"/>
                <w:szCs w:val="28"/>
              </w:rPr>
            </w:pPr>
            <w:r>
              <w:rPr>
                <w:rFonts w:hint="eastAsia" w:ascii="楷体_GB2312" w:hAnsi="宋体" w:eastAsia="楷体_GB2312" w:cs="宋体"/>
                <w:b/>
                <w:bCs/>
                <w:color w:val="000000"/>
                <w:kern w:val="0"/>
                <w:sz w:val="28"/>
                <w:szCs w:val="28"/>
              </w:rPr>
              <w:t>缺陷1描述：</w:t>
            </w:r>
            <w:r>
              <w:rPr>
                <w:rFonts w:hint="eastAsia" w:ascii="楷体_GB2312" w:hAnsi="宋体" w:eastAsia="楷体_GB2312" w:cs="宋体"/>
                <w:color w:val="000000"/>
                <w:kern w:val="0"/>
                <w:sz w:val="28"/>
                <w:szCs w:val="28"/>
              </w:rPr>
              <w:t>现场检查发现零货区有应遮光保存的药品未遮光保存。</w:t>
            </w:r>
            <w:r>
              <w:rPr>
                <w:rFonts w:hint="eastAsia" w:ascii="楷体_GB2312" w:hAnsi="宋体" w:eastAsia="楷体_GB2312" w:cs="宋体"/>
                <w:kern w:val="0"/>
                <w:sz w:val="28"/>
                <w:szCs w:val="28"/>
              </w:rPr>
              <w:t>（08305）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8" w:hRule="atLeast"/>
        </w:trPr>
        <w:tc>
          <w:tcPr>
            <w:tcW w:w="2016"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原因分析</w:t>
            </w:r>
          </w:p>
        </w:tc>
        <w:tc>
          <w:tcPr>
            <w:tcW w:w="936"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整改措施</w:t>
            </w:r>
          </w:p>
        </w:tc>
        <w:tc>
          <w:tcPr>
            <w:tcW w:w="1449"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证明资料（附件）</w:t>
            </w:r>
          </w:p>
        </w:tc>
        <w:tc>
          <w:tcPr>
            <w:tcW w:w="597"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责任部门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09" w:hRule="atLeast"/>
        </w:trPr>
        <w:tc>
          <w:tcPr>
            <w:tcW w:w="201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保管员不清楚相关规定</w:t>
            </w:r>
          </w:p>
        </w:tc>
        <w:tc>
          <w:tcPr>
            <w:tcW w:w="936"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对保管员进行SOP培训</w:t>
            </w:r>
          </w:p>
        </w:tc>
        <w:tc>
          <w:tcPr>
            <w:tcW w:w="144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培训资料（培训记录、课件、考核试卷等）</w:t>
            </w:r>
          </w:p>
        </w:tc>
        <w:tc>
          <w:tcPr>
            <w:tcW w:w="597"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201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保管员质量意识差，不屑于遵守规定</w:t>
            </w:r>
          </w:p>
        </w:tc>
        <w:tc>
          <w:tcPr>
            <w:tcW w:w="936"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培训、调离、转岗</w:t>
            </w:r>
          </w:p>
        </w:tc>
        <w:tc>
          <w:tcPr>
            <w:tcW w:w="144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1.培训资料</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2.调离/转岗通知文件</w:t>
            </w:r>
          </w:p>
        </w:tc>
        <w:tc>
          <w:tcPr>
            <w:tcW w:w="597"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1" w:hRule="atLeast"/>
        </w:trPr>
        <w:tc>
          <w:tcPr>
            <w:tcW w:w="201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计算机系统应对“遮光”保存条件进行提示，而实际未能提示</w:t>
            </w:r>
          </w:p>
        </w:tc>
        <w:tc>
          <w:tcPr>
            <w:tcW w:w="936"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完善计算机系统功能</w:t>
            </w:r>
          </w:p>
        </w:tc>
        <w:tc>
          <w:tcPr>
            <w:tcW w:w="144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修改前</w:t>
            </w:r>
            <w:r>
              <w:rPr>
                <w:rFonts w:hint="eastAsia" w:ascii="楷体_GB2312" w:hAnsi="宋体" w:eastAsia="楷体_GB2312" w:cs="宋体"/>
                <w:color w:val="000000"/>
                <w:kern w:val="0"/>
                <w:sz w:val="24"/>
                <w:lang w:val="en-US" w:eastAsia="zh-CN"/>
              </w:rPr>
              <w:t>和修改</w:t>
            </w:r>
            <w:r>
              <w:rPr>
                <w:rFonts w:hint="eastAsia" w:ascii="楷体_GB2312" w:hAnsi="宋体" w:eastAsia="楷体_GB2312" w:cs="宋体"/>
                <w:color w:val="000000"/>
                <w:kern w:val="0"/>
                <w:sz w:val="24"/>
              </w:rPr>
              <w:t>后的功能证明文件/截图</w:t>
            </w:r>
          </w:p>
        </w:tc>
        <w:tc>
          <w:tcPr>
            <w:tcW w:w="597"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信息部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99" w:hRule="atLeast"/>
        </w:trPr>
        <w:tc>
          <w:tcPr>
            <w:tcW w:w="201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SOP文件未对“遮光”保存要求及操作活动进行规定</w:t>
            </w:r>
          </w:p>
        </w:tc>
        <w:tc>
          <w:tcPr>
            <w:tcW w:w="936"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修改SOP文件</w:t>
            </w:r>
          </w:p>
        </w:tc>
        <w:tc>
          <w:tcPr>
            <w:tcW w:w="144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修改前</w:t>
            </w:r>
            <w:r>
              <w:rPr>
                <w:rFonts w:hint="eastAsia" w:ascii="楷体_GB2312" w:hAnsi="宋体" w:eastAsia="楷体_GB2312" w:cs="宋体"/>
                <w:color w:val="000000"/>
                <w:kern w:val="0"/>
                <w:sz w:val="24"/>
                <w:lang w:val="en-US" w:eastAsia="zh-CN"/>
              </w:rPr>
              <w:t>和修改</w:t>
            </w:r>
            <w:r>
              <w:rPr>
                <w:rFonts w:hint="eastAsia" w:ascii="楷体_GB2312" w:hAnsi="宋体" w:eastAsia="楷体_GB2312" w:cs="宋体"/>
                <w:color w:val="000000"/>
                <w:kern w:val="0"/>
                <w:sz w:val="24"/>
              </w:rPr>
              <w:t>后的文件（突出标注修改内容）</w:t>
            </w:r>
          </w:p>
        </w:tc>
        <w:tc>
          <w:tcPr>
            <w:tcW w:w="597"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19" w:hRule="atLeast"/>
        </w:trPr>
        <w:tc>
          <w:tcPr>
            <w:tcW w:w="201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未将相关SOP文件发放至保管员</w:t>
            </w:r>
          </w:p>
        </w:tc>
        <w:tc>
          <w:tcPr>
            <w:tcW w:w="936"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发放文件</w:t>
            </w:r>
          </w:p>
        </w:tc>
        <w:tc>
          <w:tcPr>
            <w:tcW w:w="144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带有签名的文件发放记录</w:t>
            </w:r>
          </w:p>
        </w:tc>
        <w:tc>
          <w:tcPr>
            <w:tcW w:w="597"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06" w:hRule="atLeast"/>
        </w:trPr>
        <w:tc>
          <w:tcPr>
            <w:tcW w:w="201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未配备遮光用品、用具</w:t>
            </w:r>
          </w:p>
        </w:tc>
        <w:tc>
          <w:tcPr>
            <w:tcW w:w="936"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配置相关用品、用具</w:t>
            </w:r>
          </w:p>
        </w:tc>
        <w:tc>
          <w:tcPr>
            <w:tcW w:w="144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1.已配置用品、用具照片</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2.已采取措施的照片</w:t>
            </w:r>
          </w:p>
        </w:tc>
        <w:tc>
          <w:tcPr>
            <w:tcW w:w="597"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储运部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93" w:hRule="atLeast"/>
        </w:trPr>
        <w:tc>
          <w:tcPr>
            <w:tcW w:w="2953" w:type="pct"/>
            <w:gridSpan w:val="2"/>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b/>
                <w:bCs/>
                <w:color w:val="000000"/>
                <w:kern w:val="0"/>
                <w:sz w:val="24"/>
              </w:rPr>
              <w:t>风险评估：</w:t>
            </w:r>
            <w:r>
              <w:rPr>
                <w:rFonts w:hint="eastAsia" w:ascii="楷体_GB2312" w:hAnsi="宋体" w:eastAsia="楷体_GB2312" w:cs="宋体"/>
                <w:color w:val="000000"/>
                <w:kern w:val="0"/>
                <w:sz w:val="24"/>
              </w:rPr>
              <w:t>对药品质量可能存在影响</w:t>
            </w:r>
          </w:p>
        </w:tc>
        <w:tc>
          <w:tcPr>
            <w:tcW w:w="2046" w:type="pct"/>
            <w:gridSpan w:val="2"/>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b/>
                <w:bCs/>
                <w:color w:val="000000"/>
                <w:kern w:val="0"/>
                <w:sz w:val="24"/>
              </w:rPr>
              <w:t>完成时间：</w:t>
            </w:r>
            <w:r>
              <w:rPr>
                <w:rFonts w:hint="eastAsia" w:ascii="楷体_GB2312" w:hAnsi="宋体" w:eastAsia="楷体_GB2312" w:cs="宋体"/>
                <w:color w:val="000000"/>
                <w:kern w:val="0"/>
                <w:sz w:val="24"/>
              </w:rPr>
              <w:t>*月*日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55" w:hRule="atLeast"/>
        </w:trPr>
        <w:tc>
          <w:tcPr>
            <w:tcW w:w="5000" w:type="pct"/>
            <w:gridSpan w:val="4"/>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b/>
                <w:bCs/>
                <w:color w:val="000000"/>
                <w:kern w:val="0"/>
                <w:sz w:val="24"/>
              </w:rPr>
              <w:t>风险控制：</w:t>
            </w:r>
            <w:r>
              <w:rPr>
                <w:rFonts w:hint="eastAsia" w:ascii="楷体_GB2312" w:hAnsi="宋体" w:eastAsia="楷体_GB2312" w:cs="宋体"/>
                <w:color w:val="000000"/>
                <w:kern w:val="0"/>
                <w:sz w:val="24"/>
              </w:rPr>
              <w:t>通过整改措施的实施，对一般缺陷进行纠正和预防，使光照对药品质量影响的风险降到最低，控制了药品质量隐患，从而全方位地保证药品质量。</w:t>
            </w:r>
          </w:p>
        </w:tc>
      </w:tr>
    </w:tbl>
    <w:p>
      <w:pPr>
        <w:adjustRightInd w:val="0"/>
        <w:snapToGrid w:val="0"/>
        <w:spacing w:line="600" w:lineRule="exact"/>
        <w:rPr>
          <w:rFonts w:eastAsia="仿宋_GB2312"/>
          <w:sz w:val="32"/>
          <w:szCs w:val="32"/>
        </w:rPr>
      </w:pPr>
    </w:p>
    <w:p>
      <w:pPr>
        <w:adjustRightInd w:val="0"/>
        <w:snapToGrid w:val="0"/>
        <w:spacing w:line="600" w:lineRule="exact"/>
        <w:rPr>
          <w:rFonts w:eastAsia="仿宋_GB2312"/>
          <w:sz w:val="32"/>
          <w:szCs w:val="32"/>
        </w:rPr>
      </w:pPr>
      <w:r>
        <w:rPr>
          <w:rFonts w:eastAsia="仿宋_GB2312"/>
          <w:sz w:val="32"/>
          <w:szCs w:val="32"/>
        </w:rPr>
        <w:br w:type="page"/>
      </w:r>
    </w:p>
    <w:tbl>
      <w:tblPr>
        <w:tblStyle w:val="3"/>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138"/>
        <w:gridCol w:w="2113"/>
        <w:gridCol w:w="2409"/>
        <w:gridCol w:w="12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5000" w:type="pct"/>
            <w:gridSpan w:val="4"/>
            <w:tcBorders>
              <w:tl2br w:val="nil"/>
              <w:tr2bl w:val="nil"/>
            </w:tcBorders>
            <w:noWrap w:val="0"/>
            <w:vAlign w:val="center"/>
          </w:tcPr>
          <w:p>
            <w:pPr>
              <w:widowControl/>
              <w:jc w:val="left"/>
              <w:rPr>
                <w:rFonts w:ascii="楷体_GB2312" w:hAnsi="宋体" w:eastAsia="楷体_GB2312" w:cs="宋体"/>
                <w:b/>
                <w:bCs/>
                <w:color w:val="000000"/>
                <w:kern w:val="0"/>
                <w:sz w:val="28"/>
                <w:szCs w:val="28"/>
              </w:rPr>
            </w:pPr>
            <w:r>
              <w:rPr>
                <w:rFonts w:hint="eastAsia" w:ascii="楷体_GB2312" w:hAnsi="宋体" w:eastAsia="楷体_GB2312" w:cs="宋体"/>
                <w:b/>
                <w:bCs/>
                <w:color w:val="000000"/>
                <w:kern w:val="0"/>
                <w:sz w:val="28"/>
                <w:szCs w:val="28"/>
              </w:rPr>
              <w:t>缺陷2描述：</w:t>
            </w:r>
            <w:r>
              <w:rPr>
                <w:rFonts w:hint="eastAsia" w:ascii="楷体_GB2312" w:hAnsi="宋体" w:eastAsia="楷体_GB2312" w:cs="宋体"/>
                <w:color w:val="000000"/>
                <w:kern w:val="0"/>
                <w:sz w:val="28"/>
                <w:szCs w:val="28"/>
              </w:rPr>
              <w:t>保温箱使用SOP中的参数及条件与《保温箱验证报告》中确定的参数及条件（例如，开箱时间、运输时限、监测探头位置、冰排数量、冰排蓄冷剂种类等）</w:t>
            </w:r>
            <w:r>
              <w:rPr>
                <w:rFonts w:hint="eastAsia" w:ascii="楷体_GB2312" w:hAnsi="宋体" w:eastAsia="楷体_GB2312" w:cs="宋体"/>
                <w:color w:val="auto"/>
                <w:kern w:val="0"/>
                <w:sz w:val="28"/>
                <w:szCs w:val="28"/>
              </w:rPr>
              <w:t>不一致。（*05601）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03" w:hRule="atLeast"/>
        </w:trPr>
        <w:tc>
          <w:tcPr>
            <w:tcW w:w="1765"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原因分析</w:t>
            </w:r>
          </w:p>
        </w:tc>
        <w:tc>
          <w:tcPr>
            <w:tcW w:w="1188"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整改措施</w:t>
            </w:r>
          </w:p>
        </w:tc>
        <w:tc>
          <w:tcPr>
            <w:tcW w:w="1355"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证明资料（附件）</w:t>
            </w:r>
          </w:p>
        </w:tc>
        <w:tc>
          <w:tcPr>
            <w:tcW w:w="691"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责任部门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06" w:hRule="atLeast"/>
        </w:trPr>
        <w:tc>
          <w:tcPr>
            <w:tcW w:w="176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未对第三方出具的验证资料进行认真核对，第三方虚假验证</w:t>
            </w:r>
          </w:p>
        </w:tc>
        <w:tc>
          <w:tcPr>
            <w:tcW w:w="1188"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更换第三方或自行重新验证</w:t>
            </w:r>
          </w:p>
        </w:tc>
        <w:tc>
          <w:tcPr>
            <w:tcW w:w="1355" w:type="pct"/>
            <w:vMerge w:val="restar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修改后的验证方案/重新验证后的验证报告</w:t>
            </w:r>
          </w:p>
        </w:tc>
        <w:tc>
          <w:tcPr>
            <w:tcW w:w="691" w:type="pct"/>
            <w:vMerge w:val="restar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81" w:hRule="atLeast"/>
        </w:trPr>
        <w:tc>
          <w:tcPr>
            <w:tcW w:w="176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验证报告内容不全，未对必要的参数和条件进行验证</w:t>
            </w:r>
          </w:p>
        </w:tc>
        <w:tc>
          <w:tcPr>
            <w:tcW w:w="1188"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重新验证，确定保温箱使用参数和条件</w:t>
            </w:r>
          </w:p>
        </w:tc>
        <w:tc>
          <w:tcPr>
            <w:tcW w:w="1355"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691"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6" w:hRule="atLeast"/>
        </w:trPr>
        <w:tc>
          <w:tcPr>
            <w:tcW w:w="176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企业实际有多个保温箱，只对其中一个实施了验证</w:t>
            </w:r>
          </w:p>
        </w:tc>
        <w:tc>
          <w:tcPr>
            <w:tcW w:w="1188"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对其他未验证的保温箱进行验证</w:t>
            </w:r>
          </w:p>
        </w:tc>
        <w:tc>
          <w:tcPr>
            <w:tcW w:w="135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其他保温箱的验证方案/验证报告（逐箱验证）</w:t>
            </w: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61" w:hRule="atLeast"/>
        </w:trPr>
        <w:tc>
          <w:tcPr>
            <w:tcW w:w="176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相关岗位人员验证知识缺失，不具备确认验证技术信息的能力</w:t>
            </w:r>
          </w:p>
        </w:tc>
        <w:tc>
          <w:tcPr>
            <w:tcW w:w="1188"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培训、调离、转岗</w:t>
            </w:r>
          </w:p>
        </w:tc>
        <w:tc>
          <w:tcPr>
            <w:tcW w:w="135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1.培训资料</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2.调离/转岗公司通知文件</w:t>
            </w: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06" w:hRule="atLeast"/>
        </w:trPr>
        <w:tc>
          <w:tcPr>
            <w:tcW w:w="176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验证管理意识缺失，全权委托第三方，仅对验证方案和报告进行格式确认</w:t>
            </w:r>
          </w:p>
        </w:tc>
        <w:tc>
          <w:tcPr>
            <w:tcW w:w="1188"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聘请专家对GSP附录5《验证管理》进行培训</w:t>
            </w:r>
          </w:p>
        </w:tc>
        <w:tc>
          <w:tcPr>
            <w:tcW w:w="135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培训资料（培训记录、课件、考核试卷等）</w:t>
            </w: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31" w:hRule="atLeast"/>
        </w:trPr>
        <w:tc>
          <w:tcPr>
            <w:tcW w:w="176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相关SOP内容缺失，未根据验证结果规定保温箱使用参数和条件</w:t>
            </w:r>
          </w:p>
        </w:tc>
        <w:tc>
          <w:tcPr>
            <w:tcW w:w="1188"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修改SOP文件</w:t>
            </w:r>
          </w:p>
        </w:tc>
        <w:tc>
          <w:tcPr>
            <w:tcW w:w="1355"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修改前&amp;后的文件（突出标注修改内容）</w:t>
            </w: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2953" w:type="pct"/>
            <w:gridSpan w:val="2"/>
            <w:tcBorders>
              <w:tl2br w:val="nil"/>
              <w:tr2bl w:val="nil"/>
            </w:tcBorders>
            <w:noWrap w:val="0"/>
            <w:vAlign w:val="center"/>
          </w:tcPr>
          <w:p>
            <w:pPr>
              <w:widowControl/>
              <w:jc w:val="left"/>
              <w:rPr>
                <w:rFonts w:ascii="楷体_GB2312" w:hAnsi="宋体" w:eastAsia="楷体_GB2312" w:cs="宋体"/>
                <w:color w:val="auto"/>
                <w:kern w:val="0"/>
                <w:sz w:val="24"/>
              </w:rPr>
            </w:pPr>
            <w:r>
              <w:rPr>
                <w:rFonts w:hint="eastAsia" w:ascii="楷体_GB2312" w:hAnsi="宋体" w:eastAsia="楷体_GB2312" w:cs="宋体"/>
                <w:b/>
                <w:bCs/>
                <w:color w:val="auto"/>
                <w:kern w:val="0"/>
                <w:sz w:val="24"/>
              </w:rPr>
              <w:t>风险评估：</w:t>
            </w:r>
            <w:r>
              <w:rPr>
                <w:rFonts w:hint="eastAsia" w:ascii="楷体_GB2312" w:hAnsi="宋体" w:eastAsia="楷体_GB2312" w:cs="宋体"/>
                <w:color w:val="auto"/>
                <w:kern w:val="0"/>
                <w:sz w:val="24"/>
              </w:rPr>
              <w:t>对冷链药品质量可能存在影响</w:t>
            </w:r>
          </w:p>
        </w:tc>
        <w:tc>
          <w:tcPr>
            <w:tcW w:w="2046" w:type="pct"/>
            <w:gridSpan w:val="2"/>
            <w:tcBorders>
              <w:tl2br w:val="nil"/>
              <w:tr2bl w:val="nil"/>
            </w:tcBorders>
            <w:noWrap w:val="0"/>
            <w:vAlign w:val="center"/>
          </w:tcPr>
          <w:p>
            <w:pPr>
              <w:widowControl/>
              <w:jc w:val="left"/>
              <w:rPr>
                <w:rFonts w:ascii="楷体_GB2312" w:hAnsi="宋体" w:eastAsia="楷体_GB2312" w:cs="宋体"/>
                <w:color w:val="auto"/>
                <w:kern w:val="0"/>
                <w:sz w:val="24"/>
              </w:rPr>
            </w:pPr>
            <w:r>
              <w:rPr>
                <w:rFonts w:hint="eastAsia" w:ascii="楷体_GB2312" w:hAnsi="宋体" w:eastAsia="楷体_GB2312" w:cs="宋体"/>
                <w:b/>
                <w:bCs/>
                <w:color w:val="auto"/>
                <w:kern w:val="0"/>
                <w:sz w:val="24"/>
              </w:rPr>
              <w:t>完成时间：</w:t>
            </w:r>
            <w:r>
              <w:rPr>
                <w:rFonts w:hint="eastAsia" w:ascii="楷体_GB2312" w:hAnsi="宋体" w:eastAsia="楷体_GB2312" w:cs="宋体"/>
                <w:color w:val="auto"/>
                <w:kern w:val="0"/>
                <w:sz w:val="24"/>
              </w:rPr>
              <w:t>*月*日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73" w:hRule="atLeast"/>
        </w:trPr>
        <w:tc>
          <w:tcPr>
            <w:tcW w:w="5000" w:type="pct"/>
            <w:gridSpan w:val="4"/>
            <w:tcBorders>
              <w:tl2br w:val="nil"/>
              <w:tr2bl w:val="nil"/>
            </w:tcBorders>
            <w:noWrap w:val="0"/>
            <w:vAlign w:val="center"/>
          </w:tcPr>
          <w:p>
            <w:pPr>
              <w:widowControl/>
              <w:jc w:val="left"/>
              <w:rPr>
                <w:rFonts w:ascii="楷体_GB2312" w:hAnsi="宋体" w:eastAsia="楷体_GB2312" w:cs="宋体"/>
                <w:color w:val="auto"/>
                <w:kern w:val="0"/>
                <w:sz w:val="24"/>
              </w:rPr>
            </w:pPr>
            <w:r>
              <w:rPr>
                <w:rFonts w:hint="eastAsia" w:ascii="楷体_GB2312" w:hAnsi="宋体" w:eastAsia="楷体_GB2312" w:cs="宋体"/>
                <w:b/>
                <w:bCs/>
                <w:color w:val="auto"/>
                <w:kern w:val="0"/>
                <w:sz w:val="24"/>
              </w:rPr>
              <w:t>风险控制：</w:t>
            </w:r>
            <w:r>
              <w:rPr>
                <w:rFonts w:hint="eastAsia" w:ascii="楷体_GB2312" w:hAnsi="宋体" w:eastAsia="楷体_GB2312" w:cs="宋体"/>
                <w:color w:val="auto"/>
                <w:kern w:val="0"/>
                <w:sz w:val="24"/>
              </w:rPr>
              <w:t>通过整改措施的实施，对主要缺陷进行纠正和预防，控制了保温箱验证不足导致保温箱失效的风险，从而保障了冷链药品在运输过程中</w:t>
            </w:r>
            <w:r>
              <w:rPr>
                <w:rFonts w:hint="eastAsia" w:ascii="楷体_GB2312" w:hAnsi="宋体" w:eastAsia="楷体_GB2312" w:cs="宋体"/>
                <w:color w:val="auto"/>
                <w:kern w:val="0"/>
                <w:sz w:val="24"/>
                <w:lang w:val="en-US" w:eastAsia="zh-CN"/>
              </w:rPr>
              <w:t>药品的</w:t>
            </w:r>
            <w:r>
              <w:rPr>
                <w:rFonts w:hint="eastAsia" w:ascii="楷体_GB2312" w:hAnsi="宋体" w:eastAsia="楷体_GB2312" w:cs="宋体"/>
                <w:color w:val="auto"/>
                <w:kern w:val="0"/>
                <w:sz w:val="24"/>
              </w:rPr>
              <w:t>质量。</w:t>
            </w:r>
          </w:p>
        </w:tc>
      </w:tr>
    </w:tbl>
    <w:p>
      <w:pPr>
        <w:adjustRightInd w:val="0"/>
        <w:snapToGrid w:val="0"/>
        <w:spacing w:line="600" w:lineRule="exact"/>
        <w:rPr>
          <w:rFonts w:eastAsia="仿宋_GB2312"/>
          <w:sz w:val="32"/>
          <w:szCs w:val="32"/>
        </w:rPr>
      </w:pPr>
      <w:r>
        <w:rPr>
          <w:rFonts w:eastAsia="仿宋_GB2312"/>
          <w:sz w:val="32"/>
          <w:szCs w:val="32"/>
        </w:rPr>
        <w:br w:type="page"/>
      </w:r>
    </w:p>
    <w:tbl>
      <w:tblPr>
        <w:tblStyle w:val="3"/>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530"/>
        <w:gridCol w:w="2881"/>
        <w:gridCol w:w="2248"/>
        <w:gridCol w:w="12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5000" w:type="pct"/>
            <w:gridSpan w:val="4"/>
            <w:tcBorders>
              <w:tl2br w:val="nil"/>
              <w:tr2bl w:val="nil"/>
            </w:tcBorders>
            <w:noWrap w:val="0"/>
            <w:vAlign w:val="center"/>
          </w:tcPr>
          <w:p>
            <w:pPr>
              <w:widowControl/>
              <w:jc w:val="left"/>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8"/>
                <w:szCs w:val="28"/>
              </w:rPr>
              <w:t>缺陷3描述：</w:t>
            </w:r>
            <w:r>
              <w:rPr>
                <w:rFonts w:hint="eastAsia" w:ascii="楷体_GB2312" w:hAnsi="宋体" w:eastAsia="楷体_GB2312" w:cs="宋体"/>
                <w:color w:val="000000"/>
                <w:kern w:val="0"/>
                <w:sz w:val="28"/>
                <w:szCs w:val="28"/>
              </w:rPr>
              <w:t>检查发现多岗位共用一台计算机且使用同一账号进行操作；计算机系统中基础信息的更新权限，企业所有人员均可操作；录入的供销</w:t>
            </w:r>
            <w:r>
              <w:rPr>
                <w:rFonts w:hint="eastAsia" w:ascii="楷体_GB2312" w:hAnsi="宋体" w:eastAsia="楷体_GB2312" w:cs="宋体"/>
                <w:color w:val="auto"/>
                <w:kern w:val="0"/>
                <w:sz w:val="28"/>
                <w:szCs w:val="28"/>
              </w:rPr>
              <w:t>双方的基础信息不准确；基础信息中缺少质量保障协议及委托人等项目。（*05901）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1423"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原因分析</w:t>
            </w:r>
          </w:p>
        </w:tc>
        <w:tc>
          <w:tcPr>
            <w:tcW w:w="1619"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整改措施</w:t>
            </w:r>
          </w:p>
        </w:tc>
        <w:tc>
          <w:tcPr>
            <w:tcW w:w="1264"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证明资料（附件）</w:t>
            </w:r>
          </w:p>
        </w:tc>
        <w:tc>
          <w:tcPr>
            <w:tcW w:w="692"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责任部门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9"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计算机操作相关岗位人员未履职尽责</w:t>
            </w:r>
          </w:p>
        </w:tc>
        <w:tc>
          <w:tcPr>
            <w:tcW w:w="161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对岗位人员进行培训</w:t>
            </w:r>
          </w:p>
        </w:tc>
        <w:tc>
          <w:tcPr>
            <w:tcW w:w="1264" w:type="pct"/>
            <w:vMerge w:val="restar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培训资料（培训记录、课件、考核试卷等）</w:t>
            </w:r>
          </w:p>
        </w:tc>
        <w:tc>
          <w:tcPr>
            <w:tcW w:w="692"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4"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质量部未履职尽责，未对该活动进行指导和监督</w:t>
            </w:r>
          </w:p>
        </w:tc>
        <w:tc>
          <w:tcPr>
            <w:tcW w:w="161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对质量部进行培训，明确部门职责</w:t>
            </w:r>
          </w:p>
        </w:tc>
        <w:tc>
          <w:tcPr>
            <w:tcW w:w="1264"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692"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未对计算机系统操作相关要求进行培训</w:t>
            </w:r>
          </w:p>
        </w:tc>
        <w:tc>
          <w:tcPr>
            <w:tcW w:w="161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1.对企业全员进行培训</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2.将计算机系统培训内容列入培训计划</w:t>
            </w:r>
          </w:p>
        </w:tc>
        <w:tc>
          <w:tcPr>
            <w:tcW w:w="12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1.培训资料</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2.修改前/后培训计划</w:t>
            </w:r>
          </w:p>
        </w:tc>
        <w:tc>
          <w:tcPr>
            <w:tcW w:w="692"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6"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计算机操作</w:t>
            </w:r>
            <w:r>
              <w:rPr>
                <w:rFonts w:hint="eastAsia" w:ascii="楷体_GB2312" w:hAnsi="宋体" w:eastAsia="楷体_GB2312" w:cs="宋体"/>
                <w:color w:val="000000"/>
                <w:kern w:val="0"/>
                <w:sz w:val="24"/>
                <w:lang w:val="en-US" w:eastAsia="zh-CN"/>
              </w:rPr>
              <w:t>权限</w:t>
            </w:r>
            <w:r>
              <w:rPr>
                <w:rFonts w:hint="eastAsia" w:ascii="楷体_GB2312" w:hAnsi="宋体" w:eastAsia="楷体_GB2312" w:cs="宋体"/>
                <w:color w:val="000000"/>
                <w:kern w:val="0"/>
                <w:sz w:val="24"/>
              </w:rPr>
              <w:t>分配不清晰，计算机操作较随意</w:t>
            </w:r>
          </w:p>
        </w:tc>
        <w:tc>
          <w:tcPr>
            <w:tcW w:w="161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1.通过文件明确各部门/岗位的计算机操作职责</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2.对相关文件进行培训</w:t>
            </w:r>
          </w:p>
        </w:tc>
        <w:tc>
          <w:tcPr>
            <w:tcW w:w="12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1.修改前</w:t>
            </w:r>
            <w:r>
              <w:rPr>
                <w:rFonts w:hint="eastAsia" w:ascii="楷体_GB2312" w:hAnsi="宋体" w:eastAsia="楷体_GB2312" w:cs="宋体"/>
                <w:color w:val="000000"/>
                <w:kern w:val="0"/>
                <w:sz w:val="24"/>
                <w:lang w:val="en-US" w:eastAsia="zh-CN"/>
              </w:rPr>
              <w:t>和修改</w:t>
            </w:r>
            <w:r>
              <w:rPr>
                <w:rFonts w:hint="eastAsia" w:ascii="楷体_GB2312" w:hAnsi="宋体" w:eastAsia="楷体_GB2312" w:cs="宋体"/>
                <w:color w:val="000000"/>
                <w:kern w:val="0"/>
                <w:sz w:val="24"/>
              </w:rPr>
              <w:t>后的文件（突出标注修改内容）</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2.培训资料</w:t>
            </w:r>
          </w:p>
        </w:tc>
        <w:tc>
          <w:tcPr>
            <w:tcW w:w="692"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0"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未对计算机系统权限进行分配管理</w:t>
            </w:r>
          </w:p>
        </w:tc>
        <w:tc>
          <w:tcPr>
            <w:tcW w:w="1619"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1.质量部、信息部及企业主要负责人分析研判并按岗位职能科学地分配权限，形成权限分配清单</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2.对各岗位人员进行培训</w:t>
            </w:r>
          </w:p>
        </w:tc>
        <w:tc>
          <w:tcPr>
            <w:tcW w:w="12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1.计算机系统权限分配清单</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2.培训资料</w:t>
            </w:r>
          </w:p>
        </w:tc>
        <w:tc>
          <w:tcPr>
            <w:tcW w:w="692"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质量部、信息部、人事部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计算机系统功能缺失，不能限定及分配权限</w:t>
            </w:r>
          </w:p>
        </w:tc>
        <w:tc>
          <w:tcPr>
            <w:tcW w:w="1619" w:type="pct"/>
            <w:vMerge w:val="restar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完善计算机系统功能</w:t>
            </w:r>
          </w:p>
        </w:tc>
        <w:tc>
          <w:tcPr>
            <w:tcW w:w="1264" w:type="pct"/>
            <w:vMerge w:val="restar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修改前</w:t>
            </w:r>
            <w:r>
              <w:rPr>
                <w:rFonts w:hint="eastAsia" w:ascii="楷体_GB2312" w:hAnsi="宋体" w:eastAsia="楷体_GB2312" w:cs="宋体"/>
                <w:color w:val="000000"/>
                <w:kern w:val="0"/>
                <w:sz w:val="24"/>
                <w:lang w:val="en-US" w:eastAsia="zh-CN"/>
              </w:rPr>
              <w:t>和修改</w:t>
            </w:r>
            <w:r>
              <w:rPr>
                <w:rFonts w:hint="eastAsia" w:ascii="楷体_GB2312" w:hAnsi="宋体" w:eastAsia="楷体_GB2312" w:cs="宋体"/>
                <w:color w:val="000000"/>
                <w:kern w:val="0"/>
                <w:sz w:val="24"/>
              </w:rPr>
              <w:t>后的功能证明文件/截图</w:t>
            </w:r>
          </w:p>
        </w:tc>
        <w:tc>
          <w:tcPr>
            <w:tcW w:w="692" w:type="pct"/>
            <w:vMerge w:val="restar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信息部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06" w:hRule="atLeast"/>
        </w:trPr>
        <w:tc>
          <w:tcPr>
            <w:tcW w:w="1423"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计算机系统缺少内嵌质量控制措施，无法管控和自动提醒风险信息</w:t>
            </w:r>
          </w:p>
        </w:tc>
        <w:tc>
          <w:tcPr>
            <w:tcW w:w="1619"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1264"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692"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74" w:hRule="atLeast"/>
        </w:trPr>
        <w:tc>
          <w:tcPr>
            <w:tcW w:w="3043" w:type="pct"/>
            <w:gridSpan w:val="2"/>
            <w:tcBorders>
              <w:tl2br w:val="nil"/>
              <w:tr2bl w:val="nil"/>
            </w:tcBorders>
            <w:noWrap w:val="0"/>
            <w:vAlign w:val="center"/>
          </w:tcPr>
          <w:p>
            <w:pPr>
              <w:widowControl/>
              <w:jc w:val="left"/>
              <w:rPr>
                <w:rFonts w:ascii="楷体_GB2312" w:hAnsi="宋体" w:eastAsia="楷体_GB2312" w:cs="宋体"/>
                <w:color w:val="auto"/>
                <w:kern w:val="0"/>
                <w:sz w:val="24"/>
              </w:rPr>
            </w:pPr>
            <w:r>
              <w:rPr>
                <w:rFonts w:hint="eastAsia" w:ascii="楷体_GB2312" w:hAnsi="宋体" w:eastAsia="楷体_GB2312" w:cs="宋体"/>
                <w:b/>
                <w:bCs/>
                <w:color w:val="auto"/>
                <w:kern w:val="0"/>
                <w:sz w:val="24"/>
              </w:rPr>
              <w:t>风险评估：</w:t>
            </w:r>
            <w:r>
              <w:rPr>
                <w:rFonts w:hint="eastAsia" w:ascii="楷体_GB2312" w:hAnsi="宋体" w:eastAsia="楷体_GB2312" w:cs="宋体"/>
                <w:color w:val="auto"/>
                <w:kern w:val="0"/>
                <w:sz w:val="24"/>
              </w:rPr>
              <w:t>对药品质量可能存在影响；可能存在法规符合性风险</w:t>
            </w:r>
          </w:p>
        </w:tc>
        <w:tc>
          <w:tcPr>
            <w:tcW w:w="1956" w:type="pct"/>
            <w:gridSpan w:val="2"/>
            <w:tcBorders>
              <w:tl2br w:val="nil"/>
              <w:tr2bl w:val="nil"/>
            </w:tcBorders>
            <w:noWrap w:val="0"/>
            <w:vAlign w:val="center"/>
          </w:tcPr>
          <w:p>
            <w:pPr>
              <w:widowControl/>
              <w:jc w:val="left"/>
              <w:rPr>
                <w:rFonts w:ascii="楷体_GB2312" w:hAnsi="宋体" w:eastAsia="楷体_GB2312" w:cs="宋体"/>
                <w:color w:val="auto"/>
                <w:kern w:val="0"/>
                <w:sz w:val="24"/>
              </w:rPr>
            </w:pPr>
            <w:r>
              <w:rPr>
                <w:rFonts w:hint="eastAsia" w:ascii="楷体_GB2312" w:hAnsi="宋体" w:eastAsia="楷体_GB2312" w:cs="宋体"/>
                <w:b/>
                <w:bCs/>
                <w:color w:val="auto"/>
                <w:kern w:val="0"/>
                <w:sz w:val="24"/>
              </w:rPr>
              <w:t>完成时间：</w:t>
            </w:r>
            <w:r>
              <w:rPr>
                <w:rFonts w:hint="eastAsia" w:ascii="楷体_GB2312" w:hAnsi="宋体" w:eastAsia="楷体_GB2312" w:cs="宋体"/>
                <w:color w:val="auto"/>
                <w:kern w:val="0"/>
                <w:sz w:val="24"/>
              </w:rPr>
              <w:t>*月*日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1" w:hRule="atLeast"/>
        </w:trPr>
        <w:tc>
          <w:tcPr>
            <w:tcW w:w="5000" w:type="pct"/>
            <w:gridSpan w:val="4"/>
            <w:tcBorders>
              <w:tl2br w:val="nil"/>
              <w:tr2bl w:val="nil"/>
            </w:tcBorders>
            <w:noWrap w:val="0"/>
            <w:vAlign w:val="center"/>
          </w:tcPr>
          <w:p>
            <w:pPr>
              <w:widowControl/>
              <w:jc w:val="left"/>
              <w:rPr>
                <w:rFonts w:ascii="楷体_GB2312" w:hAnsi="宋体" w:eastAsia="楷体_GB2312" w:cs="宋体"/>
                <w:color w:val="auto"/>
                <w:kern w:val="0"/>
                <w:sz w:val="24"/>
              </w:rPr>
            </w:pPr>
            <w:r>
              <w:rPr>
                <w:rFonts w:hint="eastAsia" w:ascii="楷体_GB2312" w:hAnsi="宋体" w:eastAsia="楷体_GB2312" w:cs="宋体"/>
                <w:b/>
                <w:bCs/>
                <w:color w:val="auto"/>
                <w:kern w:val="0"/>
                <w:sz w:val="24"/>
              </w:rPr>
              <w:t>风险控制：</w:t>
            </w:r>
            <w:r>
              <w:rPr>
                <w:rFonts w:hint="eastAsia" w:ascii="楷体_GB2312" w:hAnsi="宋体" w:eastAsia="楷体_GB2312" w:cs="宋体"/>
                <w:color w:val="auto"/>
                <w:kern w:val="0"/>
                <w:sz w:val="24"/>
              </w:rPr>
              <w:t>通过整改措施的实施，对主要缺陷进行纠正和预防，控制了计算机系统质量管控失效的风险，从而确保药品购销渠道符合法规要求，防止假劣药流入药品流通市场。</w:t>
            </w:r>
          </w:p>
        </w:tc>
      </w:tr>
    </w:tbl>
    <w:p/>
    <w:p/>
    <w:p/>
    <w:p/>
    <w:tbl>
      <w:tblPr>
        <w:tblStyle w:val="3"/>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136"/>
        <w:gridCol w:w="2113"/>
        <w:gridCol w:w="2411"/>
        <w:gridCol w:w="12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5000" w:type="pct"/>
            <w:gridSpan w:val="4"/>
            <w:tcBorders>
              <w:tl2br w:val="nil"/>
              <w:tr2bl w:val="nil"/>
            </w:tcBorders>
            <w:noWrap w:val="0"/>
            <w:vAlign w:val="center"/>
          </w:tcPr>
          <w:p>
            <w:pPr>
              <w:widowControl/>
              <w:jc w:val="left"/>
              <w:rPr>
                <w:rFonts w:ascii="楷体_GB2312" w:hAnsi="宋体" w:eastAsia="楷体_GB2312" w:cs="宋体"/>
                <w:b/>
                <w:bCs/>
                <w:color w:val="000000"/>
                <w:kern w:val="0"/>
                <w:sz w:val="24"/>
              </w:rPr>
            </w:pPr>
            <w:r>
              <w:rPr>
                <w:rFonts w:hint="eastAsia" w:ascii="楷体_GB2312" w:hAnsi="宋体" w:eastAsia="楷体_GB2312" w:cs="宋体"/>
                <w:b/>
                <w:bCs/>
                <w:color w:val="auto"/>
                <w:kern w:val="0"/>
                <w:sz w:val="28"/>
                <w:szCs w:val="28"/>
              </w:rPr>
              <w:t>缺陷4描述：</w:t>
            </w:r>
            <w:r>
              <w:rPr>
                <w:rFonts w:hint="eastAsia" w:ascii="楷体_GB2312" w:hAnsi="宋体" w:eastAsia="楷体_GB2312" w:cs="宋体"/>
                <w:color w:val="auto"/>
                <w:kern w:val="0"/>
                <w:sz w:val="28"/>
                <w:szCs w:val="28"/>
              </w:rPr>
              <w:t>企业开展经营活动的实际地址与《药品经营许可证》中注册地址不一致。（**00401）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1764"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原因分析</w:t>
            </w:r>
          </w:p>
        </w:tc>
        <w:tc>
          <w:tcPr>
            <w:tcW w:w="1188"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整改措施</w:t>
            </w:r>
          </w:p>
        </w:tc>
        <w:tc>
          <w:tcPr>
            <w:tcW w:w="1356"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证明资料（附件）</w:t>
            </w:r>
          </w:p>
        </w:tc>
        <w:tc>
          <w:tcPr>
            <w:tcW w:w="691" w:type="pct"/>
            <w:tcBorders>
              <w:tl2br w:val="nil"/>
              <w:tr2bl w:val="nil"/>
            </w:tcBorders>
            <w:noWrap w:val="0"/>
            <w:vAlign w:val="center"/>
          </w:tcPr>
          <w:p>
            <w:pPr>
              <w:widowControl/>
              <w:jc w:val="center"/>
              <w:rPr>
                <w:rFonts w:ascii="楷体_GB2312" w:hAnsi="宋体" w:eastAsia="楷体_GB2312" w:cs="宋体"/>
                <w:b/>
                <w:bCs/>
                <w:color w:val="000000"/>
                <w:kern w:val="0"/>
                <w:sz w:val="24"/>
              </w:rPr>
            </w:pPr>
            <w:r>
              <w:rPr>
                <w:rFonts w:hint="eastAsia" w:ascii="楷体_GB2312" w:hAnsi="宋体" w:eastAsia="楷体_GB2312" w:cs="宋体"/>
                <w:b/>
                <w:bCs/>
                <w:color w:val="000000"/>
                <w:kern w:val="0"/>
                <w:sz w:val="24"/>
              </w:rPr>
              <w:t>责任部门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4" w:hRule="atLeast"/>
        </w:trPr>
        <w:tc>
          <w:tcPr>
            <w:tcW w:w="17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企业搬家，未能及时办理注册地址变更</w:t>
            </w:r>
          </w:p>
        </w:tc>
        <w:tc>
          <w:tcPr>
            <w:tcW w:w="1188" w:type="pct"/>
            <w:vMerge w:val="restar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即时申请许可注册地址变更</w:t>
            </w:r>
          </w:p>
        </w:tc>
        <w:tc>
          <w:tcPr>
            <w:tcW w:w="1356" w:type="pct"/>
            <w:vMerge w:val="restar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变更后的《药品经营许可证》变更页</w:t>
            </w:r>
          </w:p>
        </w:tc>
        <w:tc>
          <w:tcPr>
            <w:tcW w:w="691" w:type="pct"/>
            <w:vMerge w:val="restar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法务部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4" w:hRule="atLeast"/>
        </w:trPr>
        <w:tc>
          <w:tcPr>
            <w:tcW w:w="17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街道地名变更，实际地址并未变更</w:t>
            </w:r>
          </w:p>
        </w:tc>
        <w:tc>
          <w:tcPr>
            <w:tcW w:w="1188"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1356"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691"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7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国家行政区域重新划分，实际地址并未变更</w:t>
            </w:r>
          </w:p>
        </w:tc>
        <w:tc>
          <w:tcPr>
            <w:tcW w:w="1188"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1356"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691"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8" w:hRule="atLeast"/>
        </w:trPr>
        <w:tc>
          <w:tcPr>
            <w:tcW w:w="17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企业搬家，因税收政策无法迁出原经营场所</w:t>
            </w:r>
          </w:p>
        </w:tc>
        <w:tc>
          <w:tcPr>
            <w:tcW w:w="1188"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1.申请增设经营场所备案</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2.申请许可注册地址变更</w:t>
            </w:r>
          </w:p>
        </w:tc>
        <w:tc>
          <w:tcPr>
            <w:tcW w:w="1356" w:type="pct"/>
            <w:vMerge w:val="continue"/>
            <w:tcBorders>
              <w:tl2br w:val="nil"/>
              <w:tr2bl w:val="nil"/>
            </w:tcBorders>
            <w:noWrap w:val="0"/>
            <w:vAlign w:val="center"/>
          </w:tcPr>
          <w:p>
            <w:pPr>
              <w:widowControl/>
              <w:jc w:val="left"/>
              <w:rPr>
                <w:rFonts w:ascii="楷体_GB2312" w:hAnsi="宋体" w:eastAsia="楷体_GB2312" w:cs="宋体"/>
                <w:color w:val="000000"/>
                <w:kern w:val="0"/>
                <w:sz w:val="24"/>
              </w:rPr>
            </w:pP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法务部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6" w:hRule="atLeast"/>
        </w:trPr>
        <w:tc>
          <w:tcPr>
            <w:tcW w:w="17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相关岗位人员不清楚许可法规规定</w:t>
            </w:r>
          </w:p>
        </w:tc>
        <w:tc>
          <w:tcPr>
            <w:tcW w:w="1188"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培训、调离、转岗</w:t>
            </w:r>
          </w:p>
        </w:tc>
        <w:tc>
          <w:tcPr>
            <w:tcW w:w="135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1.培训档案</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2.调离/转岗公司通知文件</w:t>
            </w: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1764"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主要负责人法规意识淡漠</w:t>
            </w:r>
          </w:p>
        </w:tc>
        <w:tc>
          <w:tcPr>
            <w:tcW w:w="1188"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培训、调离</w:t>
            </w:r>
          </w:p>
        </w:tc>
        <w:tc>
          <w:tcPr>
            <w:tcW w:w="1356" w:type="pct"/>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color w:val="000000"/>
                <w:kern w:val="0"/>
                <w:sz w:val="24"/>
              </w:rPr>
              <w:t>1.培训档案</w:t>
            </w:r>
            <w:r>
              <w:rPr>
                <w:rFonts w:hint="eastAsia" w:ascii="楷体_GB2312" w:hAnsi="宋体" w:eastAsia="楷体_GB2312" w:cs="宋体"/>
                <w:color w:val="000000"/>
                <w:kern w:val="0"/>
                <w:sz w:val="24"/>
              </w:rPr>
              <w:br w:type="textWrapping"/>
            </w:r>
            <w:r>
              <w:rPr>
                <w:rFonts w:hint="eastAsia" w:ascii="楷体_GB2312" w:hAnsi="宋体" w:eastAsia="楷体_GB2312" w:cs="宋体"/>
                <w:color w:val="000000"/>
                <w:kern w:val="0"/>
                <w:sz w:val="24"/>
              </w:rPr>
              <w:t>2.调离公司通知文件</w:t>
            </w:r>
          </w:p>
        </w:tc>
        <w:tc>
          <w:tcPr>
            <w:tcW w:w="691" w:type="pct"/>
            <w:tcBorders>
              <w:tl2br w:val="nil"/>
              <w:tr2bl w:val="nil"/>
            </w:tcBorders>
            <w:noWrap w:val="0"/>
            <w:vAlign w:val="center"/>
          </w:tcPr>
          <w:p>
            <w:pPr>
              <w:widowControl/>
              <w:jc w:val="center"/>
              <w:rPr>
                <w:rFonts w:ascii="楷体_GB2312" w:hAnsi="宋体" w:eastAsia="楷体_GB2312" w:cs="宋体"/>
                <w:color w:val="000000"/>
                <w:kern w:val="0"/>
                <w:sz w:val="24"/>
              </w:rPr>
            </w:pPr>
            <w:r>
              <w:rPr>
                <w:rFonts w:hint="eastAsia" w:ascii="楷体_GB2312" w:hAnsi="宋体" w:eastAsia="楷体_GB2312" w:cs="宋体"/>
                <w:color w:val="000000"/>
                <w:kern w:val="0"/>
                <w:sz w:val="24"/>
              </w:rPr>
              <w:t>人事部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trPr>
        <w:tc>
          <w:tcPr>
            <w:tcW w:w="2952" w:type="pct"/>
            <w:gridSpan w:val="2"/>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b/>
                <w:bCs/>
                <w:color w:val="000000"/>
                <w:kern w:val="0"/>
                <w:sz w:val="24"/>
              </w:rPr>
              <w:t>风险评估</w:t>
            </w:r>
            <w:r>
              <w:rPr>
                <w:rFonts w:hint="eastAsia" w:ascii="楷体_GB2312" w:hAnsi="宋体" w:eastAsia="楷体_GB2312" w:cs="宋体"/>
                <w:color w:val="000000"/>
                <w:kern w:val="0"/>
                <w:sz w:val="24"/>
              </w:rPr>
              <w:t>：对药品质量可能存在影响；具有法规符合性风险</w:t>
            </w:r>
          </w:p>
        </w:tc>
        <w:tc>
          <w:tcPr>
            <w:tcW w:w="2047" w:type="pct"/>
            <w:gridSpan w:val="2"/>
            <w:tcBorders>
              <w:tl2br w:val="nil"/>
              <w:tr2bl w:val="nil"/>
            </w:tcBorders>
            <w:noWrap w:val="0"/>
            <w:vAlign w:val="center"/>
          </w:tcPr>
          <w:p>
            <w:pPr>
              <w:widowControl/>
              <w:jc w:val="left"/>
              <w:rPr>
                <w:rFonts w:ascii="楷体_GB2312" w:hAnsi="宋体" w:eastAsia="楷体_GB2312" w:cs="宋体"/>
                <w:color w:val="000000"/>
                <w:kern w:val="0"/>
                <w:sz w:val="24"/>
              </w:rPr>
            </w:pPr>
            <w:r>
              <w:rPr>
                <w:rFonts w:hint="eastAsia" w:ascii="楷体_GB2312" w:hAnsi="宋体" w:eastAsia="楷体_GB2312" w:cs="宋体"/>
                <w:b/>
                <w:bCs/>
                <w:color w:val="000000"/>
                <w:kern w:val="0"/>
                <w:sz w:val="24"/>
              </w:rPr>
              <w:t>完成时间：</w:t>
            </w:r>
            <w:r>
              <w:rPr>
                <w:rFonts w:hint="eastAsia" w:ascii="楷体_GB2312" w:hAnsi="宋体" w:eastAsia="楷体_GB2312" w:cs="宋体"/>
                <w:color w:val="000000"/>
                <w:kern w:val="0"/>
                <w:sz w:val="24"/>
              </w:rPr>
              <w:t>*月*日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3" w:hRule="atLeast"/>
        </w:trPr>
        <w:tc>
          <w:tcPr>
            <w:tcW w:w="5000" w:type="pct"/>
            <w:gridSpan w:val="4"/>
            <w:tcBorders>
              <w:tl2br w:val="nil"/>
              <w:tr2bl w:val="nil"/>
            </w:tcBorders>
            <w:noWrap w:val="0"/>
            <w:vAlign w:val="center"/>
          </w:tcPr>
          <w:p>
            <w:pPr>
              <w:widowControl/>
              <w:jc w:val="left"/>
              <w:rPr>
                <w:rFonts w:ascii="楷体_GB2312" w:hAnsi="宋体" w:eastAsia="楷体_GB2312" w:cs="宋体"/>
                <w:color w:val="FF0000"/>
                <w:kern w:val="0"/>
                <w:sz w:val="24"/>
              </w:rPr>
            </w:pPr>
            <w:r>
              <w:rPr>
                <w:rFonts w:hint="eastAsia" w:ascii="楷体_GB2312" w:hAnsi="宋体" w:eastAsia="楷体_GB2312" w:cs="宋体"/>
                <w:b/>
                <w:bCs/>
                <w:color w:val="auto"/>
                <w:kern w:val="0"/>
                <w:sz w:val="24"/>
              </w:rPr>
              <w:t>风险控制：</w:t>
            </w:r>
            <w:r>
              <w:rPr>
                <w:rFonts w:hint="eastAsia" w:ascii="楷体_GB2312" w:hAnsi="宋体" w:eastAsia="楷体_GB2312" w:cs="宋体"/>
                <w:color w:val="auto"/>
                <w:kern w:val="0"/>
                <w:sz w:val="24"/>
              </w:rPr>
              <w:t>通过整改措施的实施，对严重缺陷进行纠正和预防，控制非</w:t>
            </w:r>
            <w:r>
              <w:rPr>
                <w:rFonts w:hint="eastAsia" w:ascii="楷体_GB2312" w:hAnsi="宋体" w:eastAsia="楷体_GB2312" w:cs="宋体"/>
                <w:color w:val="auto"/>
                <w:kern w:val="0"/>
                <w:sz w:val="24"/>
                <w:lang w:val="en-US" w:eastAsia="zh-CN"/>
              </w:rPr>
              <w:t>注册</w:t>
            </w:r>
            <w:r>
              <w:rPr>
                <w:rFonts w:hint="eastAsia" w:ascii="楷体_GB2312" w:hAnsi="宋体" w:eastAsia="楷体_GB2312" w:cs="宋体"/>
                <w:color w:val="auto"/>
                <w:kern w:val="0"/>
                <w:sz w:val="24"/>
              </w:rPr>
              <w:t>地经营的法规符合性风险。</w:t>
            </w:r>
          </w:p>
        </w:tc>
      </w:tr>
    </w:tbl>
    <w:p>
      <w:pPr>
        <w:adjustRightInd w:val="0"/>
        <w:snapToGrid w:val="0"/>
        <w:spacing w:line="600" w:lineRule="exact"/>
        <w:ind w:firstLine="640" w:firstLineChars="200"/>
        <w:rPr>
          <w:rFonts w:hint="eastAsia" w:eastAsia="仿宋_GB2312"/>
          <w:sz w:val="32"/>
          <w:szCs w:val="32"/>
        </w:rPr>
      </w:pP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附件：证明资料</w:t>
      </w: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整改报告审核人：（签名）</w:t>
      </w:r>
      <w:r>
        <w:rPr>
          <w:rFonts w:hint="eastAsia" w:eastAsia="仿宋_GB2312"/>
          <w:sz w:val="32"/>
          <w:szCs w:val="32"/>
        </w:rPr>
        <w:tab/>
      </w:r>
      <w:r>
        <w:rPr>
          <w:rFonts w:hint="eastAsia" w:eastAsia="仿宋_GB2312"/>
          <w:sz w:val="32"/>
          <w:szCs w:val="32"/>
        </w:rPr>
        <w:tab/>
      </w:r>
      <w:r>
        <w:rPr>
          <w:rFonts w:hint="eastAsia" w:eastAsia="仿宋_GB2312"/>
          <w:sz w:val="32"/>
          <w:szCs w:val="32"/>
        </w:rPr>
        <w:t>日期：*年*月*日</w:t>
      </w: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整改报告批准人：（签名）</w:t>
      </w:r>
      <w:r>
        <w:rPr>
          <w:rFonts w:hint="eastAsia" w:eastAsia="仿宋_GB2312"/>
          <w:sz w:val="32"/>
          <w:szCs w:val="32"/>
        </w:rPr>
        <w:tab/>
      </w:r>
      <w:r>
        <w:rPr>
          <w:rFonts w:hint="eastAsia" w:eastAsia="仿宋_GB2312"/>
          <w:sz w:val="32"/>
          <w:szCs w:val="32"/>
        </w:rPr>
        <w:tab/>
      </w:r>
      <w:r>
        <w:rPr>
          <w:rFonts w:hint="eastAsia" w:eastAsia="仿宋_GB2312"/>
          <w:sz w:val="32"/>
          <w:szCs w:val="32"/>
        </w:rPr>
        <w:t>日期：*年*月*日</w:t>
      </w:r>
    </w:p>
    <w:p>
      <w:pPr>
        <w:adjustRightInd w:val="0"/>
        <w:snapToGrid w:val="0"/>
        <w:spacing w:line="600" w:lineRule="exact"/>
        <w:ind w:firstLine="640" w:firstLineChars="200"/>
        <w:rPr>
          <w:rFonts w:hint="eastAsia" w:eastAsia="仿宋_GB2312"/>
          <w:sz w:val="32"/>
          <w:szCs w:val="32"/>
        </w:rPr>
      </w:pPr>
    </w:p>
    <w:p>
      <w:pPr>
        <w:adjustRightInd w:val="0"/>
        <w:snapToGrid w:val="0"/>
        <w:spacing w:line="600" w:lineRule="exact"/>
        <w:ind w:firstLine="3520" w:firstLineChars="1100"/>
        <w:rPr>
          <w:rFonts w:hint="eastAsia" w:eastAsia="仿宋_GB2312"/>
          <w:sz w:val="32"/>
          <w:szCs w:val="32"/>
        </w:rPr>
      </w:pPr>
      <w:r>
        <w:rPr>
          <w:rFonts w:hint="eastAsia" w:eastAsia="仿宋_GB2312"/>
          <w:sz w:val="32"/>
          <w:szCs w:val="32"/>
        </w:rPr>
        <w:t>辽宁省XX药品经营公司（公章）</w:t>
      </w:r>
    </w:p>
    <w:p>
      <w:pPr>
        <w:wordWrap w:val="0"/>
        <w:adjustRightInd w:val="0"/>
        <w:snapToGrid w:val="0"/>
        <w:spacing w:line="600" w:lineRule="exact"/>
        <w:ind w:firstLine="640" w:firstLineChars="200"/>
        <w:jc w:val="right"/>
        <w:rPr>
          <w:rFonts w:hint="eastAsia" w:eastAsia="仿宋_GB2312"/>
          <w:sz w:val="32"/>
          <w:szCs w:val="32"/>
        </w:rPr>
      </w:pPr>
      <w:r>
        <w:rPr>
          <w:rFonts w:hint="eastAsia" w:eastAsia="仿宋_GB2312"/>
          <w:sz w:val="32"/>
          <w:szCs w:val="32"/>
        </w:rPr>
        <w:t xml:space="preserve">*年*月*日           </w:t>
      </w: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说明：</w:t>
      </w: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1.以上示例仅供参考，旨在启发企业多角度、多方位分析缺陷成因，并针对缺陷成因采取行之有效的整改措施；</w:t>
      </w: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2.缺陷成因可能是单一方面的，也可能是多个方面问题的组合；因此，整改措施也可能是多个措施的组合；</w:t>
      </w:r>
    </w:p>
    <w:p>
      <w:pPr>
        <w:adjustRightInd w:val="0"/>
        <w:snapToGrid w:val="0"/>
        <w:spacing w:line="600" w:lineRule="exact"/>
        <w:ind w:firstLine="640" w:firstLineChars="200"/>
        <w:rPr>
          <w:rFonts w:hint="eastAsia" w:eastAsia="仿宋_GB2312"/>
          <w:sz w:val="32"/>
          <w:szCs w:val="32"/>
        </w:rPr>
      </w:pPr>
      <w:r>
        <w:rPr>
          <w:rFonts w:hint="eastAsia" w:eastAsia="仿宋_GB2312"/>
          <w:sz w:val="32"/>
          <w:szCs w:val="32"/>
        </w:rPr>
        <w:t>3.缺陷整改过程中的原因分析、风险评估、整改措施</w:t>
      </w:r>
      <w:r>
        <w:rPr>
          <w:rFonts w:hint="eastAsia" w:eastAsia="仿宋_GB2312"/>
          <w:sz w:val="32"/>
          <w:szCs w:val="32"/>
          <w:lang w:eastAsia="zh-CN"/>
        </w:rPr>
        <w:t>、</w:t>
      </w:r>
      <w:r>
        <w:rPr>
          <w:rFonts w:hint="eastAsia" w:eastAsia="仿宋_GB2312"/>
          <w:sz w:val="32"/>
          <w:szCs w:val="32"/>
          <w:lang w:val="en-US" w:eastAsia="zh-CN"/>
        </w:rPr>
        <w:t>风险控制</w:t>
      </w:r>
      <w:r>
        <w:rPr>
          <w:rFonts w:hint="eastAsia" w:eastAsia="仿宋_GB2312"/>
          <w:sz w:val="32"/>
          <w:szCs w:val="32"/>
        </w:rPr>
        <w:t>等描述，可以用文字表述，也可以采用表格形式表述；</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4.企业内部审核或自检中发现的缺陷的整改，可以参考本示例。</w:t>
      </w:r>
    </w:p>
    <w:p/>
    <w:sectPr>
      <w:footerReference r:id="rId3" w:type="default"/>
      <w:pgSz w:w="11906" w:h="16838"/>
      <w:pgMar w:top="2098" w:right="1644" w:bottom="119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6344D7"/>
    <w:multiLevelType w:val="singleLevel"/>
    <w:tmpl w:val="D66344D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C3439C"/>
    <w:rsid w:val="09902F13"/>
    <w:rsid w:val="11C34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2022-10-26T06:26:00Z</dcterms:created>
  <dc:creator>王丹蕾</dc:creator>
  <cp:lastModifiedBy>王丹蕾</cp:lastModifiedBy>
  <dcterms:modified xsi:type="dcterms:W3CDTF">2022-10-26T06:31:05Z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