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64" w:beforeLines="20" w:line="700" w:lineRule="exact"/>
        <w:jc w:val="center"/>
        <w:textAlignment w:val="auto"/>
        <w:rPr>
          <w:rFonts w:hint="default" w:ascii="Times New Roman" w:hAnsi="Times New Roman" w:eastAsia="方正小标宋简体" w:cs="Times New Roman"/>
          <w:b w:val="0"/>
          <w:bCs w:val="0"/>
          <w:color w:val="000000"/>
          <w:sz w:val="44"/>
          <w:szCs w:val="40"/>
        </w:rPr>
      </w:pPr>
      <w:bookmarkStart w:id="0" w:name="_GoBack"/>
      <w:r>
        <w:rPr>
          <w:rFonts w:hint="default" w:ascii="Times New Roman" w:hAnsi="Times New Roman" w:eastAsia="方正小标宋简体" w:cs="Times New Roman"/>
          <w:b w:val="0"/>
          <w:bCs w:val="0"/>
          <w:color w:val="000000"/>
          <w:sz w:val="44"/>
          <w:szCs w:val="40"/>
        </w:rPr>
        <w:t>广东省老年友善医疗机构建设标准（试行）</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（二级及以上医院适用）</w:t>
      </w:r>
    </w:p>
    <w:p>
      <w:pPr>
        <w:keepNext w:val="0"/>
        <w:keepLines w:val="0"/>
        <w:pageBreakBefore w:val="0"/>
        <w:widowControl w:val="0"/>
        <w:numPr>
          <w:ilvl w:val="0"/>
          <w:numId w:val="0"/>
        </w:numPr>
        <w:kinsoku/>
        <w:wordWrap/>
        <w:overflowPunct/>
        <w:topLinePunct w:val="0"/>
        <w:autoSpaceDE/>
        <w:autoSpaceDN/>
        <w:bidi w:val="0"/>
        <w:adjustRightInd/>
        <w:snapToGrid/>
        <w:spacing w:after="253" w:afterLines="80" w:line="560" w:lineRule="exact"/>
        <w:ind w:left="0" w:leftChars="0" w:firstLine="0" w:firstLineChars="0"/>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楷体_GB2312" w:cs="Times New Roman"/>
          <w:b w:val="0"/>
          <w:bCs/>
          <w:color w:val="000000"/>
          <w:sz w:val="32"/>
          <w:szCs w:val="32"/>
        </w:rPr>
        <w:t>（202</w:t>
      </w:r>
      <w:r>
        <w:rPr>
          <w:rFonts w:hint="default" w:ascii="Times New Roman" w:hAnsi="Times New Roman" w:eastAsia="楷体_GB2312" w:cs="Times New Roman"/>
          <w:b w:val="0"/>
          <w:bCs/>
          <w:color w:val="000000"/>
          <w:sz w:val="32"/>
          <w:szCs w:val="32"/>
          <w:lang w:val="en-US" w:eastAsia="zh-CN"/>
        </w:rPr>
        <w:t>2</w:t>
      </w:r>
      <w:r>
        <w:rPr>
          <w:rFonts w:hint="default" w:ascii="Times New Roman" w:hAnsi="Times New Roman" w:eastAsia="楷体_GB2312" w:cs="Times New Roman"/>
          <w:b w:val="0"/>
          <w:bCs/>
          <w:color w:val="000000"/>
          <w:sz w:val="32"/>
          <w:szCs w:val="32"/>
        </w:rPr>
        <w:t>年</w:t>
      </w:r>
      <w:r>
        <w:rPr>
          <w:rFonts w:hint="default" w:ascii="Times New Roman" w:hAnsi="Times New Roman" w:eastAsia="楷体_GB2312" w:cs="Times New Roman"/>
          <w:b w:val="0"/>
          <w:bCs/>
          <w:color w:val="000000"/>
          <w:sz w:val="32"/>
          <w:szCs w:val="32"/>
          <w:lang w:val="en-US" w:eastAsia="zh-CN"/>
        </w:rPr>
        <w:t>4</w:t>
      </w:r>
      <w:r>
        <w:rPr>
          <w:rFonts w:hint="default" w:ascii="Times New Roman" w:hAnsi="Times New Roman" w:eastAsia="楷体_GB2312" w:cs="Times New Roman"/>
          <w:b w:val="0"/>
          <w:bCs/>
          <w:color w:val="000000"/>
          <w:sz w:val="32"/>
          <w:szCs w:val="32"/>
        </w:rPr>
        <w:t>月）</w:t>
      </w:r>
    </w:p>
    <w:tbl>
      <w:tblPr>
        <w:tblStyle w:val="4"/>
        <w:tblW w:w="139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36"/>
        <w:gridCol w:w="6696"/>
        <w:gridCol w:w="3522"/>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280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default" w:ascii="Times New Roman" w:hAnsi="Times New Roman" w:eastAsia="黑体" w:cs="Times New Roman"/>
                <w:b w:val="0"/>
                <w:bCs/>
                <w:color w:val="000000"/>
                <w:sz w:val="24"/>
                <w:szCs w:val="24"/>
              </w:rPr>
            </w:pPr>
            <w:r>
              <w:rPr>
                <w:rFonts w:hint="default" w:ascii="Times New Roman" w:hAnsi="Times New Roman" w:eastAsia="黑体" w:cs="Times New Roman"/>
                <w:b w:val="0"/>
                <w:bCs/>
                <w:color w:val="000000"/>
                <w:sz w:val="24"/>
                <w:szCs w:val="24"/>
              </w:rPr>
              <w:t>评价指标</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default" w:ascii="Times New Roman" w:hAnsi="Times New Roman" w:eastAsia="黑体" w:cs="Times New Roman"/>
                <w:b w:val="0"/>
                <w:bCs/>
                <w:color w:val="000000"/>
                <w:sz w:val="24"/>
                <w:szCs w:val="24"/>
              </w:rPr>
            </w:pPr>
            <w:r>
              <w:rPr>
                <w:rFonts w:hint="default" w:ascii="Times New Roman" w:hAnsi="Times New Roman" w:eastAsia="黑体" w:cs="Times New Roman"/>
                <w:b w:val="0"/>
                <w:bCs/>
                <w:color w:val="000000"/>
                <w:sz w:val="24"/>
                <w:szCs w:val="24"/>
              </w:rPr>
              <w:t>评价内容</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default" w:ascii="Times New Roman" w:hAnsi="Times New Roman" w:eastAsia="黑体" w:cs="Times New Roman"/>
                <w:b w:val="0"/>
                <w:bCs/>
                <w:color w:val="000000"/>
                <w:sz w:val="24"/>
                <w:szCs w:val="24"/>
              </w:rPr>
            </w:pPr>
            <w:r>
              <w:rPr>
                <w:rFonts w:hint="default" w:ascii="Times New Roman" w:hAnsi="Times New Roman" w:eastAsia="黑体" w:cs="Times New Roman"/>
                <w:b w:val="0"/>
                <w:bCs/>
                <w:color w:val="000000"/>
                <w:sz w:val="24"/>
                <w:szCs w:val="24"/>
              </w:rPr>
              <w:t>评审方法</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108" w:leftChars="0" w:hanging="108" w:hangingChars="45"/>
              <w:jc w:val="center"/>
              <w:textAlignment w:val="auto"/>
              <w:rPr>
                <w:rFonts w:hint="default" w:ascii="Times New Roman" w:hAnsi="Times New Roman" w:eastAsia="黑体" w:cs="Times New Roman"/>
                <w:b w:val="0"/>
                <w:bCs/>
                <w:color w:val="000000"/>
                <w:sz w:val="24"/>
                <w:szCs w:val="24"/>
              </w:rPr>
            </w:pPr>
            <w:r>
              <w:rPr>
                <w:rFonts w:hint="default" w:ascii="Times New Roman" w:hAnsi="Times New Roman" w:eastAsia="黑体" w:cs="Times New Roman"/>
                <w:b w:val="0"/>
                <w:bCs/>
                <w:color w:val="00000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9" w:hRule="atLeast"/>
          <w:jc w:val="center"/>
        </w:trPr>
        <w:tc>
          <w:tcPr>
            <w:tcW w:w="12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bCs/>
                <w:color w:val="000000"/>
                <w:sz w:val="24"/>
              </w:rPr>
              <w:t>1.老年友善文化（15分）</w:t>
            </w: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1.1构建老年友善文化，形成老年友善氛围(8分)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1.1.1在医院文化中有关心关爱老年人、保障老年人权益、维护老年人尊严等内容(2分)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查看医院相关文件、网站、展板、宣传等资料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1.1.2职工手册、行为守则等规范中有对老年人态度、行为和用语等要求(2分)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查看医院职工手册、服务手册等资料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1.1.3医院工作人员以尊敬的态度、易懂的语言、清晰的文字或图片与老年人交流。(1分)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现场观察工作人员与患者的交流互动情况；访谈患者或家属</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1.1.4在院内院外开展尊老、敬老、爱老等义诊活动(1分)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查看义诊活动的记录、图片和宣传报道等</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9"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1.1.5有体现尊老、敬老、爱老等的宣传内容(1分)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查看宣传资料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1.1.6公示的服务信息便于老年人阅读与理解(1分)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查看导医、物价等需要公示的内容</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1.2提供就医指导及健康宣教（4分）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1.2.1建立健康教育制度(2分)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查看健康宣教的制度、活动记录和相关材料(1分)；检查是否在醒目位置有针对老年人的就医指导宣传(1分)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6"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1.2.2向老年人及家属提供就医指导和健康宣教服务(2分)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访谈员工或患者</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1.3志愿者服务（3分）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1.3.1有志愿者管理的组织机构和制度(1分)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查阅志愿者服务的相关资料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1.3.2有定期招募志愿者的计划，鼓励健康老年人参与志愿者服务(1分)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查阅资料，是否有招募志愿者的信息，招募条件中是否有鼓励老年人参与的内容</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1.3.3有为老年人提供导引、交通、阅读、书写、陪伴或其他服务的志愿者服务内容(1分)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查阅志愿者服务记录</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bCs/>
                <w:color w:val="000000"/>
                <w:sz w:val="24"/>
              </w:rPr>
            </w:pPr>
            <w:r>
              <w:rPr>
                <w:rFonts w:hint="default" w:ascii="Times New Roman" w:hAnsi="Times New Roman" w:eastAsia="仿宋_GB2312" w:cs="Times New Roman"/>
                <w:color w:val="000000"/>
                <w:sz w:val="24"/>
              </w:rPr>
              <w:t>2.</w:t>
            </w:r>
            <w:r>
              <w:rPr>
                <w:rFonts w:hint="default" w:ascii="Times New Roman" w:hAnsi="Times New Roman" w:eastAsia="仿宋_GB2312" w:cs="Times New Roman"/>
                <w:bCs/>
                <w:color w:val="000000"/>
                <w:sz w:val="24"/>
              </w:rPr>
              <w:t>老年友善管理（15分）</w:t>
            </w: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2.1运行机制(3分)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2.1.1有创建老年友善医院的领导小组，有分管院领导(1.5分)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查阅文件</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2.1.2有由职能科室和专家组成的技术指导小组(1.5分)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查阅文件</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2.2持续改进机制(3分)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2.2.1建立持续改进机制，有老年友善医院年度工作计划、总结、检查和整改记录(2分)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查阅年度工作计划、工作记录、相关会议记录等资料以及归档情况</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2.2.2开展门诊和住院病人满意度调查， 并根据调查结果进行评估和改善(1分)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查阅资料，是否有患者满意度调查的统计和结果分析(0.5分)；是否根据患者满意度调查结果进行了整改(0.5分)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2.3共同参与和监督机制(1分)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2.3.1工作人员能参与老年友善医院政策的制定、完善和监督(1分)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 xml:space="preserve">查阅有关部门关于老年友善医院政策制定、完善和监督的相关记录(如会议记录、照片等) </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2.4经费支持(1分)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2.4.1有落实老年友善医院政策及服务的经费(1分)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查看预算和支出等资料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2.5培训管理(3分)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2.5.1建立老年学和老年医学知识、技能等教育、培训的长效机制，每年对全院医护人员有老年友善医院管理和老年医学知识等相关内容的培训， 其中包括与老年人沟通交流技巧方面的培训(2分)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查阅是否有创建老年友善医院和老年医学培训的计划、课程表、授课老师教案和签到表等；访谈1</w:t>
            </w:r>
            <w:r>
              <w:rPr>
                <w:rFonts w:hint="default" w:ascii="Times New Roman" w:hAnsi="Times New Roman" w:eastAsia="仿宋_GB2312" w:cs="Times New Roman"/>
                <w:color w:val="000000"/>
                <w:sz w:val="24"/>
                <w:lang w:val="en-US" w:eastAsia="zh-CN"/>
              </w:rPr>
              <w:t>-</w:t>
            </w:r>
            <w:r>
              <w:rPr>
                <w:rFonts w:hint="default" w:ascii="Times New Roman" w:hAnsi="Times New Roman" w:eastAsia="仿宋_GB2312" w:cs="Times New Roman"/>
                <w:color w:val="000000"/>
                <w:sz w:val="24"/>
              </w:rPr>
              <w:t>2名医生或护士</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2.5.2加强培训，提高陪护人员服务老年患者的能力(1分)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查阅资料或现场检查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2.6分级诊疗(3分)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2.6.1参加医联体或医共体建设，建立老年患者的双向转诊机制，形成医联体的协作管理模式(1分)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查阅相关文件（委省共建综合类国家区域医疗中心不纳入此项考核）</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2.6.2有负责转诊管理的工作部门及提供双向转诊服务(2分)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查阅资料，是否有双向转诊的服务部门及提供双向转诊服务（委省共建综合类国家区域医疗中心不纳入此项考核）</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2.7医学伦理(1分)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2.7.1有负责医学伦理的部门，有老年医学相关的伦理制度(1分)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查阅资料，是否有老年病相关临床科研的伦理审查制度，是否有针对老年人的知情同意书(如委托人、器官捐献、对心肺复苏等救治措施的选择等)，是否有避免老年人虐待和歧视的相关措施</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bCs/>
                <w:color w:val="000000"/>
                <w:sz w:val="24"/>
              </w:rPr>
              <w:t>3.老年友善服务（45分）</w:t>
            </w: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3.1优化老年人就医服务流程（15分）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3.1.1建立老年人就医绿色通道。设立老年人快速预检通道。常态化疫情防控期间，机构入口可通过增设老年患者“无健康码”通道、配备人员帮助老年人进行健康码查询等方式，协助没有手机或无法提供健康码的老年人通过手工填写流调表等方式完成流行病学史调查，为老年患者就医提供方便(3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常态化疫情防控期间设立老年人快速预检通道(2分)；是否建立了老年人(如高龄、超高龄、失独、伤残无人陪护等老年患者)就医绿色通道及制度(1分)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9"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3.1.2提供多渠道预约挂号服务（4分）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3.1.2.1提供网络、现场预约等多渠道预约挂号服务（1分）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3.1.2.2畅通家人、亲友、基层医务人员等代为老年人挂号的渠道（1分）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3.1.2.3为包括老年人在内的特殊就医人群提供一定比例的现场号源（1分）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3.1.2.4为医联体内基层医疗机构预留一定比例的预约号源（0.5分）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3.1.2.5医联体牵头医院逐步将预约诊疗信息系统延伸至医联体内的医疗卫生机构（0.5分）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看预约挂号渠道；查阅代为挂号的流程指引及现场查看代为特殊老年人挂号服务；现场查看是否有为老年人提供一定比例的现场号源；现场查看是否有为医联体内基层医疗机构预留一定比例的预约号源（委省共建综合类国家区域医疗中心不纳入此项考核）</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3.1.3挂号、收费等设有人工服务窗口及现金收费窗口（1分）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现场查看是否有挂号和交费老人优先窗口</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3.1.4设立标识清晰的老年人综合服务点，为老年人提供咨询、助老器具借用等综合服务（1分）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现场查看，是否设立标识清晰的老年人综合服务点，查看服务情况</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3.1.5提供导医服务。安排社工、志愿者或其他工作人员为老年人提供导医服务（1分）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现场查看</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3.1.6开设老年人综合服务门诊，提供诊疗、康复、护理、用药指导等“一站式”服务（1分）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现场检查，提供2个专科“一站式”服务得0.5分，3个及以上得1分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3.1.7开展互联网医疗服务。向老年人宣传运用智能技术就医（1分）。智能设备配有人工值守（1分）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现场查看自助挂号机、综合查询系统等</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3.1.8优化出入院流程，推行出入院“一站式”服务(1分)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查阅资料或现场查看出入院流程，评估其服务是否规范、合理，方便老年患者</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3.1.9推动老年人居家医疗服务。通过家庭病床、上门巡视等形式（1分）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查阅资料或现场检查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3.2建立老年综合评估、老年综合征管理、多学科团队等技术规范和持续改进机制（15分）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3.2.1有老年综合评估技术规范(1分)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3.2.2在老年医学科或内科门诊开展老年综合评估服务(3分)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现场检查或查阅资料，门诊和病房开展各得1分(2分)；现场抽查1 名医护人员对老年住院患者综合评估熟悉程度(1分)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3.2.3有老年综合征和常见问题的管理指南或诊疗规范(6分)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开展失智/痴呆友善服务，包括宣传、义诊、记忆/痴呆门诊、诊疗规范等（3分）</w:t>
            </w:r>
          </w:p>
        </w:tc>
        <w:tc>
          <w:tcPr>
            <w:tcW w:w="9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查阅资料，至少有衰弱、肌少、营养不良、跌倒、失能、围术期等管理指南或诊疗规范（3分）</w:t>
            </w:r>
          </w:p>
        </w:tc>
        <w:tc>
          <w:tcPr>
            <w:tcW w:w="9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3.2.4多学科合作诊疗(2分)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查阅相关资料是否建立了多学科整合管理的制度、职责、工作流程(1分)；查阅相关资料，是否有多学科整合管理的工作记录及落实情况(1分)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3.2.5对住院老年患者进行高风险筛查，重点开展跌倒、肺栓塞、误吸和坠床等项目，建立高风险防范措施与应急预案和高风险筛查后知情告知制度(2分)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查阅资料或现场查看</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3.2.6各种老年医学相关技术规范的持续改进(1分)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查阅技术规范是否有定期或及时更新</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3.3便利药事服务（5分）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3.3.1落实慢性病长期处方有关要求（1分）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查阅处方</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3.3.2提供中药代煎、药物配送服务（1分）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现场检查或查阅资料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3.3.3临床药学人员对老年患者提供用药咨询和用药评估服务(2分)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是否有老年患者用药评估管理的相关制度和用药指导材料(1分)；是否有老年患者用药咨询门诊并开展服务(0.5分)；是否有专职临床药师，参与构建多学科团队，参与病房临床用药指导(住院与出院)，并查看日常工作记录(0.5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3.3.4设立门诊智慧药房（1分）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现场查看</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3.4患者参与（2分）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3.4.1鼓励患者及其照护者参与照护计划的制定与实施(2分)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查阅病历或记录，是否有患者及其家属或照护者参与制定患者照护计划的记录(1分)；访谈医护人员、患者或家属是否患者参与照护计划的制定(1分)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3.5老年专科服务（8分）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3.5.1设置老年医学科（包括开设老年医学病房和门诊），医护人员具有相应老年医学资质或培训（3分）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听取汇报并现场检查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3.5.2设置营养科，根据老年人特点提供老年营养服务（1分）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听取汇报并现场检查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3.5.3开展老年康复服务，如住院康复、日间康复或社区康复（1分）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听取汇报并现场检查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3.5.4开展老年长期照护服务，如长照病房、养护中心或日间照护中心（1分）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听取汇报并现场检查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3.5.5有临终关怀、安宁疗护技术规范并提供或与其他机构合作提供相关服务，如死亡教育、舒缓治疗等，有开展医疗预嘱宣传工作(2分)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听取汇报并现场检查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4.老年友善环境（25分）</w:t>
            </w: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4.1交通便利设施(6分)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4.1.1门急诊、住院病区配备有辅助转移设备（如轮椅、平车等）并方便取用(1分)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4.1.2.在主入口处有方便老年人上下车的临时停车区，有安全标识(1分)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4.1.3.所有出入口、门、台阶、坡道、转弯处、轮椅坡道及信息标识系统等的设置均应当符合国家标准《无障碍设计规范》（GB50763）(4分)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现场检查或提供照片(如限速、禁止鸣笛、急转弯和减速带等标识)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4.2整体环境与标识系统(12分)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4.2.1建筑外墙采用暖色，室内避免采用过度刺激视觉的图案，但光线明亮、有足够照明(1分)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4.2.2机构内地面防滑、无反光(2分)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4.2.3适老性病房应保持温馨整洁，病房中应当配有时钟和提示板，温、湿度适中，病房、卫生间旁应设置夜灯，病床旁及卫生间均安装紧急呼叫铃(2分)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4.2.4在门诊和病房设置有无障碍卫生间，门宽应当适宜轮椅进出，遇紧急情况时门可从外面打开（2分）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4.2.5坐便器及洗手盆侧面均安装无障碍扶手，坐便器侧面安装输液挂钩，冲凉房安置有座椅（2分）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4.2.6尽可能减少公共广播的使用，避免人为噪声(1分)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4.2.7机构内标识醒目、简明、易懂，具有良好的导向性，且安装在适当的高度和位置(2分)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4.3其他适老环境（7分）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4.3.1家具要稳固，桌椅的四条腿不能带轮子；床头柜如有轮子，必须是制动脚轮(1分)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4.3.2病床床头床尾可调节，有床档；病床之间以及病床与家具之间有足够空间供轮椅通行(1分)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4.3.3楼梯和走廊两侧要安装扶手，有坡道的地方至少有一侧安装扶手，扶手要有延伸并超出坡道和楼梯的两端，高度要适当，在扶手结束前100mm处要有提示(1分)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4.3.4长的走道、坡道间隔、长楼梯拐角要设有休息区或休息椅(1分)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4.3.5走道、坡道的宽度足以让两个轮椅并行通过(1分)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4.3.6不同区域地面连接处要平滑，避免轮椅、拐杖和助行器卡住(1分)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4.3.7电梯功能按照无障碍电梯设置(1分)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现场检查或提供照片</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5.加减分项</w:t>
            </w: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5.1加分项（最多5分）</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5.1.1医院获评国家级、省级敬老文明号（1-2分）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查阅资料，省级得1分，国家级2分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5.1.2有老年友善医院建设的创新经验，或在全省或在全国推广（1-3分）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有专家或同行认可的创新经验得1分，在全省推广得2分，在全国推广得3分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5.1.3医院信息系统支持老年综合评估等技术规范开展、调阅和统计（2分）</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现场检查或查阅资料</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5.2减分项</w:t>
            </w: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5.2.1近一年内有严重侵害老年人权益的事件</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有相关事件取消评定资格</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15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c>
          <w:tcPr>
            <w:tcW w:w="669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5.2.2发现有歧视、侮辱老人的言行</w:t>
            </w:r>
          </w:p>
        </w:tc>
        <w:tc>
          <w:tcPr>
            <w:tcW w:w="3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视情节扣5-8分</w:t>
            </w:r>
          </w:p>
        </w:tc>
        <w:tc>
          <w:tcPr>
            <w:tcW w:w="9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color w:val="000000"/>
                <w:sz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sectPr>
          <w:pgSz w:w="16838" w:h="11906" w:orient="landscape"/>
          <w:pgMar w:top="1531" w:right="1531" w:bottom="1531" w:left="1531" w:header="851" w:footer="1332" w:gutter="0"/>
          <w:pgNumType w:fmt="numberInDash"/>
          <w:cols w:space="720" w:num="1"/>
          <w:rtlGutter w:val="0"/>
          <w:docGrid w:type="lines" w:linePitch="315"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415AF"/>
    <w:rsid w:val="1B741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rPr>
      <w:sz w:val="28"/>
      <w:szCs w:val="20"/>
    </w:r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省卫生和计划生育委员会</Company>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2022-05-07T03:03:00Z</dcterms:created>
  <dc:creator>user</dc:creator>
  <cp:lastModifiedBy>user</cp:lastModifiedBy>
  <dcterms:modified xsi:type="dcterms:W3CDTF">2022-05-07T03:03:37Z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