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360" w:lineRule="auto"/>
        <w:jc w:val="left"/>
        <w:rPr>
          <w:rFonts w:hint="eastAsia" w:ascii="Times New Roman" w:eastAsia="方正小标宋简体" w:cs="方正小标宋简体"/>
          <w:kern w:val="2"/>
          <w:sz w:val="28"/>
          <w:szCs w:val="32"/>
        </w:rPr>
      </w:pPr>
      <w:r>
        <w:rPr>
          <w:rFonts w:ascii="黑体" w:hAnsi="黑体" w:eastAsia="黑体" w:cs="黑体"/>
          <w:spacing w:val="-16"/>
          <w:sz w:val="27"/>
          <w:szCs w:val="27"/>
        </w:rPr>
        <w:t>附</w:t>
      </w:r>
      <w:r>
        <w:rPr>
          <w:rFonts w:ascii="黑体" w:hAnsi="黑体" w:eastAsia="黑体" w:cs="黑体"/>
          <w:spacing w:val="-14"/>
          <w:sz w:val="27"/>
          <w:szCs w:val="27"/>
        </w:rPr>
        <w:t xml:space="preserve">件 </w:t>
      </w:r>
      <w:r>
        <w:rPr>
          <w:rFonts w:hint="eastAsia" w:ascii="Times New Roman" w:eastAsia="宋体" w:cs="Times New Roman"/>
          <w:spacing w:val="-14"/>
          <w:sz w:val="27"/>
          <w:szCs w:val="27"/>
          <w:lang w:val="en-US" w:eastAsia="zh-CN"/>
        </w:rPr>
        <w:t>2</w:t>
      </w:r>
      <w:r>
        <w:rPr>
          <w:rFonts w:ascii="黑体" w:hAnsi="黑体" w:eastAsia="黑体" w:cs="黑体"/>
          <w:spacing w:val="-14"/>
          <w:sz w:val="32"/>
          <w:szCs w:val="32"/>
          <w14:textOutline w14:w="4064" w14:cap="flat" w14:cmpd="sng" w14:algn="ctr">
            <w14:solidFill>
              <w14:srgbClr w14:val="000000"/>
            </w14:solidFill>
            <w14:prstDash w14:val="solid"/>
            <w14:miter w14:val="0"/>
          </w14:textOutline>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kern w:val="2"/>
          <w:sz w:val="43"/>
          <w:szCs w:val="43"/>
        </w:rPr>
      </w:pPr>
      <w:r>
        <w:rPr>
          <w:rFonts w:hint="eastAsia" w:ascii="黑体" w:hAnsi="黑体" w:eastAsia="黑体" w:cs="黑体"/>
          <w:b w:val="0"/>
          <w:bCs/>
          <w:kern w:val="2"/>
          <w:sz w:val="43"/>
          <w:szCs w:val="43"/>
          <w:lang w:val="en-US" w:eastAsia="zh-CN"/>
        </w:rPr>
        <w:t>辽宁省地方标准</w:t>
      </w:r>
      <w:r>
        <w:rPr>
          <w:rFonts w:hint="eastAsia" w:ascii="黑体" w:hAnsi="黑体" w:eastAsia="黑体" w:cs="黑体"/>
          <w:b w:val="0"/>
          <w:bCs/>
          <w:kern w:val="2"/>
          <w:sz w:val="43"/>
          <w:szCs w:val="43"/>
        </w:rPr>
        <w:t>《预防接种门诊疫苗自动储存与分发系统的基本功能规范》</w:t>
      </w:r>
    </w:p>
    <w:p>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jc w:val="center"/>
        <w:textAlignment w:val="auto"/>
        <w:rPr>
          <w:rFonts w:hint="eastAsia" w:ascii="黑体" w:hAnsi="黑体" w:eastAsia="黑体" w:cs="黑体"/>
          <w:b w:val="0"/>
          <w:bCs/>
          <w:kern w:val="2"/>
          <w:sz w:val="44"/>
          <w:szCs w:val="44"/>
        </w:rPr>
      </w:pPr>
      <w:r>
        <w:rPr>
          <w:rFonts w:hint="eastAsia" w:ascii="黑体" w:hAnsi="黑体" w:eastAsia="黑体" w:cs="黑体"/>
          <w:b w:val="0"/>
          <w:bCs/>
          <w:kern w:val="2"/>
          <w:sz w:val="44"/>
          <w:szCs w:val="44"/>
        </w:rPr>
        <w:t>编制说明</w:t>
      </w:r>
    </w:p>
    <w:p>
      <w:pPr>
        <w:spacing w:before="312" w:beforeLines="100" w:after="312" w:afterLines="100" w:line="360" w:lineRule="auto"/>
        <w:jc w:val="center"/>
        <w:rPr>
          <w:rFonts w:hint="eastAsia" w:ascii="Times New Roman" w:eastAsia="方正小标宋简体" w:cs="方正小标宋简体"/>
          <w:b/>
          <w:kern w:val="2"/>
          <w:sz w:val="32"/>
          <w:szCs w:val="32"/>
        </w:rPr>
      </w:pPr>
    </w:p>
    <w:p>
      <w:pPr>
        <w:spacing w:before="312" w:beforeLines="100" w:after="312" w:afterLines="100" w:line="360" w:lineRule="auto"/>
        <w:jc w:val="center"/>
        <w:rPr>
          <w:rFonts w:hint="eastAsia" w:ascii="Times New Roman" w:eastAsia="方正小标宋简体" w:cs="方正小标宋简体"/>
          <w:kern w:val="2"/>
          <w:sz w:val="32"/>
          <w:szCs w:val="32"/>
        </w:rPr>
      </w:pPr>
    </w:p>
    <w:p>
      <w:pPr>
        <w:spacing w:before="312" w:beforeLines="100" w:after="312" w:afterLines="100" w:line="360" w:lineRule="auto"/>
        <w:jc w:val="center"/>
        <w:rPr>
          <w:rFonts w:hint="eastAsia" w:ascii="Times New Roman" w:eastAsia="方正小标宋简体" w:cs="方正小标宋简体"/>
          <w:kern w:val="2"/>
          <w:sz w:val="32"/>
          <w:szCs w:val="32"/>
        </w:rPr>
      </w:pPr>
    </w:p>
    <w:p>
      <w:pPr>
        <w:spacing w:before="312" w:beforeLines="100" w:after="312" w:afterLines="100" w:line="360" w:lineRule="auto"/>
        <w:jc w:val="center"/>
        <w:rPr>
          <w:rFonts w:hint="eastAsia" w:ascii="Times New Roman" w:eastAsia="方正小标宋简体" w:cs="方正小标宋简体"/>
          <w:kern w:val="2"/>
          <w:sz w:val="32"/>
          <w:szCs w:val="32"/>
        </w:rPr>
      </w:pPr>
    </w:p>
    <w:p>
      <w:pPr>
        <w:spacing w:before="312" w:beforeLines="100" w:after="312" w:afterLines="100" w:line="360" w:lineRule="auto"/>
        <w:jc w:val="center"/>
        <w:rPr>
          <w:rFonts w:hint="eastAsia" w:ascii="Times New Roman" w:eastAsia="方正小标宋简体" w:cs="方正小标宋简体"/>
          <w:kern w:val="2"/>
          <w:sz w:val="32"/>
          <w:szCs w:val="32"/>
        </w:rPr>
      </w:pPr>
    </w:p>
    <w:p>
      <w:pPr>
        <w:spacing w:before="312" w:beforeLines="100" w:after="312" w:afterLines="100" w:line="360" w:lineRule="auto"/>
        <w:jc w:val="center"/>
        <w:rPr>
          <w:rFonts w:hint="eastAsia" w:ascii="黑体" w:hAnsi="黑体" w:eastAsia="黑体"/>
          <w:sz w:val="28"/>
          <w:szCs w:val="28"/>
        </w:rPr>
      </w:pPr>
      <w:r>
        <w:rPr>
          <w:rFonts w:hint="eastAsia" w:ascii="黑体" w:hAnsi="黑体" w:eastAsia="黑体" w:cs="方正小标宋简体"/>
          <w:kern w:val="2"/>
          <w:sz w:val="28"/>
          <w:szCs w:val="28"/>
        </w:rPr>
        <w:t xml:space="preserve">辽宁省疾病预防控制中心  </w:t>
      </w:r>
      <w:r>
        <w:rPr>
          <w:rFonts w:hint="eastAsia" w:ascii="黑体" w:hAnsi="黑体" w:eastAsia="黑体"/>
          <w:sz w:val="28"/>
          <w:szCs w:val="28"/>
        </w:rPr>
        <w:t>沈苏科技（苏州）股份有限公司</w:t>
      </w:r>
    </w:p>
    <w:p>
      <w:pPr>
        <w:spacing w:before="312" w:beforeLines="100" w:after="312" w:afterLines="100" w:line="360" w:lineRule="auto"/>
        <w:jc w:val="center"/>
        <w:rPr>
          <w:rFonts w:ascii="Times New Roman" w:eastAsia="方正小标宋简体" w:cs="方正小标宋简体"/>
          <w:kern w:val="2"/>
          <w:sz w:val="32"/>
          <w:szCs w:val="32"/>
        </w:rPr>
      </w:pPr>
      <w:r>
        <w:rPr>
          <w:rFonts w:hint="eastAsia" w:ascii="黑体" w:hAnsi="黑体" w:eastAsia="黑体"/>
          <w:sz w:val="28"/>
          <w:szCs w:val="28"/>
        </w:rPr>
        <w:t>2024年4月</w:t>
      </w:r>
      <w:r>
        <w:rPr>
          <w:rFonts w:ascii="Times New Roman" w:eastAsia="方正小标宋简体" w:cs="方正小标宋简体"/>
          <w:kern w:val="2"/>
          <w:sz w:val="32"/>
          <w:szCs w:val="32"/>
        </w:rPr>
        <w:br w:type="page"/>
      </w:r>
    </w:p>
    <w:p>
      <w:pPr>
        <w:pStyle w:val="28"/>
        <w:spacing w:after="624" w:afterLines="200" w:line="360" w:lineRule="auto"/>
        <w:jc w:val="center"/>
        <w:rPr>
          <w:rFonts w:hint="eastAsia" w:ascii="黑体" w:hAnsi="黑体" w:eastAsia="黑体" w:cs="黑体"/>
          <w:color w:val="auto"/>
          <w:sz w:val="32"/>
          <w:szCs w:val="32"/>
        </w:rPr>
      </w:pPr>
      <w:r>
        <w:rPr>
          <w:rFonts w:hint="eastAsia" w:ascii="黑体" w:hAnsi="黑体" w:eastAsia="黑体" w:cs="黑体"/>
          <w:color w:val="auto"/>
          <w:sz w:val="32"/>
          <w:szCs w:val="32"/>
          <w:lang w:val="zh-CN"/>
        </w:rPr>
        <w:t>目    录</w:t>
      </w:r>
    </w:p>
    <w:p>
      <w:pPr>
        <w:pStyle w:val="8"/>
        <w:tabs>
          <w:tab w:val="right" w:leader="dot" w:pos="8948"/>
        </w:tabs>
        <w:spacing w:line="360" w:lineRule="auto"/>
        <w:rPr>
          <w:rFonts w:hint="eastAsia" w:ascii="宋体" w:hAnsi="宋体" w:eastAsia="宋体" w:cs="宋体"/>
          <w:sz w:val="21"/>
          <w:szCs w:val="21"/>
        </w:rPr>
      </w:pPr>
      <w:r>
        <w:rPr>
          <w:rFonts w:ascii="黑体" w:hAnsi="黑体" w:eastAsia="黑体"/>
        </w:rPr>
        <w:fldChar w:fldCharType="begin"/>
      </w:r>
      <w:r>
        <w:rPr>
          <w:rFonts w:ascii="黑体" w:hAnsi="黑体" w:eastAsia="黑体"/>
        </w:rPr>
        <w:instrText xml:space="preserve"> TOC \o "1-3" \h \z \u </w:instrText>
      </w:r>
      <w:r>
        <w:rPr>
          <w:rFonts w:ascii="黑体" w:hAnsi="黑体" w:eastAsia="黑体"/>
        </w:rPr>
        <w:fldChar w:fldCharType="separate"/>
      </w:r>
      <w:r>
        <w:rPr>
          <w:rStyle w:val="15"/>
          <w:rFonts w:hint="eastAsia" w:ascii="宋体" w:hAnsi="宋体" w:eastAsia="宋体" w:cs="宋体"/>
          <w:sz w:val="21"/>
          <w:szCs w:val="21"/>
        </w:rPr>
        <w:fldChar w:fldCharType="begin"/>
      </w:r>
      <w:r>
        <w:rPr>
          <w:rStyle w:val="15"/>
          <w:rFonts w:hint="eastAsia" w:ascii="宋体" w:hAnsi="宋体" w:eastAsia="宋体" w:cs="宋体"/>
          <w:sz w:val="21"/>
          <w:szCs w:val="21"/>
        </w:rPr>
        <w:instrText xml:space="preserve"> </w:instrText>
      </w:r>
      <w:r>
        <w:rPr>
          <w:rFonts w:hint="eastAsia" w:ascii="宋体" w:hAnsi="宋体" w:eastAsia="宋体" w:cs="宋体"/>
          <w:sz w:val="21"/>
          <w:szCs w:val="21"/>
        </w:rPr>
        <w:instrText xml:space="preserve">HYPERLINK \l "_Toc164235119"</w:instrText>
      </w:r>
      <w:r>
        <w:rPr>
          <w:rStyle w:val="15"/>
          <w:rFonts w:hint="eastAsia" w:ascii="宋体" w:hAnsi="宋体" w:eastAsia="宋体" w:cs="宋体"/>
          <w:sz w:val="21"/>
          <w:szCs w:val="21"/>
        </w:rPr>
        <w:instrText xml:space="preserve"> </w:instrText>
      </w:r>
      <w:r>
        <w:rPr>
          <w:rStyle w:val="15"/>
          <w:rFonts w:hint="eastAsia" w:ascii="宋体" w:hAnsi="宋体" w:eastAsia="宋体" w:cs="宋体"/>
          <w:sz w:val="21"/>
          <w:szCs w:val="21"/>
        </w:rPr>
        <w:fldChar w:fldCharType="separate"/>
      </w:r>
      <w:r>
        <w:rPr>
          <w:rStyle w:val="15"/>
          <w:rFonts w:hint="eastAsia" w:ascii="宋体" w:hAnsi="宋体" w:eastAsia="宋体" w:cs="宋体"/>
          <w:sz w:val="21"/>
          <w:szCs w:val="21"/>
        </w:rPr>
        <w:t>一、工作简介</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_Toc164235119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Style w:val="15"/>
          <w:rFonts w:hint="eastAsia" w:ascii="宋体" w:hAnsi="宋体" w:eastAsia="宋体" w:cs="宋体"/>
          <w:sz w:val="21"/>
          <w:szCs w:val="21"/>
        </w:rPr>
        <w:fldChar w:fldCharType="end"/>
      </w:r>
    </w:p>
    <w:p>
      <w:pPr>
        <w:pStyle w:val="9"/>
        <w:tabs>
          <w:tab w:val="right" w:leader="dot" w:pos="8948"/>
        </w:tabs>
        <w:spacing w:line="360" w:lineRule="auto"/>
        <w:ind w:left="600"/>
        <w:rPr>
          <w:rFonts w:hint="eastAsia" w:ascii="宋体" w:hAnsi="宋体" w:eastAsia="宋体" w:cs="宋体"/>
          <w:sz w:val="21"/>
          <w:szCs w:val="21"/>
        </w:rPr>
      </w:pPr>
      <w:r>
        <w:rPr>
          <w:rStyle w:val="15"/>
          <w:rFonts w:hint="eastAsia" w:ascii="宋体" w:hAnsi="宋体" w:eastAsia="宋体" w:cs="宋体"/>
          <w:sz w:val="21"/>
          <w:szCs w:val="21"/>
        </w:rPr>
        <w:fldChar w:fldCharType="begin"/>
      </w:r>
      <w:r>
        <w:rPr>
          <w:rStyle w:val="15"/>
          <w:rFonts w:hint="eastAsia" w:ascii="宋体" w:hAnsi="宋体" w:eastAsia="宋体" w:cs="宋体"/>
          <w:sz w:val="21"/>
          <w:szCs w:val="21"/>
        </w:rPr>
        <w:instrText xml:space="preserve"> </w:instrText>
      </w:r>
      <w:r>
        <w:rPr>
          <w:rFonts w:hint="eastAsia" w:ascii="宋体" w:hAnsi="宋体" w:eastAsia="宋体" w:cs="宋体"/>
          <w:sz w:val="21"/>
          <w:szCs w:val="21"/>
        </w:rPr>
        <w:instrText xml:space="preserve">HYPERLINK \l "_Toc164235120"</w:instrText>
      </w:r>
      <w:r>
        <w:rPr>
          <w:rStyle w:val="15"/>
          <w:rFonts w:hint="eastAsia" w:ascii="宋体" w:hAnsi="宋体" w:eastAsia="宋体" w:cs="宋体"/>
          <w:sz w:val="21"/>
          <w:szCs w:val="21"/>
        </w:rPr>
        <w:instrText xml:space="preserve"> </w:instrText>
      </w:r>
      <w:r>
        <w:rPr>
          <w:rStyle w:val="15"/>
          <w:rFonts w:hint="eastAsia" w:ascii="宋体" w:hAnsi="宋体" w:eastAsia="宋体" w:cs="宋体"/>
          <w:sz w:val="21"/>
          <w:szCs w:val="21"/>
        </w:rPr>
        <w:fldChar w:fldCharType="separate"/>
      </w:r>
      <w:r>
        <w:rPr>
          <w:rStyle w:val="15"/>
          <w:rFonts w:hint="eastAsia" w:ascii="宋体" w:hAnsi="宋体" w:eastAsia="宋体" w:cs="宋体"/>
          <w:sz w:val="21"/>
          <w:szCs w:val="21"/>
          <w:lang w:val="en-US" w:eastAsia="zh-CN"/>
        </w:rPr>
        <w:t>1</w:t>
      </w:r>
      <w:r>
        <w:rPr>
          <w:rStyle w:val="15"/>
          <w:rFonts w:hint="eastAsia" w:ascii="宋体" w:hAnsi="宋体" w:eastAsia="宋体" w:cs="宋体"/>
          <w:sz w:val="21"/>
          <w:szCs w:val="21"/>
        </w:rPr>
        <w:t>任务来源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_Toc164235120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Style w:val="15"/>
          <w:rFonts w:hint="eastAsia" w:ascii="宋体" w:hAnsi="宋体" w:eastAsia="宋体" w:cs="宋体"/>
          <w:sz w:val="21"/>
          <w:szCs w:val="21"/>
        </w:rPr>
        <w:fldChar w:fldCharType="end"/>
      </w:r>
    </w:p>
    <w:p>
      <w:pPr>
        <w:pStyle w:val="9"/>
        <w:tabs>
          <w:tab w:val="right" w:leader="dot" w:pos="8948"/>
        </w:tabs>
        <w:spacing w:line="360" w:lineRule="auto"/>
        <w:ind w:left="600"/>
        <w:rPr>
          <w:rFonts w:hint="eastAsia" w:ascii="宋体" w:hAnsi="宋体" w:eastAsia="宋体" w:cs="宋体"/>
          <w:sz w:val="21"/>
          <w:szCs w:val="21"/>
        </w:rPr>
      </w:pPr>
      <w:r>
        <w:rPr>
          <w:rStyle w:val="15"/>
          <w:rFonts w:hint="eastAsia" w:ascii="宋体" w:hAnsi="宋体" w:eastAsia="宋体" w:cs="宋体"/>
          <w:sz w:val="21"/>
          <w:szCs w:val="21"/>
        </w:rPr>
        <w:fldChar w:fldCharType="begin"/>
      </w:r>
      <w:r>
        <w:rPr>
          <w:rStyle w:val="15"/>
          <w:rFonts w:hint="eastAsia" w:ascii="宋体" w:hAnsi="宋体" w:eastAsia="宋体" w:cs="宋体"/>
          <w:sz w:val="21"/>
          <w:szCs w:val="21"/>
        </w:rPr>
        <w:instrText xml:space="preserve"> </w:instrText>
      </w:r>
      <w:r>
        <w:rPr>
          <w:rFonts w:hint="eastAsia" w:ascii="宋体" w:hAnsi="宋体" w:eastAsia="宋体" w:cs="宋体"/>
          <w:sz w:val="21"/>
          <w:szCs w:val="21"/>
        </w:rPr>
        <w:instrText xml:space="preserve">HYPERLINK \l "_Toc164235121"</w:instrText>
      </w:r>
      <w:r>
        <w:rPr>
          <w:rStyle w:val="15"/>
          <w:rFonts w:hint="eastAsia" w:ascii="宋体" w:hAnsi="宋体" w:eastAsia="宋体" w:cs="宋体"/>
          <w:sz w:val="21"/>
          <w:szCs w:val="21"/>
        </w:rPr>
        <w:instrText xml:space="preserve"> </w:instrText>
      </w:r>
      <w:r>
        <w:rPr>
          <w:rStyle w:val="15"/>
          <w:rFonts w:hint="eastAsia" w:ascii="宋体" w:hAnsi="宋体" w:eastAsia="宋体" w:cs="宋体"/>
          <w:sz w:val="21"/>
          <w:szCs w:val="21"/>
        </w:rPr>
        <w:fldChar w:fldCharType="separate"/>
      </w:r>
      <w:r>
        <w:rPr>
          <w:rStyle w:val="15"/>
          <w:rFonts w:hint="eastAsia" w:ascii="宋体" w:hAnsi="宋体" w:eastAsia="宋体" w:cs="宋体"/>
          <w:sz w:val="21"/>
          <w:szCs w:val="21"/>
          <w:lang w:val="en-US" w:eastAsia="zh-CN"/>
        </w:rPr>
        <w:t>2</w:t>
      </w:r>
      <w:r>
        <w:rPr>
          <w:rStyle w:val="15"/>
          <w:rFonts w:hint="eastAsia" w:ascii="宋体" w:hAnsi="宋体" w:eastAsia="宋体" w:cs="宋体"/>
          <w:sz w:val="21"/>
          <w:szCs w:val="21"/>
        </w:rPr>
        <w:t>制定标准的必要性和意义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_Toc164235121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Style w:val="15"/>
          <w:rFonts w:hint="eastAsia" w:ascii="宋体" w:hAnsi="宋体" w:eastAsia="宋体" w:cs="宋体"/>
          <w:sz w:val="21"/>
          <w:szCs w:val="21"/>
        </w:rPr>
        <w:fldChar w:fldCharType="end"/>
      </w:r>
    </w:p>
    <w:p>
      <w:pPr>
        <w:pStyle w:val="9"/>
        <w:tabs>
          <w:tab w:val="right" w:leader="dot" w:pos="8948"/>
        </w:tabs>
        <w:spacing w:line="360" w:lineRule="auto"/>
        <w:ind w:left="600"/>
        <w:rPr>
          <w:rFonts w:hint="eastAsia" w:ascii="宋体" w:hAnsi="宋体" w:eastAsia="宋体" w:cs="宋体"/>
          <w:sz w:val="21"/>
          <w:szCs w:val="21"/>
        </w:rPr>
      </w:pPr>
      <w:r>
        <w:rPr>
          <w:rStyle w:val="15"/>
          <w:rFonts w:hint="eastAsia" w:ascii="宋体" w:hAnsi="宋体" w:eastAsia="宋体" w:cs="宋体"/>
          <w:sz w:val="21"/>
          <w:szCs w:val="21"/>
        </w:rPr>
        <w:fldChar w:fldCharType="begin"/>
      </w:r>
      <w:r>
        <w:rPr>
          <w:rStyle w:val="15"/>
          <w:rFonts w:hint="eastAsia" w:ascii="宋体" w:hAnsi="宋体" w:eastAsia="宋体" w:cs="宋体"/>
          <w:sz w:val="21"/>
          <w:szCs w:val="21"/>
        </w:rPr>
        <w:instrText xml:space="preserve"> </w:instrText>
      </w:r>
      <w:r>
        <w:rPr>
          <w:rFonts w:hint="eastAsia" w:ascii="宋体" w:hAnsi="宋体" w:eastAsia="宋体" w:cs="宋体"/>
          <w:sz w:val="21"/>
          <w:szCs w:val="21"/>
        </w:rPr>
        <w:instrText xml:space="preserve">HYPERLINK \l "_Toc164235122"</w:instrText>
      </w:r>
      <w:r>
        <w:rPr>
          <w:rStyle w:val="15"/>
          <w:rFonts w:hint="eastAsia" w:ascii="宋体" w:hAnsi="宋体" w:eastAsia="宋体" w:cs="宋体"/>
          <w:sz w:val="21"/>
          <w:szCs w:val="21"/>
        </w:rPr>
        <w:instrText xml:space="preserve"> </w:instrText>
      </w:r>
      <w:r>
        <w:rPr>
          <w:rStyle w:val="15"/>
          <w:rFonts w:hint="eastAsia" w:ascii="宋体" w:hAnsi="宋体" w:eastAsia="宋体" w:cs="宋体"/>
          <w:sz w:val="21"/>
          <w:szCs w:val="21"/>
        </w:rPr>
        <w:fldChar w:fldCharType="separate"/>
      </w:r>
      <w:r>
        <w:rPr>
          <w:rStyle w:val="15"/>
          <w:rFonts w:hint="eastAsia" w:ascii="宋体" w:hAnsi="宋体" w:eastAsia="宋体" w:cs="宋体"/>
          <w:sz w:val="21"/>
          <w:szCs w:val="21"/>
          <w:lang w:val="en-US" w:eastAsia="zh-CN"/>
        </w:rPr>
        <w:t>3</w:t>
      </w:r>
      <w:r>
        <w:rPr>
          <w:rStyle w:val="15"/>
          <w:rFonts w:hint="eastAsia" w:ascii="宋体" w:hAnsi="宋体" w:eastAsia="宋体" w:cs="宋体"/>
          <w:sz w:val="21"/>
          <w:szCs w:val="21"/>
        </w:rPr>
        <w:t>起草单位</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_Toc164235122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Style w:val="15"/>
          <w:rFonts w:hint="eastAsia" w:ascii="宋体" w:hAnsi="宋体" w:eastAsia="宋体" w:cs="宋体"/>
          <w:sz w:val="21"/>
          <w:szCs w:val="21"/>
        </w:rPr>
        <w:fldChar w:fldCharType="end"/>
      </w:r>
    </w:p>
    <w:p>
      <w:pPr>
        <w:pStyle w:val="9"/>
        <w:tabs>
          <w:tab w:val="right" w:leader="dot" w:pos="8948"/>
        </w:tabs>
        <w:spacing w:line="360" w:lineRule="auto"/>
        <w:ind w:left="600"/>
        <w:rPr>
          <w:rFonts w:hint="eastAsia" w:ascii="宋体" w:hAnsi="宋体" w:eastAsia="宋体" w:cs="宋体"/>
          <w:sz w:val="21"/>
          <w:szCs w:val="21"/>
        </w:rPr>
      </w:pPr>
      <w:r>
        <w:rPr>
          <w:rStyle w:val="15"/>
          <w:rFonts w:hint="eastAsia" w:ascii="宋体" w:hAnsi="宋体" w:eastAsia="宋体" w:cs="宋体"/>
          <w:sz w:val="21"/>
          <w:szCs w:val="21"/>
        </w:rPr>
        <w:fldChar w:fldCharType="begin"/>
      </w:r>
      <w:r>
        <w:rPr>
          <w:rStyle w:val="15"/>
          <w:rFonts w:hint="eastAsia" w:ascii="宋体" w:hAnsi="宋体" w:eastAsia="宋体" w:cs="宋体"/>
          <w:sz w:val="21"/>
          <w:szCs w:val="21"/>
        </w:rPr>
        <w:instrText xml:space="preserve"> </w:instrText>
      </w:r>
      <w:r>
        <w:rPr>
          <w:rFonts w:hint="eastAsia" w:ascii="宋体" w:hAnsi="宋体" w:eastAsia="宋体" w:cs="宋体"/>
          <w:sz w:val="21"/>
          <w:szCs w:val="21"/>
        </w:rPr>
        <w:instrText xml:space="preserve">HYPERLINK \l "_Toc164235123"</w:instrText>
      </w:r>
      <w:r>
        <w:rPr>
          <w:rStyle w:val="15"/>
          <w:rFonts w:hint="eastAsia" w:ascii="宋体" w:hAnsi="宋体" w:eastAsia="宋体" w:cs="宋体"/>
          <w:sz w:val="21"/>
          <w:szCs w:val="21"/>
        </w:rPr>
        <w:instrText xml:space="preserve"> </w:instrText>
      </w:r>
      <w:r>
        <w:rPr>
          <w:rStyle w:val="15"/>
          <w:rFonts w:hint="eastAsia" w:ascii="宋体" w:hAnsi="宋体" w:eastAsia="宋体" w:cs="宋体"/>
          <w:sz w:val="21"/>
          <w:szCs w:val="21"/>
        </w:rPr>
        <w:fldChar w:fldCharType="separate"/>
      </w:r>
      <w:r>
        <w:rPr>
          <w:rStyle w:val="15"/>
          <w:rFonts w:hint="eastAsia" w:ascii="宋体" w:hAnsi="宋体" w:eastAsia="宋体" w:cs="宋体"/>
          <w:sz w:val="21"/>
          <w:szCs w:val="21"/>
          <w:lang w:val="en-US" w:eastAsia="zh-CN"/>
        </w:rPr>
        <w:t>4</w:t>
      </w:r>
      <w:r>
        <w:rPr>
          <w:rStyle w:val="15"/>
          <w:rFonts w:hint="eastAsia" w:ascii="宋体" w:hAnsi="宋体" w:eastAsia="宋体" w:cs="宋体"/>
          <w:sz w:val="21"/>
          <w:szCs w:val="21"/>
        </w:rPr>
        <w:t>协作单位</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_Toc164235123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Style w:val="15"/>
          <w:rFonts w:hint="eastAsia" w:ascii="宋体" w:hAnsi="宋体" w:eastAsia="宋体" w:cs="宋体"/>
          <w:sz w:val="21"/>
          <w:szCs w:val="21"/>
        </w:rPr>
        <w:fldChar w:fldCharType="end"/>
      </w:r>
    </w:p>
    <w:p>
      <w:pPr>
        <w:pStyle w:val="9"/>
        <w:tabs>
          <w:tab w:val="right" w:leader="dot" w:pos="8948"/>
        </w:tabs>
        <w:spacing w:line="360" w:lineRule="auto"/>
        <w:ind w:left="600"/>
        <w:rPr>
          <w:rFonts w:hint="eastAsia" w:ascii="宋体" w:hAnsi="宋体" w:eastAsia="宋体" w:cs="宋体"/>
          <w:sz w:val="21"/>
          <w:szCs w:val="21"/>
        </w:rPr>
      </w:pPr>
      <w:r>
        <w:rPr>
          <w:rStyle w:val="15"/>
          <w:rFonts w:hint="eastAsia" w:ascii="宋体" w:hAnsi="宋体" w:eastAsia="宋体" w:cs="宋体"/>
          <w:sz w:val="21"/>
          <w:szCs w:val="21"/>
        </w:rPr>
        <w:fldChar w:fldCharType="begin"/>
      </w:r>
      <w:r>
        <w:rPr>
          <w:rStyle w:val="15"/>
          <w:rFonts w:hint="eastAsia" w:ascii="宋体" w:hAnsi="宋体" w:eastAsia="宋体" w:cs="宋体"/>
          <w:sz w:val="21"/>
          <w:szCs w:val="21"/>
        </w:rPr>
        <w:instrText xml:space="preserve"> </w:instrText>
      </w:r>
      <w:r>
        <w:rPr>
          <w:rFonts w:hint="eastAsia" w:ascii="宋体" w:hAnsi="宋体" w:eastAsia="宋体" w:cs="宋体"/>
          <w:sz w:val="21"/>
          <w:szCs w:val="21"/>
        </w:rPr>
        <w:instrText xml:space="preserve">HYPERLINK \l "_Toc164235124"</w:instrText>
      </w:r>
      <w:r>
        <w:rPr>
          <w:rStyle w:val="15"/>
          <w:rFonts w:hint="eastAsia" w:ascii="宋体" w:hAnsi="宋体" w:eastAsia="宋体" w:cs="宋体"/>
          <w:sz w:val="21"/>
          <w:szCs w:val="21"/>
        </w:rPr>
        <w:instrText xml:space="preserve"> </w:instrText>
      </w:r>
      <w:r>
        <w:rPr>
          <w:rStyle w:val="15"/>
          <w:rFonts w:hint="eastAsia" w:ascii="宋体" w:hAnsi="宋体" w:eastAsia="宋体" w:cs="宋体"/>
          <w:sz w:val="21"/>
          <w:szCs w:val="21"/>
        </w:rPr>
        <w:fldChar w:fldCharType="separate"/>
      </w:r>
      <w:r>
        <w:rPr>
          <w:rStyle w:val="15"/>
          <w:rFonts w:hint="eastAsia" w:ascii="宋体" w:hAnsi="宋体" w:eastAsia="宋体" w:cs="宋体"/>
          <w:sz w:val="21"/>
          <w:szCs w:val="21"/>
          <w:lang w:val="en-US" w:eastAsia="zh-CN"/>
        </w:rPr>
        <w:t>5</w:t>
      </w:r>
      <w:r>
        <w:rPr>
          <w:rStyle w:val="15"/>
          <w:rFonts w:hint="eastAsia" w:ascii="宋体" w:hAnsi="宋体" w:eastAsia="宋体" w:cs="宋体"/>
          <w:sz w:val="21"/>
          <w:szCs w:val="21"/>
        </w:rPr>
        <w:t>主要起草人及其所做的工作</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_Toc164235124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Style w:val="15"/>
          <w:rFonts w:hint="eastAsia" w:ascii="宋体" w:hAnsi="宋体" w:eastAsia="宋体" w:cs="宋体"/>
          <w:sz w:val="21"/>
          <w:szCs w:val="21"/>
        </w:rPr>
        <w:fldChar w:fldCharType="end"/>
      </w:r>
    </w:p>
    <w:p>
      <w:pPr>
        <w:pStyle w:val="9"/>
        <w:tabs>
          <w:tab w:val="right" w:leader="dot" w:pos="8948"/>
        </w:tabs>
        <w:spacing w:line="360" w:lineRule="auto"/>
        <w:ind w:left="600"/>
        <w:rPr>
          <w:rFonts w:hint="eastAsia" w:ascii="宋体" w:hAnsi="宋体" w:eastAsia="宋体" w:cs="宋体"/>
          <w:sz w:val="21"/>
          <w:szCs w:val="21"/>
        </w:rPr>
      </w:pPr>
      <w:r>
        <w:rPr>
          <w:rStyle w:val="15"/>
          <w:rFonts w:hint="eastAsia" w:ascii="宋体" w:hAnsi="宋体" w:eastAsia="宋体" w:cs="宋体"/>
          <w:sz w:val="21"/>
          <w:szCs w:val="21"/>
        </w:rPr>
        <w:fldChar w:fldCharType="begin"/>
      </w:r>
      <w:r>
        <w:rPr>
          <w:rStyle w:val="15"/>
          <w:rFonts w:hint="eastAsia" w:ascii="宋体" w:hAnsi="宋体" w:eastAsia="宋体" w:cs="宋体"/>
          <w:sz w:val="21"/>
          <w:szCs w:val="21"/>
        </w:rPr>
        <w:instrText xml:space="preserve"> </w:instrText>
      </w:r>
      <w:r>
        <w:rPr>
          <w:rFonts w:hint="eastAsia" w:ascii="宋体" w:hAnsi="宋体" w:eastAsia="宋体" w:cs="宋体"/>
          <w:sz w:val="21"/>
          <w:szCs w:val="21"/>
        </w:rPr>
        <w:instrText xml:space="preserve">HYPERLINK \l "_Toc164235125"</w:instrText>
      </w:r>
      <w:r>
        <w:rPr>
          <w:rStyle w:val="15"/>
          <w:rFonts w:hint="eastAsia" w:ascii="宋体" w:hAnsi="宋体" w:eastAsia="宋体" w:cs="宋体"/>
          <w:sz w:val="21"/>
          <w:szCs w:val="21"/>
        </w:rPr>
        <w:instrText xml:space="preserve"> </w:instrText>
      </w:r>
      <w:r>
        <w:rPr>
          <w:rStyle w:val="15"/>
          <w:rFonts w:hint="eastAsia" w:ascii="宋体" w:hAnsi="宋体" w:eastAsia="宋体" w:cs="宋体"/>
          <w:sz w:val="21"/>
          <w:szCs w:val="21"/>
        </w:rPr>
        <w:fldChar w:fldCharType="separate"/>
      </w:r>
      <w:r>
        <w:rPr>
          <w:rStyle w:val="15"/>
          <w:rFonts w:hint="eastAsia" w:ascii="宋体" w:hAnsi="宋体" w:eastAsia="宋体" w:cs="宋体"/>
          <w:sz w:val="21"/>
          <w:szCs w:val="21"/>
          <w:lang w:val="en-US" w:eastAsia="zh-CN"/>
        </w:rPr>
        <w:t>6</w:t>
      </w:r>
      <w:r>
        <w:rPr>
          <w:rStyle w:val="15"/>
          <w:rFonts w:hint="eastAsia" w:ascii="宋体" w:hAnsi="宋体" w:eastAsia="宋体" w:cs="宋体"/>
          <w:sz w:val="21"/>
          <w:szCs w:val="21"/>
        </w:rPr>
        <w:t>主要工作过程</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_Toc164235125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Style w:val="15"/>
          <w:rFonts w:hint="eastAsia" w:ascii="宋体" w:hAnsi="宋体" w:eastAsia="宋体" w:cs="宋体"/>
          <w:sz w:val="21"/>
          <w:szCs w:val="21"/>
        </w:rPr>
        <w:fldChar w:fldCharType="end"/>
      </w:r>
    </w:p>
    <w:p>
      <w:pPr>
        <w:pStyle w:val="8"/>
        <w:tabs>
          <w:tab w:val="right" w:leader="dot" w:pos="8948"/>
        </w:tabs>
        <w:spacing w:line="360" w:lineRule="auto"/>
        <w:rPr>
          <w:rFonts w:hint="eastAsia" w:ascii="宋体" w:hAnsi="宋体" w:eastAsia="宋体" w:cs="宋体"/>
          <w:sz w:val="21"/>
          <w:szCs w:val="21"/>
        </w:rPr>
      </w:pPr>
      <w:r>
        <w:rPr>
          <w:rStyle w:val="15"/>
          <w:rFonts w:hint="eastAsia" w:ascii="宋体" w:hAnsi="宋体" w:eastAsia="宋体" w:cs="宋体"/>
          <w:sz w:val="21"/>
          <w:szCs w:val="21"/>
        </w:rPr>
        <w:fldChar w:fldCharType="begin"/>
      </w:r>
      <w:r>
        <w:rPr>
          <w:rStyle w:val="15"/>
          <w:rFonts w:hint="eastAsia" w:ascii="宋体" w:hAnsi="宋体" w:eastAsia="宋体" w:cs="宋体"/>
          <w:sz w:val="21"/>
          <w:szCs w:val="21"/>
        </w:rPr>
        <w:instrText xml:space="preserve"> </w:instrText>
      </w:r>
      <w:r>
        <w:rPr>
          <w:rFonts w:hint="eastAsia" w:ascii="宋体" w:hAnsi="宋体" w:eastAsia="宋体" w:cs="宋体"/>
          <w:sz w:val="21"/>
          <w:szCs w:val="21"/>
        </w:rPr>
        <w:instrText xml:space="preserve">HYPERLINK \l "_Toc164235126"</w:instrText>
      </w:r>
      <w:r>
        <w:rPr>
          <w:rStyle w:val="15"/>
          <w:rFonts w:hint="eastAsia" w:ascii="宋体" w:hAnsi="宋体" w:eastAsia="宋体" w:cs="宋体"/>
          <w:sz w:val="21"/>
          <w:szCs w:val="21"/>
        </w:rPr>
        <w:instrText xml:space="preserve"> </w:instrText>
      </w:r>
      <w:r>
        <w:rPr>
          <w:rStyle w:val="15"/>
          <w:rFonts w:hint="eastAsia" w:ascii="宋体" w:hAnsi="宋体" w:eastAsia="宋体" w:cs="宋体"/>
          <w:sz w:val="21"/>
          <w:szCs w:val="21"/>
        </w:rPr>
        <w:fldChar w:fldCharType="separate"/>
      </w:r>
      <w:r>
        <w:rPr>
          <w:rStyle w:val="15"/>
          <w:rFonts w:hint="eastAsia" w:ascii="宋体" w:hAnsi="宋体" w:eastAsia="宋体" w:cs="宋体"/>
          <w:sz w:val="21"/>
          <w:szCs w:val="21"/>
        </w:rPr>
        <w:t>二、标准编制原则和确定地方标准主要内容的论据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_Toc164235126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Style w:val="15"/>
          <w:rFonts w:hint="eastAsia" w:ascii="宋体" w:hAnsi="宋体" w:eastAsia="宋体" w:cs="宋体"/>
          <w:sz w:val="21"/>
          <w:szCs w:val="21"/>
        </w:rPr>
        <w:fldChar w:fldCharType="end"/>
      </w:r>
    </w:p>
    <w:p>
      <w:pPr>
        <w:pStyle w:val="9"/>
        <w:tabs>
          <w:tab w:val="right" w:leader="dot" w:pos="8948"/>
        </w:tabs>
        <w:spacing w:line="360" w:lineRule="auto"/>
        <w:ind w:left="600"/>
        <w:rPr>
          <w:rFonts w:hint="eastAsia" w:ascii="宋体" w:hAnsi="宋体" w:eastAsia="宋体" w:cs="宋体"/>
          <w:sz w:val="21"/>
          <w:szCs w:val="21"/>
        </w:rPr>
      </w:pPr>
      <w:r>
        <w:rPr>
          <w:rStyle w:val="15"/>
          <w:rFonts w:hint="eastAsia" w:ascii="宋体" w:hAnsi="宋体" w:eastAsia="宋体" w:cs="宋体"/>
          <w:sz w:val="21"/>
          <w:szCs w:val="21"/>
        </w:rPr>
        <w:fldChar w:fldCharType="begin"/>
      </w:r>
      <w:r>
        <w:rPr>
          <w:rStyle w:val="15"/>
          <w:rFonts w:hint="eastAsia" w:ascii="宋体" w:hAnsi="宋体" w:eastAsia="宋体" w:cs="宋体"/>
          <w:sz w:val="21"/>
          <w:szCs w:val="21"/>
        </w:rPr>
        <w:instrText xml:space="preserve"> </w:instrText>
      </w:r>
      <w:r>
        <w:rPr>
          <w:rFonts w:hint="eastAsia" w:ascii="宋体" w:hAnsi="宋体" w:eastAsia="宋体" w:cs="宋体"/>
          <w:sz w:val="21"/>
          <w:szCs w:val="21"/>
        </w:rPr>
        <w:instrText xml:space="preserve">HYPERLINK \l "_Toc164235127"</w:instrText>
      </w:r>
      <w:r>
        <w:rPr>
          <w:rStyle w:val="15"/>
          <w:rFonts w:hint="eastAsia" w:ascii="宋体" w:hAnsi="宋体" w:eastAsia="宋体" w:cs="宋体"/>
          <w:sz w:val="21"/>
          <w:szCs w:val="21"/>
        </w:rPr>
        <w:instrText xml:space="preserve"> </w:instrText>
      </w:r>
      <w:r>
        <w:rPr>
          <w:rStyle w:val="15"/>
          <w:rFonts w:hint="eastAsia" w:ascii="宋体" w:hAnsi="宋体" w:eastAsia="宋体" w:cs="宋体"/>
          <w:sz w:val="21"/>
          <w:szCs w:val="21"/>
        </w:rPr>
        <w:fldChar w:fldCharType="separate"/>
      </w:r>
      <w:r>
        <w:rPr>
          <w:rStyle w:val="15"/>
          <w:rFonts w:hint="eastAsia" w:ascii="宋体" w:hAnsi="宋体" w:eastAsia="宋体" w:cs="宋体"/>
          <w:sz w:val="21"/>
          <w:szCs w:val="21"/>
          <w:lang w:val="en-US" w:eastAsia="zh-CN"/>
        </w:rPr>
        <w:t>1</w:t>
      </w:r>
      <w:r>
        <w:rPr>
          <w:rStyle w:val="15"/>
          <w:rFonts w:hint="eastAsia" w:ascii="宋体" w:hAnsi="宋体" w:eastAsia="宋体" w:cs="宋体"/>
          <w:sz w:val="21"/>
          <w:szCs w:val="21"/>
        </w:rPr>
        <w:t>编制原则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_Toc164235127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Style w:val="15"/>
          <w:rFonts w:hint="eastAsia" w:ascii="宋体" w:hAnsi="宋体" w:eastAsia="宋体" w:cs="宋体"/>
          <w:sz w:val="21"/>
          <w:szCs w:val="21"/>
        </w:rPr>
        <w:fldChar w:fldCharType="end"/>
      </w:r>
    </w:p>
    <w:p>
      <w:pPr>
        <w:pStyle w:val="9"/>
        <w:tabs>
          <w:tab w:val="right" w:leader="dot" w:pos="8948"/>
        </w:tabs>
        <w:spacing w:line="360" w:lineRule="auto"/>
        <w:ind w:left="600"/>
        <w:rPr>
          <w:rFonts w:hint="eastAsia" w:ascii="宋体" w:hAnsi="宋体" w:eastAsia="宋体" w:cs="宋体"/>
          <w:sz w:val="21"/>
          <w:szCs w:val="21"/>
        </w:rPr>
      </w:pPr>
      <w:r>
        <w:rPr>
          <w:rStyle w:val="15"/>
          <w:rFonts w:hint="eastAsia" w:ascii="宋体" w:hAnsi="宋体" w:eastAsia="宋体" w:cs="宋体"/>
          <w:sz w:val="21"/>
          <w:szCs w:val="21"/>
        </w:rPr>
        <w:fldChar w:fldCharType="begin"/>
      </w:r>
      <w:r>
        <w:rPr>
          <w:rStyle w:val="15"/>
          <w:rFonts w:hint="eastAsia" w:ascii="宋体" w:hAnsi="宋体" w:eastAsia="宋体" w:cs="宋体"/>
          <w:sz w:val="21"/>
          <w:szCs w:val="21"/>
        </w:rPr>
        <w:instrText xml:space="preserve"> </w:instrText>
      </w:r>
      <w:r>
        <w:rPr>
          <w:rFonts w:hint="eastAsia" w:ascii="宋体" w:hAnsi="宋体" w:eastAsia="宋体" w:cs="宋体"/>
          <w:sz w:val="21"/>
          <w:szCs w:val="21"/>
        </w:rPr>
        <w:instrText xml:space="preserve">HYPERLINK \l "_Toc164235128"</w:instrText>
      </w:r>
      <w:r>
        <w:rPr>
          <w:rStyle w:val="15"/>
          <w:rFonts w:hint="eastAsia" w:ascii="宋体" w:hAnsi="宋体" w:eastAsia="宋体" w:cs="宋体"/>
          <w:sz w:val="21"/>
          <w:szCs w:val="21"/>
        </w:rPr>
        <w:instrText xml:space="preserve"> </w:instrText>
      </w:r>
      <w:r>
        <w:rPr>
          <w:rStyle w:val="15"/>
          <w:rFonts w:hint="eastAsia" w:ascii="宋体" w:hAnsi="宋体" w:eastAsia="宋体" w:cs="宋体"/>
          <w:sz w:val="21"/>
          <w:szCs w:val="21"/>
        </w:rPr>
        <w:fldChar w:fldCharType="separate"/>
      </w:r>
      <w:r>
        <w:rPr>
          <w:rStyle w:val="15"/>
          <w:rFonts w:hint="eastAsia" w:ascii="宋体" w:hAnsi="宋体" w:eastAsia="宋体" w:cs="宋体"/>
          <w:sz w:val="21"/>
          <w:szCs w:val="21"/>
          <w:lang w:val="en-US" w:eastAsia="zh-CN"/>
        </w:rPr>
        <w:t>2</w:t>
      </w:r>
      <w:r>
        <w:rPr>
          <w:rStyle w:val="15"/>
          <w:rFonts w:hint="eastAsia" w:ascii="宋体" w:hAnsi="宋体" w:eastAsia="宋体" w:cs="宋体"/>
          <w:sz w:val="21"/>
          <w:szCs w:val="21"/>
        </w:rPr>
        <w:t>确定地方标准主要内容</w:t>
      </w:r>
      <w:bookmarkStart w:id="0" w:name="_Hlt164235327"/>
      <w:bookmarkStart w:id="1" w:name="_Hlt164235326"/>
      <w:r>
        <w:rPr>
          <w:rStyle w:val="15"/>
          <w:rFonts w:hint="eastAsia" w:ascii="宋体" w:hAnsi="宋体" w:eastAsia="宋体" w:cs="宋体"/>
          <w:sz w:val="21"/>
          <w:szCs w:val="21"/>
        </w:rPr>
        <w:t>的</w:t>
      </w:r>
      <w:bookmarkEnd w:id="0"/>
      <w:bookmarkEnd w:id="1"/>
      <w:r>
        <w:rPr>
          <w:rStyle w:val="15"/>
          <w:rFonts w:hint="eastAsia" w:ascii="宋体" w:hAnsi="宋体" w:eastAsia="宋体" w:cs="宋体"/>
          <w:sz w:val="21"/>
          <w:szCs w:val="21"/>
        </w:rPr>
        <w:t>论据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_Toc164235128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Style w:val="15"/>
          <w:rFonts w:hint="eastAsia" w:ascii="宋体" w:hAnsi="宋体" w:eastAsia="宋体" w:cs="宋体"/>
          <w:sz w:val="21"/>
          <w:szCs w:val="21"/>
        </w:rPr>
        <w:fldChar w:fldCharType="end"/>
      </w:r>
    </w:p>
    <w:p>
      <w:pPr>
        <w:pStyle w:val="8"/>
        <w:tabs>
          <w:tab w:val="right" w:leader="dot" w:pos="8948"/>
        </w:tabs>
        <w:spacing w:line="360" w:lineRule="auto"/>
        <w:rPr>
          <w:rFonts w:hint="eastAsia" w:ascii="宋体" w:hAnsi="宋体" w:eastAsia="宋体" w:cs="宋体"/>
          <w:sz w:val="21"/>
          <w:szCs w:val="21"/>
        </w:rPr>
      </w:pPr>
      <w:r>
        <w:rPr>
          <w:rStyle w:val="15"/>
          <w:rFonts w:hint="eastAsia" w:ascii="宋体" w:hAnsi="宋体" w:eastAsia="宋体" w:cs="宋体"/>
          <w:sz w:val="21"/>
          <w:szCs w:val="21"/>
        </w:rPr>
        <w:fldChar w:fldCharType="begin"/>
      </w:r>
      <w:r>
        <w:rPr>
          <w:rStyle w:val="15"/>
          <w:rFonts w:hint="eastAsia" w:ascii="宋体" w:hAnsi="宋体" w:eastAsia="宋体" w:cs="宋体"/>
          <w:sz w:val="21"/>
          <w:szCs w:val="21"/>
        </w:rPr>
        <w:instrText xml:space="preserve"> </w:instrText>
      </w:r>
      <w:r>
        <w:rPr>
          <w:rFonts w:hint="eastAsia" w:ascii="宋体" w:hAnsi="宋体" w:eastAsia="宋体" w:cs="宋体"/>
          <w:sz w:val="21"/>
          <w:szCs w:val="21"/>
        </w:rPr>
        <w:instrText xml:space="preserve">HYPERLINK \l "_Toc164235129"</w:instrText>
      </w:r>
      <w:r>
        <w:rPr>
          <w:rStyle w:val="15"/>
          <w:rFonts w:hint="eastAsia" w:ascii="宋体" w:hAnsi="宋体" w:eastAsia="宋体" w:cs="宋体"/>
          <w:sz w:val="21"/>
          <w:szCs w:val="21"/>
        </w:rPr>
        <w:instrText xml:space="preserve"> </w:instrText>
      </w:r>
      <w:r>
        <w:rPr>
          <w:rStyle w:val="15"/>
          <w:rFonts w:hint="eastAsia" w:ascii="宋体" w:hAnsi="宋体" w:eastAsia="宋体" w:cs="宋体"/>
          <w:sz w:val="21"/>
          <w:szCs w:val="21"/>
        </w:rPr>
        <w:fldChar w:fldCharType="separate"/>
      </w:r>
      <w:r>
        <w:rPr>
          <w:rStyle w:val="15"/>
          <w:rFonts w:hint="eastAsia" w:ascii="宋体" w:hAnsi="宋体" w:eastAsia="宋体" w:cs="宋体"/>
          <w:sz w:val="21"/>
          <w:szCs w:val="21"/>
        </w:rPr>
        <w:t>三、主要试验（或验证）的分析、综述报告，技术经济论证，预期经济社会生态效益分析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_Toc164235129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Style w:val="15"/>
          <w:rFonts w:hint="eastAsia" w:ascii="宋体" w:hAnsi="宋体" w:eastAsia="宋体" w:cs="宋体"/>
          <w:sz w:val="21"/>
          <w:szCs w:val="21"/>
        </w:rPr>
        <w:fldChar w:fldCharType="end"/>
      </w:r>
    </w:p>
    <w:p>
      <w:pPr>
        <w:pStyle w:val="9"/>
        <w:tabs>
          <w:tab w:val="right" w:leader="dot" w:pos="8948"/>
        </w:tabs>
        <w:spacing w:line="360" w:lineRule="auto"/>
        <w:ind w:left="600"/>
        <w:rPr>
          <w:rFonts w:hint="eastAsia" w:ascii="宋体" w:hAnsi="宋体" w:eastAsia="宋体" w:cs="宋体"/>
          <w:sz w:val="21"/>
          <w:szCs w:val="21"/>
        </w:rPr>
      </w:pPr>
      <w:r>
        <w:rPr>
          <w:rStyle w:val="15"/>
          <w:rFonts w:hint="eastAsia" w:ascii="宋体" w:hAnsi="宋体" w:eastAsia="宋体" w:cs="宋体"/>
          <w:sz w:val="21"/>
          <w:szCs w:val="21"/>
        </w:rPr>
        <w:fldChar w:fldCharType="begin"/>
      </w:r>
      <w:r>
        <w:rPr>
          <w:rStyle w:val="15"/>
          <w:rFonts w:hint="eastAsia" w:ascii="宋体" w:hAnsi="宋体" w:eastAsia="宋体" w:cs="宋体"/>
          <w:sz w:val="21"/>
          <w:szCs w:val="21"/>
        </w:rPr>
        <w:instrText xml:space="preserve"> </w:instrText>
      </w:r>
      <w:r>
        <w:rPr>
          <w:rFonts w:hint="eastAsia" w:ascii="宋体" w:hAnsi="宋体" w:eastAsia="宋体" w:cs="宋体"/>
          <w:sz w:val="21"/>
          <w:szCs w:val="21"/>
        </w:rPr>
        <w:instrText xml:space="preserve">HYPERLINK \l "_Toc164235130"</w:instrText>
      </w:r>
      <w:r>
        <w:rPr>
          <w:rStyle w:val="15"/>
          <w:rFonts w:hint="eastAsia" w:ascii="宋体" w:hAnsi="宋体" w:eastAsia="宋体" w:cs="宋体"/>
          <w:sz w:val="21"/>
          <w:szCs w:val="21"/>
        </w:rPr>
        <w:instrText xml:space="preserve"> </w:instrText>
      </w:r>
      <w:r>
        <w:rPr>
          <w:rStyle w:val="15"/>
          <w:rFonts w:hint="eastAsia" w:ascii="宋体" w:hAnsi="宋体" w:eastAsia="宋体" w:cs="宋体"/>
          <w:sz w:val="21"/>
          <w:szCs w:val="21"/>
        </w:rPr>
        <w:fldChar w:fldCharType="separate"/>
      </w:r>
      <w:r>
        <w:rPr>
          <w:rStyle w:val="15"/>
          <w:rFonts w:hint="eastAsia" w:ascii="宋体" w:hAnsi="宋体" w:eastAsia="宋体" w:cs="宋体"/>
          <w:sz w:val="21"/>
          <w:szCs w:val="21"/>
          <w:lang w:val="en-US" w:eastAsia="zh-CN"/>
        </w:rPr>
        <w:t>1</w:t>
      </w:r>
      <w:r>
        <w:rPr>
          <w:rStyle w:val="15"/>
          <w:rFonts w:hint="eastAsia" w:ascii="宋体" w:hAnsi="宋体" w:eastAsia="宋体" w:cs="宋体"/>
          <w:sz w:val="21"/>
          <w:szCs w:val="21"/>
        </w:rPr>
        <w:t>行业概述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_Toc164235130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Style w:val="15"/>
          <w:rFonts w:hint="eastAsia" w:ascii="宋体" w:hAnsi="宋体" w:eastAsia="宋体" w:cs="宋体"/>
          <w:sz w:val="21"/>
          <w:szCs w:val="21"/>
        </w:rPr>
        <w:fldChar w:fldCharType="end"/>
      </w:r>
    </w:p>
    <w:p>
      <w:pPr>
        <w:pStyle w:val="9"/>
        <w:tabs>
          <w:tab w:val="right" w:leader="dot" w:pos="8948"/>
        </w:tabs>
        <w:spacing w:line="360" w:lineRule="auto"/>
        <w:ind w:left="600"/>
        <w:rPr>
          <w:rFonts w:hint="eastAsia" w:ascii="宋体" w:hAnsi="宋体" w:eastAsia="宋体" w:cs="宋体"/>
          <w:sz w:val="21"/>
          <w:szCs w:val="21"/>
        </w:rPr>
      </w:pPr>
      <w:r>
        <w:rPr>
          <w:rStyle w:val="15"/>
          <w:rFonts w:hint="eastAsia" w:ascii="宋体" w:hAnsi="宋体" w:eastAsia="宋体" w:cs="宋体"/>
          <w:sz w:val="21"/>
          <w:szCs w:val="21"/>
        </w:rPr>
        <w:fldChar w:fldCharType="begin"/>
      </w:r>
      <w:r>
        <w:rPr>
          <w:rStyle w:val="15"/>
          <w:rFonts w:hint="eastAsia" w:ascii="宋体" w:hAnsi="宋体" w:eastAsia="宋体" w:cs="宋体"/>
          <w:sz w:val="21"/>
          <w:szCs w:val="21"/>
        </w:rPr>
        <w:instrText xml:space="preserve"> </w:instrText>
      </w:r>
      <w:r>
        <w:rPr>
          <w:rFonts w:hint="eastAsia" w:ascii="宋体" w:hAnsi="宋体" w:eastAsia="宋体" w:cs="宋体"/>
          <w:sz w:val="21"/>
          <w:szCs w:val="21"/>
        </w:rPr>
        <w:instrText xml:space="preserve">HYPERLINK \l "_Toc164235131"</w:instrText>
      </w:r>
      <w:r>
        <w:rPr>
          <w:rStyle w:val="15"/>
          <w:rFonts w:hint="eastAsia" w:ascii="宋体" w:hAnsi="宋体" w:eastAsia="宋体" w:cs="宋体"/>
          <w:sz w:val="21"/>
          <w:szCs w:val="21"/>
        </w:rPr>
        <w:instrText xml:space="preserve"> </w:instrText>
      </w:r>
      <w:r>
        <w:rPr>
          <w:rStyle w:val="15"/>
          <w:rFonts w:hint="eastAsia" w:ascii="宋体" w:hAnsi="宋体" w:eastAsia="宋体" w:cs="宋体"/>
          <w:sz w:val="21"/>
          <w:szCs w:val="21"/>
        </w:rPr>
        <w:fldChar w:fldCharType="separate"/>
      </w:r>
      <w:r>
        <w:rPr>
          <w:rStyle w:val="15"/>
          <w:rFonts w:hint="eastAsia" w:ascii="宋体" w:hAnsi="宋体" w:eastAsia="宋体" w:cs="宋体"/>
          <w:sz w:val="21"/>
          <w:szCs w:val="21"/>
          <w:lang w:val="en-US" w:eastAsia="zh-CN"/>
        </w:rPr>
        <w:t>2</w:t>
      </w:r>
      <w:r>
        <w:rPr>
          <w:rStyle w:val="15"/>
          <w:rFonts w:hint="eastAsia" w:ascii="宋体" w:hAnsi="宋体" w:eastAsia="宋体" w:cs="宋体"/>
          <w:sz w:val="21"/>
          <w:szCs w:val="21"/>
        </w:rPr>
        <w:t>本标准参考的文献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_Toc164235131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Style w:val="15"/>
          <w:rFonts w:hint="eastAsia" w:ascii="宋体" w:hAnsi="宋体" w:eastAsia="宋体" w:cs="宋体"/>
          <w:sz w:val="21"/>
          <w:szCs w:val="21"/>
        </w:rPr>
        <w:fldChar w:fldCharType="end"/>
      </w:r>
    </w:p>
    <w:p>
      <w:pPr>
        <w:pStyle w:val="9"/>
        <w:tabs>
          <w:tab w:val="right" w:leader="dot" w:pos="8948"/>
        </w:tabs>
        <w:spacing w:line="360" w:lineRule="auto"/>
        <w:ind w:left="600"/>
        <w:rPr>
          <w:rFonts w:hint="eastAsia" w:ascii="宋体" w:hAnsi="宋体" w:eastAsia="宋体" w:cs="宋体"/>
          <w:sz w:val="21"/>
          <w:szCs w:val="21"/>
        </w:rPr>
      </w:pPr>
      <w:r>
        <w:rPr>
          <w:rStyle w:val="15"/>
          <w:rFonts w:hint="eastAsia" w:ascii="宋体" w:hAnsi="宋体" w:eastAsia="宋体" w:cs="宋体"/>
          <w:sz w:val="21"/>
          <w:szCs w:val="21"/>
        </w:rPr>
        <w:fldChar w:fldCharType="begin"/>
      </w:r>
      <w:r>
        <w:rPr>
          <w:rStyle w:val="15"/>
          <w:rFonts w:hint="eastAsia" w:ascii="宋体" w:hAnsi="宋体" w:eastAsia="宋体" w:cs="宋体"/>
          <w:sz w:val="21"/>
          <w:szCs w:val="21"/>
        </w:rPr>
        <w:instrText xml:space="preserve"> </w:instrText>
      </w:r>
      <w:r>
        <w:rPr>
          <w:rFonts w:hint="eastAsia" w:ascii="宋体" w:hAnsi="宋体" w:eastAsia="宋体" w:cs="宋体"/>
          <w:sz w:val="21"/>
          <w:szCs w:val="21"/>
        </w:rPr>
        <w:instrText xml:space="preserve">HYPERLINK \l "_Toc164235132"</w:instrText>
      </w:r>
      <w:r>
        <w:rPr>
          <w:rStyle w:val="15"/>
          <w:rFonts w:hint="eastAsia" w:ascii="宋体" w:hAnsi="宋体" w:eastAsia="宋体" w:cs="宋体"/>
          <w:sz w:val="21"/>
          <w:szCs w:val="21"/>
        </w:rPr>
        <w:instrText xml:space="preserve"> </w:instrText>
      </w:r>
      <w:r>
        <w:rPr>
          <w:rStyle w:val="15"/>
          <w:rFonts w:hint="eastAsia" w:ascii="宋体" w:hAnsi="宋体" w:eastAsia="宋体" w:cs="宋体"/>
          <w:sz w:val="21"/>
          <w:szCs w:val="21"/>
        </w:rPr>
        <w:fldChar w:fldCharType="separate"/>
      </w:r>
      <w:r>
        <w:rPr>
          <w:rStyle w:val="15"/>
          <w:rFonts w:hint="eastAsia" w:ascii="宋体" w:hAnsi="宋体" w:eastAsia="宋体" w:cs="宋体"/>
          <w:sz w:val="21"/>
          <w:szCs w:val="21"/>
          <w:lang w:val="en-US" w:eastAsia="zh-CN"/>
        </w:rPr>
        <w:t>3</w:t>
      </w:r>
      <w:r>
        <w:rPr>
          <w:rStyle w:val="15"/>
          <w:rFonts w:hint="eastAsia" w:ascii="宋体" w:hAnsi="宋体" w:eastAsia="宋体" w:cs="宋体"/>
          <w:sz w:val="21"/>
          <w:szCs w:val="21"/>
        </w:rPr>
        <w:t>社会效益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_Toc164235132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Style w:val="15"/>
          <w:rFonts w:hint="eastAsia" w:ascii="宋体" w:hAnsi="宋体" w:eastAsia="宋体" w:cs="宋体"/>
          <w:sz w:val="21"/>
          <w:szCs w:val="21"/>
        </w:rPr>
        <w:fldChar w:fldCharType="end"/>
      </w:r>
    </w:p>
    <w:p>
      <w:pPr>
        <w:pStyle w:val="8"/>
        <w:tabs>
          <w:tab w:val="right" w:leader="dot" w:pos="8948"/>
        </w:tabs>
        <w:spacing w:line="360" w:lineRule="auto"/>
        <w:rPr>
          <w:rFonts w:hint="eastAsia" w:ascii="宋体" w:hAnsi="宋体" w:eastAsia="宋体" w:cs="宋体"/>
          <w:sz w:val="21"/>
          <w:szCs w:val="21"/>
        </w:rPr>
      </w:pPr>
      <w:r>
        <w:rPr>
          <w:rStyle w:val="15"/>
          <w:rFonts w:hint="eastAsia" w:ascii="宋体" w:hAnsi="宋体" w:eastAsia="宋体" w:cs="宋体"/>
          <w:sz w:val="21"/>
          <w:szCs w:val="21"/>
        </w:rPr>
        <w:fldChar w:fldCharType="begin"/>
      </w:r>
      <w:r>
        <w:rPr>
          <w:rStyle w:val="15"/>
          <w:rFonts w:hint="eastAsia" w:ascii="宋体" w:hAnsi="宋体" w:eastAsia="宋体" w:cs="宋体"/>
          <w:sz w:val="21"/>
          <w:szCs w:val="21"/>
        </w:rPr>
        <w:instrText xml:space="preserve"> </w:instrText>
      </w:r>
      <w:r>
        <w:rPr>
          <w:rFonts w:hint="eastAsia" w:ascii="宋体" w:hAnsi="宋体" w:eastAsia="宋体" w:cs="宋体"/>
          <w:sz w:val="21"/>
          <w:szCs w:val="21"/>
        </w:rPr>
        <w:instrText xml:space="preserve">HYPERLINK \l "_Toc164235133"</w:instrText>
      </w:r>
      <w:r>
        <w:rPr>
          <w:rStyle w:val="15"/>
          <w:rFonts w:hint="eastAsia" w:ascii="宋体" w:hAnsi="宋体" w:eastAsia="宋体" w:cs="宋体"/>
          <w:sz w:val="21"/>
          <w:szCs w:val="21"/>
        </w:rPr>
        <w:instrText xml:space="preserve"> </w:instrText>
      </w:r>
      <w:r>
        <w:rPr>
          <w:rStyle w:val="15"/>
          <w:rFonts w:hint="eastAsia" w:ascii="宋体" w:hAnsi="宋体" w:eastAsia="宋体" w:cs="宋体"/>
          <w:sz w:val="21"/>
          <w:szCs w:val="21"/>
        </w:rPr>
        <w:fldChar w:fldCharType="separate"/>
      </w:r>
      <w:r>
        <w:rPr>
          <w:rStyle w:val="15"/>
          <w:rFonts w:hint="eastAsia" w:ascii="宋体" w:hAnsi="宋体" w:eastAsia="宋体" w:cs="宋体"/>
          <w:sz w:val="21"/>
          <w:szCs w:val="21"/>
        </w:rPr>
        <w:t>四、与有关的现行法律、法规和国家标准、行业标准、地方标准的关系</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_Toc164235133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Style w:val="15"/>
          <w:rFonts w:hint="eastAsia" w:ascii="宋体" w:hAnsi="宋体" w:eastAsia="宋体" w:cs="宋体"/>
          <w:sz w:val="21"/>
          <w:szCs w:val="21"/>
        </w:rPr>
        <w:fldChar w:fldCharType="end"/>
      </w:r>
    </w:p>
    <w:p>
      <w:pPr>
        <w:pStyle w:val="8"/>
        <w:tabs>
          <w:tab w:val="right" w:leader="dot" w:pos="8948"/>
        </w:tabs>
        <w:spacing w:line="360" w:lineRule="auto"/>
        <w:rPr>
          <w:rFonts w:hint="eastAsia" w:ascii="宋体" w:hAnsi="宋体" w:eastAsia="宋体" w:cs="宋体"/>
          <w:sz w:val="21"/>
          <w:szCs w:val="21"/>
        </w:rPr>
      </w:pPr>
      <w:r>
        <w:rPr>
          <w:rStyle w:val="15"/>
          <w:rFonts w:hint="eastAsia" w:ascii="宋体" w:hAnsi="宋体" w:eastAsia="宋体" w:cs="宋体"/>
          <w:sz w:val="21"/>
          <w:szCs w:val="21"/>
        </w:rPr>
        <w:fldChar w:fldCharType="begin"/>
      </w:r>
      <w:r>
        <w:rPr>
          <w:rStyle w:val="15"/>
          <w:rFonts w:hint="eastAsia" w:ascii="宋体" w:hAnsi="宋体" w:eastAsia="宋体" w:cs="宋体"/>
          <w:sz w:val="21"/>
          <w:szCs w:val="21"/>
        </w:rPr>
        <w:instrText xml:space="preserve"> </w:instrText>
      </w:r>
      <w:r>
        <w:rPr>
          <w:rFonts w:hint="eastAsia" w:ascii="宋体" w:hAnsi="宋体" w:eastAsia="宋体" w:cs="宋体"/>
          <w:sz w:val="21"/>
          <w:szCs w:val="21"/>
        </w:rPr>
        <w:instrText xml:space="preserve">HYPERLINK \l "_Toc164235134"</w:instrText>
      </w:r>
      <w:r>
        <w:rPr>
          <w:rStyle w:val="15"/>
          <w:rFonts w:hint="eastAsia" w:ascii="宋体" w:hAnsi="宋体" w:eastAsia="宋体" w:cs="宋体"/>
          <w:sz w:val="21"/>
          <w:szCs w:val="21"/>
        </w:rPr>
        <w:instrText xml:space="preserve"> </w:instrText>
      </w:r>
      <w:r>
        <w:rPr>
          <w:rStyle w:val="15"/>
          <w:rFonts w:hint="eastAsia" w:ascii="宋体" w:hAnsi="宋体" w:eastAsia="宋体" w:cs="宋体"/>
          <w:sz w:val="21"/>
          <w:szCs w:val="21"/>
        </w:rPr>
        <w:fldChar w:fldCharType="separate"/>
      </w:r>
      <w:r>
        <w:rPr>
          <w:rStyle w:val="15"/>
          <w:rFonts w:hint="eastAsia" w:ascii="宋体" w:hAnsi="宋体" w:eastAsia="宋体" w:cs="宋体"/>
          <w:sz w:val="21"/>
          <w:szCs w:val="21"/>
        </w:rPr>
        <w:t>五、征求意见和分歧处理情况，应说明未采纳意见依据以及同意见提出人的沟通反馈情况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_Toc164235134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Style w:val="15"/>
          <w:rFonts w:hint="eastAsia" w:ascii="宋体" w:hAnsi="宋体" w:eastAsia="宋体" w:cs="宋体"/>
          <w:sz w:val="21"/>
          <w:szCs w:val="21"/>
        </w:rPr>
        <w:fldChar w:fldCharType="end"/>
      </w:r>
    </w:p>
    <w:p>
      <w:pPr>
        <w:pStyle w:val="8"/>
        <w:tabs>
          <w:tab w:val="right" w:leader="dot" w:pos="8948"/>
        </w:tabs>
        <w:spacing w:line="360" w:lineRule="auto"/>
        <w:rPr>
          <w:rFonts w:hint="eastAsia" w:ascii="宋体" w:hAnsi="宋体" w:eastAsia="宋体" w:cs="宋体"/>
          <w:sz w:val="21"/>
          <w:szCs w:val="21"/>
        </w:rPr>
      </w:pPr>
      <w:r>
        <w:rPr>
          <w:rStyle w:val="15"/>
          <w:rFonts w:hint="eastAsia" w:ascii="宋体" w:hAnsi="宋体" w:eastAsia="宋体" w:cs="宋体"/>
          <w:sz w:val="21"/>
          <w:szCs w:val="21"/>
        </w:rPr>
        <w:fldChar w:fldCharType="begin"/>
      </w:r>
      <w:r>
        <w:rPr>
          <w:rStyle w:val="15"/>
          <w:rFonts w:hint="eastAsia" w:ascii="宋体" w:hAnsi="宋体" w:eastAsia="宋体" w:cs="宋体"/>
          <w:sz w:val="21"/>
          <w:szCs w:val="21"/>
        </w:rPr>
        <w:instrText xml:space="preserve"> </w:instrText>
      </w:r>
      <w:r>
        <w:rPr>
          <w:rFonts w:hint="eastAsia" w:ascii="宋体" w:hAnsi="宋体" w:eastAsia="宋体" w:cs="宋体"/>
          <w:sz w:val="21"/>
          <w:szCs w:val="21"/>
        </w:rPr>
        <w:instrText xml:space="preserve">HYPERLINK \l "_Toc164235135"</w:instrText>
      </w:r>
      <w:r>
        <w:rPr>
          <w:rStyle w:val="15"/>
          <w:rFonts w:hint="eastAsia" w:ascii="宋体" w:hAnsi="宋体" w:eastAsia="宋体" w:cs="宋体"/>
          <w:sz w:val="21"/>
          <w:szCs w:val="21"/>
        </w:rPr>
        <w:instrText xml:space="preserve"> </w:instrText>
      </w:r>
      <w:r>
        <w:rPr>
          <w:rStyle w:val="15"/>
          <w:rFonts w:hint="eastAsia" w:ascii="宋体" w:hAnsi="宋体" w:eastAsia="宋体" w:cs="宋体"/>
          <w:sz w:val="21"/>
          <w:szCs w:val="21"/>
        </w:rPr>
        <w:fldChar w:fldCharType="separate"/>
      </w:r>
      <w:r>
        <w:rPr>
          <w:rStyle w:val="15"/>
          <w:rFonts w:hint="eastAsia" w:ascii="宋体" w:hAnsi="宋体" w:eastAsia="宋体" w:cs="宋体"/>
          <w:sz w:val="21"/>
          <w:szCs w:val="21"/>
        </w:rPr>
        <w:t>六、推动标准实施的措施建议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_Toc164235135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Style w:val="15"/>
          <w:rFonts w:hint="eastAsia" w:ascii="宋体" w:hAnsi="宋体" w:eastAsia="宋体" w:cs="宋体"/>
          <w:sz w:val="21"/>
          <w:szCs w:val="21"/>
        </w:rPr>
        <w:fldChar w:fldCharType="end"/>
      </w:r>
    </w:p>
    <w:p>
      <w:pPr>
        <w:pStyle w:val="8"/>
        <w:tabs>
          <w:tab w:val="right" w:leader="dot" w:pos="8948"/>
        </w:tabs>
        <w:spacing w:line="360" w:lineRule="auto"/>
        <w:rPr>
          <w:rFonts w:hint="eastAsia" w:ascii="宋体" w:hAnsi="宋体" w:eastAsia="宋体" w:cs="宋体"/>
          <w:sz w:val="21"/>
          <w:szCs w:val="21"/>
        </w:rPr>
      </w:pPr>
      <w:r>
        <w:rPr>
          <w:rStyle w:val="15"/>
          <w:rFonts w:hint="eastAsia" w:ascii="宋体" w:hAnsi="宋体" w:eastAsia="宋体" w:cs="宋体"/>
          <w:sz w:val="21"/>
          <w:szCs w:val="21"/>
        </w:rPr>
        <w:fldChar w:fldCharType="begin"/>
      </w:r>
      <w:r>
        <w:rPr>
          <w:rStyle w:val="15"/>
          <w:rFonts w:hint="eastAsia" w:ascii="宋体" w:hAnsi="宋体" w:eastAsia="宋体" w:cs="宋体"/>
          <w:sz w:val="21"/>
          <w:szCs w:val="21"/>
        </w:rPr>
        <w:instrText xml:space="preserve"> </w:instrText>
      </w:r>
      <w:r>
        <w:rPr>
          <w:rFonts w:hint="eastAsia" w:ascii="宋体" w:hAnsi="宋体" w:eastAsia="宋体" w:cs="宋体"/>
          <w:sz w:val="21"/>
          <w:szCs w:val="21"/>
        </w:rPr>
        <w:instrText xml:space="preserve">HYPERLINK \l "_Toc164235136"</w:instrText>
      </w:r>
      <w:r>
        <w:rPr>
          <w:rStyle w:val="15"/>
          <w:rFonts w:hint="eastAsia" w:ascii="宋体" w:hAnsi="宋体" w:eastAsia="宋体" w:cs="宋体"/>
          <w:sz w:val="21"/>
          <w:szCs w:val="21"/>
        </w:rPr>
        <w:instrText xml:space="preserve"> </w:instrText>
      </w:r>
      <w:r>
        <w:rPr>
          <w:rStyle w:val="15"/>
          <w:rFonts w:hint="eastAsia" w:ascii="宋体" w:hAnsi="宋体" w:eastAsia="宋体" w:cs="宋体"/>
          <w:sz w:val="21"/>
          <w:szCs w:val="21"/>
        </w:rPr>
        <w:fldChar w:fldCharType="separate"/>
      </w:r>
      <w:r>
        <w:rPr>
          <w:rStyle w:val="15"/>
          <w:rFonts w:hint="eastAsia" w:ascii="宋体" w:hAnsi="宋体" w:eastAsia="宋体" w:cs="宋体"/>
          <w:sz w:val="21"/>
          <w:szCs w:val="21"/>
        </w:rPr>
        <w:t>七、拟作为强制性地方标准的须写明明确的法律法规依据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_Toc164235136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Style w:val="15"/>
          <w:rFonts w:hint="eastAsia" w:ascii="宋体" w:hAnsi="宋体" w:eastAsia="宋体" w:cs="宋体"/>
          <w:sz w:val="21"/>
          <w:szCs w:val="21"/>
        </w:rPr>
        <w:fldChar w:fldCharType="end"/>
      </w:r>
    </w:p>
    <w:p>
      <w:pPr>
        <w:pStyle w:val="8"/>
        <w:tabs>
          <w:tab w:val="right" w:leader="dot" w:pos="8948"/>
        </w:tabs>
        <w:spacing w:line="360" w:lineRule="auto"/>
        <w:rPr>
          <w:rFonts w:ascii="黑体" w:hAnsi="黑体" w:eastAsia="黑体"/>
        </w:rPr>
      </w:pPr>
      <w:r>
        <w:rPr>
          <w:rStyle w:val="15"/>
          <w:rFonts w:hint="eastAsia" w:ascii="宋体" w:hAnsi="宋体" w:eastAsia="宋体" w:cs="宋体"/>
          <w:sz w:val="21"/>
          <w:szCs w:val="21"/>
        </w:rPr>
        <w:fldChar w:fldCharType="begin"/>
      </w:r>
      <w:r>
        <w:rPr>
          <w:rStyle w:val="15"/>
          <w:rFonts w:hint="eastAsia" w:ascii="宋体" w:hAnsi="宋体" w:eastAsia="宋体" w:cs="宋体"/>
          <w:sz w:val="21"/>
          <w:szCs w:val="21"/>
        </w:rPr>
        <w:instrText xml:space="preserve"> </w:instrText>
      </w:r>
      <w:r>
        <w:rPr>
          <w:rFonts w:hint="eastAsia" w:ascii="宋体" w:hAnsi="宋体" w:eastAsia="宋体" w:cs="宋体"/>
          <w:sz w:val="21"/>
          <w:szCs w:val="21"/>
        </w:rPr>
        <w:instrText xml:space="preserve">HYPERLINK \l "_Toc164235137"</w:instrText>
      </w:r>
      <w:r>
        <w:rPr>
          <w:rStyle w:val="15"/>
          <w:rFonts w:hint="eastAsia" w:ascii="宋体" w:hAnsi="宋体" w:eastAsia="宋体" w:cs="宋体"/>
          <w:sz w:val="21"/>
          <w:szCs w:val="21"/>
        </w:rPr>
        <w:instrText xml:space="preserve"> </w:instrText>
      </w:r>
      <w:r>
        <w:rPr>
          <w:rStyle w:val="15"/>
          <w:rFonts w:hint="eastAsia" w:ascii="宋体" w:hAnsi="宋体" w:eastAsia="宋体" w:cs="宋体"/>
          <w:sz w:val="21"/>
          <w:szCs w:val="21"/>
        </w:rPr>
        <w:fldChar w:fldCharType="separate"/>
      </w:r>
      <w:r>
        <w:rPr>
          <w:rStyle w:val="15"/>
          <w:rFonts w:hint="eastAsia" w:ascii="宋体" w:hAnsi="宋体" w:eastAsia="宋体" w:cs="宋体"/>
          <w:sz w:val="21"/>
          <w:szCs w:val="21"/>
        </w:rPr>
        <w:t>八、其他应说明的事项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_Toc164235137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Style w:val="15"/>
          <w:rFonts w:hint="eastAsia" w:ascii="宋体" w:hAnsi="宋体" w:eastAsia="宋体" w:cs="宋体"/>
          <w:sz w:val="21"/>
          <w:szCs w:val="21"/>
        </w:rPr>
        <w:fldChar w:fldCharType="end"/>
      </w:r>
    </w:p>
    <w:p>
      <w:pPr>
        <w:spacing w:line="360" w:lineRule="auto"/>
      </w:pPr>
      <w:r>
        <w:rPr>
          <w:rFonts w:ascii="黑体" w:hAnsi="黑体" w:eastAsia="黑体"/>
          <w:b/>
          <w:bCs/>
          <w:lang w:val="zh-CN"/>
        </w:rPr>
        <w:fldChar w:fldCharType="end"/>
      </w:r>
    </w:p>
    <w:p>
      <w:pPr>
        <w:spacing w:before="312" w:beforeLines="100" w:after="312" w:afterLines="100" w:line="360" w:lineRule="auto"/>
        <w:jc w:val="center"/>
        <w:rPr>
          <w:rFonts w:ascii="Times New Roman" w:eastAsia="方正小标宋简体" w:cs="方正小标宋简体"/>
          <w:kern w:val="2"/>
          <w:sz w:val="32"/>
          <w:szCs w:val="32"/>
        </w:rPr>
        <w:sectPr>
          <w:footerReference r:id="rId3" w:type="default"/>
          <w:pgSz w:w="11906" w:h="16838"/>
          <w:pgMar w:top="1440" w:right="1474" w:bottom="1440" w:left="1474" w:header="851" w:footer="992" w:gutter="0"/>
          <w:pgNumType w:start="1"/>
          <w:cols w:space="720" w:num="1"/>
          <w:docGrid w:type="lines" w:linePitch="312" w:charSpace="0"/>
        </w:sectPr>
      </w:pPr>
    </w:p>
    <w:p>
      <w:pPr>
        <w:spacing w:before="312" w:beforeLines="100" w:after="312" w:afterLines="100" w:line="360" w:lineRule="auto"/>
        <w:jc w:val="center"/>
        <w:rPr>
          <w:rFonts w:hint="eastAsia" w:ascii="Times New Roman" w:eastAsia="方正小标宋简体" w:cs="方正小标宋简体"/>
          <w:kern w:val="2"/>
          <w:sz w:val="32"/>
          <w:szCs w:val="32"/>
        </w:rPr>
      </w:pPr>
    </w:p>
    <w:p>
      <w:pPr>
        <w:spacing w:before="312" w:beforeLines="100" w:after="312" w:afterLines="100" w:line="360" w:lineRule="auto"/>
        <w:jc w:val="center"/>
        <w:rPr>
          <w:rFonts w:hint="eastAsia" w:ascii="黑体" w:hAnsi="黑体" w:eastAsia="黑体" w:cs="黑体"/>
          <w:kern w:val="2"/>
          <w:sz w:val="32"/>
          <w:szCs w:val="32"/>
        </w:rPr>
      </w:pPr>
      <w:r>
        <w:rPr>
          <w:rFonts w:ascii="Times New Roman" w:eastAsia="方正小标宋简体" w:cs="方正小标宋简体"/>
          <w:kern w:val="2"/>
          <w:sz w:val="32"/>
          <w:szCs w:val="32"/>
        </w:rPr>
        <w:br w:type="page"/>
      </w:r>
      <w:r>
        <w:rPr>
          <w:rFonts w:hint="eastAsia" w:ascii="黑体" w:hAnsi="黑体" w:eastAsia="黑体" w:cs="黑体"/>
          <w:kern w:val="2"/>
          <w:sz w:val="32"/>
          <w:szCs w:val="32"/>
        </w:rPr>
        <w:t>《预防接种门诊疫苗自动储存与分发系统的基本功能规范》编制说明</w:t>
      </w:r>
    </w:p>
    <w:p>
      <w:pPr>
        <w:pStyle w:val="2"/>
        <w:spacing w:line="360" w:lineRule="auto"/>
        <w:rPr>
          <w:rFonts w:hint="eastAsia" w:ascii="黑体" w:eastAsia="黑体"/>
          <w:sz w:val="32"/>
          <w:szCs w:val="28"/>
        </w:rPr>
      </w:pPr>
      <w:bookmarkStart w:id="2" w:name="_Toc164235119"/>
      <w:r>
        <w:rPr>
          <w:rFonts w:hint="eastAsia" w:ascii="黑体" w:eastAsia="黑体"/>
          <w:sz w:val="21"/>
          <w:szCs w:val="21"/>
          <w:lang w:val="en-US" w:eastAsia="zh-CN"/>
        </w:rPr>
        <w:t>一、</w:t>
      </w:r>
      <w:r>
        <w:rPr>
          <w:rFonts w:hint="eastAsia" w:ascii="黑体" w:eastAsia="黑体"/>
          <w:sz w:val="21"/>
          <w:szCs w:val="21"/>
        </w:rPr>
        <w:t>工作简介</w:t>
      </w:r>
      <w:bookmarkEnd w:id="2"/>
    </w:p>
    <w:p>
      <w:pPr>
        <w:pStyle w:val="2"/>
        <w:spacing w:line="360" w:lineRule="auto"/>
        <w:rPr>
          <w:rFonts w:hint="eastAsia" w:ascii="黑体" w:hAnsi="Times New Roman" w:eastAsia="黑体" w:cs="Times New Roman"/>
          <w:b/>
          <w:bCs/>
          <w:sz w:val="21"/>
          <w:szCs w:val="21"/>
        </w:rPr>
      </w:pPr>
      <w:bookmarkStart w:id="3" w:name="_Toc164235120"/>
      <w:r>
        <w:rPr>
          <w:rFonts w:hint="eastAsia" w:ascii="黑体" w:hAnsi="Times New Roman" w:eastAsia="黑体" w:cs="Times New Roman"/>
          <w:b/>
          <w:bCs/>
          <w:sz w:val="21"/>
          <w:szCs w:val="21"/>
          <w:lang w:val="en-US" w:eastAsia="zh-CN"/>
        </w:rPr>
        <w:t>1</w:t>
      </w:r>
      <w:r>
        <w:rPr>
          <w:rFonts w:hint="eastAsia" w:ascii="黑体" w:hAnsi="Times New Roman" w:eastAsia="黑体" w:cs="Times New Roman"/>
          <w:b/>
          <w:bCs/>
          <w:sz w:val="21"/>
          <w:szCs w:val="21"/>
        </w:rPr>
        <w:t>任务来源</w:t>
      </w:r>
      <w:bookmarkEnd w:id="3"/>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本标准按照辽宁省市场监督管理局下达的2023年度辽宁省地方标准制修订项目立项计划制定，项目编号2023273，由辽宁省卫生健康委</w:t>
      </w:r>
      <w:r>
        <w:rPr>
          <w:rFonts w:hint="eastAsia" w:ascii="宋体" w:hAnsi="宋体" w:eastAsia="宋体" w:cs="宋体"/>
          <w:sz w:val="21"/>
          <w:szCs w:val="21"/>
          <w:lang w:val="en-US" w:eastAsia="zh-CN"/>
        </w:rPr>
        <w:t>员会</w:t>
      </w:r>
      <w:r>
        <w:rPr>
          <w:rFonts w:hint="eastAsia" w:ascii="宋体" w:hAnsi="宋体" w:eastAsia="宋体" w:cs="宋体"/>
          <w:sz w:val="21"/>
          <w:szCs w:val="21"/>
        </w:rPr>
        <w:t>提出并归口，任务来源明确。</w:t>
      </w:r>
    </w:p>
    <w:p>
      <w:pPr>
        <w:pStyle w:val="2"/>
        <w:spacing w:line="360" w:lineRule="auto"/>
        <w:rPr>
          <w:rFonts w:hint="eastAsia" w:ascii="黑体" w:hAnsi="Times New Roman" w:eastAsia="黑体" w:cs="Times New Roman"/>
          <w:b/>
          <w:bCs/>
          <w:sz w:val="21"/>
          <w:szCs w:val="21"/>
          <w:lang w:val="en-US" w:eastAsia="zh-CN"/>
        </w:rPr>
      </w:pPr>
      <w:bookmarkStart w:id="4" w:name="_Toc164235121"/>
      <w:r>
        <w:rPr>
          <w:rFonts w:hint="eastAsia" w:ascii="黑体" w:hAnsi="Times New Roman" w:eastAsia="黑体" w:cs="Times New Roman"/>
          <w:b/>
          <w:bCs/>
          <w:sz w:val="21"/>
          <w:szCs w:val="21"/>
          <w:lang w:val="en-US" w:eastAsia="zh-CN"/>
        </w:rPr>
        <w:t>2 制定标准的必要性和意义</w:t>
      </w:r>
      <w:bookmarkEnd w:id="4"/>
    </w:p>
    <w:p>
      <w:pPr>
        <w:spacing w:line="360" w:lineRule="auto"/>
        <w:rPr>
          <w:rFonts w:hint="eastAsia" w:ascii="黑体" w:hAnsi="Times New Roman" w:eastAsia="黑体" w:cs="Times New Roman"/>
          <w:b/>
          <w:bCs/>
          <w:kern w:val="44"/>
          <w:sz w:val="21"/>
          <w:szCs w:val="21"/>
          <w:lang w:val="en-US" w:eastAsia="zh-CN" w:bidi="ar-SA"/>
        </w:rPr>
      </w:pPr>
      <w:r>
        <w:rPr>
          <w:rFonts w:hint="eastAsia" w:ascii="黑体" w:hAnsi="Times New Roman" w:eastAsia="黑体" w:cs="Times New Roman"/>
          <w:b/>
          <w:bCs/>
          <w:kern w:val="44"/>
          <w:sz w:val="21"/>
          <w:szCs w:val="21"/>
          <w:lang w:val="en-US" w:eastAsia="zh-CN" w:bidi="ar-SA"/>
        </w:rPr>
        <w:t>2.1必要性</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中华人民共和国疫苗管理法》第三十七条明确规定“疾病预防控制机构、接种单位、疫苗上市许可持有人、疫苗配送单位应当遵守疫苗储存、运输管理规范，保证疫苗质量。疫苗在储存、运输全过程中应当处于规定的温度环境，冷链储存、运输应当符合要求，并定时监测、记录温度。疫苗储存、运输管理规范由国务院药品监督管理部门、国务院卫生健康主管部门共同制定。”以上明确规定了疫苗在储存、运输环节应当处于规定的温度环境，同时《中华人民共和国疫苗管理法》第四十六条明确规定“医疗卫生人员应当按照国务院卫生健康主管部门的规定，真实、准确、完整记录疫苗的品种、上市许可持有人、最小包装单位的识别信息、有效期、接种时间、实施接种的医疗卫生人员、受种者等接种信息，确保接种信息可追溯、可查询。接种记录应当保存至疫苗有效期满后不少于五年备查。”以上明确规定了接种医疗卫生人员需要记录的相关信息</w:t>
      </w:r>
      <w:r>
        <w:rPr>
          <w:rFonts w:hint="eastAsia" w:ascii="宋体" w:hAnsi="宋体" w:eastAsia="宋体" w:cs="宋体"/>
          <w:sz w:val="21"/>
          <w:szCs w:val="21"/>
          <w:lang w:eastAsia="zh-CN"/>
        </w:rPr>
        <w:t>。</w:t>
      </w:r>
      <w:r>
        <w:rPr>
          <w:rFonts w:hint="eastAsia" w:ascii="宋体" w:hAnsi="宋体" w:eastAsia="宋体" w:cs="宋体"/>
          <w:sz w:val="21"/>
          <w:szCs w:val="21"/>
        </w:rPr>
        <w:t>为帮助实施疫苗接种的医疗卫生人员科学的监控疫苗存储环境数据，核对并记录疫苗使用过程中的各类信息，提高疫苗入库、发苗、盘点的工作效率和准确性，</w:t>
      </w:r>
      <w:r>
        <w:rPr>
          <w:rFonts w:hint="eastAsia" w:ascii="宋体" w:hAnsi="宋体" w:eastAsia="宋体" w:cs="宋体"/>
          <w:sz w:val="21"/>
          <w:szCs w:val="21"/>
          <w:lang w:val="en-US" w:eastAsia="zh-CN"/>
        </w:rPr>
        <w:t>并</w:t>
      </w:r>
      <w:r>
        <w:rPr>
          <w:rFonts w:hint="eastAsia" w:ascii="宋体" w:hAnsi="宋体" w:eastAsia="宋体" w:cs="宋体"/>
          <w:sz w:val="21"/>
          <w:szCs w:val="21"/>
        </w:rPr>
        <w:t>符合相关法律法规要求，借助智能化的设备辅助人工进行自动发苗，自动储苗，自动盘点，自动记录发苗信息，保障用苗安全，监控储苗环境温度等相关技术和工具手段已经具有显著的必要性。</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当前接种单位所使用的管理模式是统一建设的传统冷藏冰箱低温仓储和工作人员被动的拿取疫苗模式，仅实现疫苗预防接种管理的基本需要，对于疫苗智慧化仓储管理、便民服务等方面涉及很少，基本满足对于基层接种单位疫苗流通管理的要求。近年来已有部分接种单位使用自动发苗接种的预防接种门诊疫苗存储分发自动化系统。为规范相关技术设备基本功能内容，确保上市相关产品设备具备一定的质量水平并达到必要的业务规范性，制定统一的标准势在必行。</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本系统是在疫苗流通信息管理系统基础上，采用互联网+、自动化、大数据、人工智能等先进技术进行建设，着重解决接种单位当前管理和工作上的痛点，对疫苗仓储模式进行流程重塑，提升卫生健康服务水平，使民众能够享有更便捷、安全、透明的全新服务模式。由被动地人工管理转变为主动地数字化协同监管，避免只有出现问题，才能解决问题的低效方式，做到及时发现风险、监控风险，防隐患于未然。</w:t>
      </w:r>
    </w:p>
    <w:p>
      <w:pPr>
        <w:spacing w:line="360" w:lineRule="auto"/>
        <w:rPr>
          <w:rFonts w:hint="eastAsia" w:ascii="黑体" w:hAnsi="Times New Roman" w:eastAsia="黑体" w:cs="Times New Roman"/>
          <w:b/>
          <w:bCs/>
          <w:kern w:val="44"/>
          <w:sz w:val="21"/>
          <w:szCs w:val="21"/>
          <w:lang w:val="en-US" w:eastAsia="zh-CN" w:bidi="ar-SA"/>
        </w:rPr>
      </w:pPr>
      <w:r>
        <w:rPr>
          <w:rFonts w:hint="eastAsia" w:ascii="黑体" w:hAnsi="Times New Roman" w:eastAsia="黑体" w:cs="Times New Roman"/>
          <w:b/>
          <w:bCs/>
          <w:kern w:val="44"/>
          <w:sz w:val="21"/>
          <w:szCs w:val="21"/>
          <w:lang w:val="en-US" w:eastAsia="zh-CN" w:bidi="ar-SA"/>
        </w:rPr>
        <w:t>2.2意义</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本系统上线后将大幅度减轻工作人员的工作强度，减少接种工作中人为差错及接种事故，通过系统控制自动发苗，杜绝用错苗的几率，提高疫苗接种安全性。杜绝疫苗因出入库、搬运、频繁开箱等造成的超温报废现象，降低超温环境对疫苗质量的影响。通过自动化手段，保障疫苗处于稳定的低温环境中，在降低不良反应发生率、提高人群抗体水平方面，都具有积极意义。利用自动化技术手段，降低管理人员工作难度，提升工作环境舒适度，降低工作强度，节省人力资本</w:t>
      </w:r>
      <w:r>
        <w:rPr>
          <w:rFonts w:hint="eastAsia" w:ascii="宋体" w:hAnsi="宋体" w:eastAsia="宋体" w:cs="宋体"/>
          <w:sz w:val="21"/>
          <w:szCs w:val="21"/>
          <w:lang w:eastAsia="zh-CN"/>
        </w:rPr>
        <w:t>，</w:t>
      </w:r>
      <w:r>
        <w:rPr>
          <w:rFonts w:hint="eastAsia" w:ascii="宋体" w:hAnsi="宋体" w:eastAsia="宋体" w:cs="宋体"/>
          <w:sz w:val="21"/>
          <w:szCs w:val="21"/>
        </w:rPr>
        <w:t>提高受种者满意度。满足《中华人民共和国疫苗管理法》规定</w:t>
      </w:r>
      <w:r>
        <w:rPr>
          <w:rFonts w:hint="eastAsia" w:ascii="宋体" w:hAnsi="宋体" w:eastAsia="宋体" w:cs="宋体"/>
          <w:sz w:val="21"/>
          <w:szCs w:val="21"/>
          <w:lang w:val="en-US" w:eastAsia="zh-CN"/>
        </w:rPr>
        <w:t>的</w:t>
      </w:r>
      <w:r>
        <w:rPr>
          <w:rFonts w:hint="eastAsia" w:ascii="宋体" w:hAnsi="宋体" w:eastAsia="宋体" w:cs="宋体"/>
          <w:sz w:val="21"/>
          <w:szCs w:val="21"/>
          <w:lang w:eastAsia="zh-CN"/>
        </w:rPr>
        <w:t>“</w:t>
      </w:r>
      <w:r>
        <w:rPr>
          <w:rFonts w:hint="eastAsia" w:ascii="宋体" w:hAnsi="宋体" w:eastAsia="宋体" w:cs="宋体"/>
          <w:sz w:val="21"/>
          <w:szCs w:val="21"/>
        </w:rPr>
        <w:t>从事疫苗研制、生产、流通和预防接种活动的单位和个人，</w:t>
      </w:r>
      <w:r>
        <w:rPr>
          <w:rFonts w:hint="eastAsia" w:ascii="宋体" w:hAnsi="宋体" w:eastAsia="宋体" w:cs="宋体"/>
          <w:sz w:val="21"/>
          <w:szCs w:val="21"/>
          <w:lang w:val="en-US" w:eastAsia="zh-CN"/>
        </w:rPr>
        <w:t>应当遵守法律、法规、规章、标准和规范，</w:t>
      </w:r>
      <w:r>
        <w:rPr>
          <w:rFonts w:hint="eastAsia" w:ascii="宋体" w:hAnsi="宋体" w:eastAsia="宋体" w:cs="宋体"/>
          <w:sz w:val="21"/>
          <w:szCs w:val="21"/>
        </w:rPr>
        <w:t>保证全过程信息真实、准确、完整和可追溯，依法承担责任，接受社会监督</w:t>
      </w:r>
      <w:r>
        <w:rPr>
          <w:rFonts w:hint="eastAsia" w:ascii="宋体" w:hAnsi="宋体" w:eastAsia="宋体" w:cs="宋体"/>
          <w:sz w:val="21"/>
          <w:szCs w:val="21"/>
          <w:lang w:eastAsia="zh-CN"/>
        </w:rPr>
        <w:t>”</w:t>
      </w:r>
      <w:r>
        <w:rPr>
          <w:rFonts w:hint="eastAsia" w:ascii="宋体" w:hAnsi="宋体" w:eastAsia="宋体" w:cs="宋体"/>
          <w:sz w:val="21"/>
          <w:szCs w:val="21"/>
        </w:rPr>
        <w:t>的法律要求，</w:t>
      </w:r>
      <w:r>
        <w:rPr>
          <w:rFonts w:hint="eastAsia" w:ascii="宋体" w:hAnsi="宋体" w:eastAsia="宋体" w:cs="宋体"/>
          <w:sz w:val="21"/>
          <w:szCs w:val="21"/>
          <w:lang w:val="en-US" w:eastAsia="zh-CN"/>
        </w:rPr>
        <w:t>为</w:t>
      </w:r>
      <w:r>
        <w:rPr>
          <w:rFonts w:hint="eastAsia" w:ascii="宋体" w:hAnsi="宋体" w:eastAsia="宋体" w:cs="宋体"/>
          <w:sz w:val="21"/>
          <w:szCs w:val="21"/>
        </w:rPr>
        <w:t>完善重大疫情防控体制机制，健全公共卫生应急管理体系起到积极的示范作用。</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填补地方标准空白。经查询，在本领域尚未有国家标准和行业标准发布实施，辽宁省内也未有地方标准发布，因此本标准的编制不仅填补了省内空白，也填补了国内在疫苗自动储存与分发领域系统设计标准方面的空白，本标准可以达到国内领先的水平。</w:t>
      </w:r>
    </w:p>
    <w:p>
      <w:pPr>
        <w:pStyle w:val="3"/>
        <w:spacing w:line="360" w:lineRule="auto"/>
        <w:rPr>
          <w:rFonts w:hint="eastAsia" w:ascii="黑体" w:hAnsi="Times New Roman" w:eastAsia="黑体" w:cs="Times New Roman"/>
          <w:b/>
          <w:bCs/>
          <w:kern w:val="44"/>
          <w:sz w:val="21"/>
          <w:szCs w:val="21"/>
          <w:lang w:val="en-US" w:eastAsia="zh-CN" w:bidi="ar-SA"/>
        </w:rPr>
      </w:pPr>
      <w:bookmarkStart w:id="5" w:name="_Toc164235122"/>
      <w:r>
        <w:rPr>
          <w:rFonts w:hint="eastAsia" w:ascii="黑体" w:hAnsi="Times New Roman" w:eastAsia="黑体" w:cs="Times New Roman"/>
          <w:b/>
          <w:bCs/>
          <w:kern w:val="44"/>
          <w:sz w:val="21"/>
          <w:szCs w:val="21"/>
          <w:lang w:val="en-US" w:eastAsia="zh-CN" w:bidi="ar-SA"/>
        </w:rPr>
        <w:t>3.起草单位</w:t>
      </w:r>
      <w:bookmarkEnd w:id="5"/>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本标准由辽宁省疾病预防控制中心负责牵头起草。</w:t>
      </w:r>
    </w:p>
    <w:p>
      <w:pPr>
        <w:pStyle w:val="3"/>
        <w:spacing w:line="360" w:lineRule="auto"/>
        <w:rPr>
          <w:rFonts w:hint="eastAsia"/>
          <w:b w:val="0"/>
          <w:kern w:val="2"/>
        </w:rPr>
      </w:pPr>
      <w:bookmarkStart w:id="6" w:name="_Toc164235123"/>
      <w:r>
        <w:rPr>
          <w:rFonts w:hint="eastAsia" w:ascii="黑体" w:hAnsi="Times New Roman" w:eastAsia="黑体" w:cs="Times New Roman"/>
          <w:b/>
          <w:bCs/>
          <w:kern w:val="44"/>
          <w:sz w:val="21"/>
          <w:szCs w:val="21"/>
          <w:lang w:val="en-US" w:eastAsia="zh-CN" w:bidi="ar-SA"/>
        </w:rPr>
        <w:t>4.协作单位</w:t>
      </w:r>
      <w:bookmarkEnd w:id="6"/>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本标准由沈苏科技（苏州）股份有限公司协作编制完成。</w:t>
      </w:r>
    </w:p>
    <w:p>
      <w:pPr>
        <w:pStyle w:val="3"/>
        <w:spacing w:line="360" w:lineRule="auto"/>
        <w:rPr>
          <w:rFonts w:hint="eastAsia" w:ascii="黑体" w:hAnsi="Times New Roman" w:eastAsia="黑体" w:cs="Times New Roman"/>
          <w:b/>
          <w:bCs/>
          <w:kern w:val="44"/>
          <w:sz w:val="21"/>
          <w:szCs w:val="21"/>
          <w:lang w:val="en-US" w:eastAsia="zh-CN" w:bidi="ar-SA"/>
        </w:rPr>
      </w:pPr>
      <w:bookmarkStart w:id="7" w:name="_Toc164235124"/>
      <w:r>
        <w:rPr>
          <w:rFonts w:hint="eastAsia" w:ascii="黑体" w:hAnsi="Times New Roman" w:eastAsia="黑体" w:cs="Times New Roman"/>
          <w:b/>
          <w:bCs/>
          <w:kern w:val="44"/>
          <w:sz w:val="21"/>
          <w:szCs w:val="21"/>
          <w:lang w:val="en-US" w:eastAsia="zh-CN" w:bidi="ar-SA"/>
        </w:rPr>
        <w:t>5.主要起草人及其所做的工作</w:t>
      </w:r>
      <w:bookmarkEnd w:id="7"/>
    </w:p>
    <w:p>
      <w:pPr>
        <w:spacing w:line="360" w:lineRule="auto"/>
        <w:rPr>
          <w:rFonts w:hint="eastAsia"/>
          <w:sz w:val="32"/>
          <w:szCs w:val="32"/>
        </w:rPr>
      </w:pPr>
      <w:r>
        <w:br w:type="page"/>
      </w:r>
    </w:p>
    <w:p>
      <w:pPr>
        <w:spacing w:line="360" w:lineRule="auto"/>
        <w:ind w:firstLine="315" w:firstLineChars="150"/>
        <w:jc w:val="center"/>
        <w:rPr>
          <w:rFonts w:hint="eastAsia" w:ascii="宋体" w:hAnsi="宋体" w:eastAsia="宋体" w:cs="宋体"/>
          <w:sz w:val="21"/>
          <w:szCs w:val="21"/>
        </w:rPr>
      </w:pPr>
      <w:r>
        <w:rPr>
          <w:rFonts w:hint="eastAsia" w:ascii="宋体" w:hAnsi="宋体" w:eastAsia="宋体" w:cs="宋体"/>
          <w:sz w:val="21"/>
          <w:szCs w:val="21"/>
        </w:rPr>
        <w:t>表1  编写小组成员与分工表</w:t>
      </w:r>
    </w:p>
    <w:tbl>
      <w:tblPr>
        <w:tblStyle w:val="10"/>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134"/>
        <w:gridCol w:w="890"/>
        <w:gridCol w:w="2095"/>
        <w:gridCol w:w="2838"/>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48" w:type="dxa"/>
            <w:noWrap w:val="0"/>
            <w:vAlign w:val="center"/>
          </w:tcPr>
          <w:p>
            <w:pPr>
              <w:spacing w:line="360" w:lineRule="auto"/>
              <w:jc w:val="center"/>
              <w:rPr>
                <w:rFonts w:ascii="仿宋_GB2312" w:eastAsia="仿宋_GB2312"/>
                <w:color w:val="000000"/>
                <w:kern w:val="2"/>
                <w:sz w:val="21"/>
                <w:szCs w:val="21"/>
              </w:rPr>
            </w:pPr>
            <w:r>
              <w:rPr>
                <w:rFonts w:hint="eastAsia" w:ascii="仿宋_GB2312" w:eastAsia="仿宋_GB2312"/>
                <w:color w:val="000000"/>
                <w:kern w:val="2"/>
                <w:sz w:val="21"/>
                <w:szCs w:val="21"/>
              </w:rPr>
              <w:t>姓名</w:t>
            </w:r>
          </w:p>
        </w:tc>
        <w:tc>
          <w:tcPr>
            <w:tcW w:w="1134" w:type="dxa"/>
            <w:noWrap w:val="0"/>
            <w:vAlign w:val="center"/>
          </w:tcPr>
          <w:p>
            <w:pPr>
              <w:spacing w:line="360" w:lineRule="auto"/>
              <w:jc w:val="center"/>
              <w:rPr>
                <w:rFonts w:hint="eastAsia" w:ascii="仿宋_GB2312" w:eastAsia="仿宋_GB2312"/>
                <w:color w:val="000000"/>
                <w:kern w:val="2"/>
                <w:sz w:val="21"/>
                <w:szCs w:val="21"/>
              </w:rPr>
            </w:pPr>
            <w:r>
              <w:rPr>
                <w:rFonts w:hint="eastAsia" w:ascii="仿宋_GB2312" w:eastAsia="仿宋_GB2312"/>
                <w:color w:val="000000"/>
                <w:kern w:val="2"/>
                <w:sz w:val="21"/>
                <w:szCs w:val="21"/>
              </w:rPr>
              <w:t>性别</w:t>
            </w:r>
          </w:p>
        </w:tc>
        <w:tc>
          <w:tcPr>
            <w:tcW w:w="890" w:type="dxa"/>
            <w:noWrap w:val="0"/>
            <w:vAlign w:val="center"/>
          </w:tcPr>
          <w:p>
            <w:pPr>
              <w:spacing w:line="360" w:lineRule="auto"/>
              <w:jc w:val="center"/>
              <w:rPr>
                <w:rFonts w:hint="eastAsia" w:ascii="仿宋_GB2312" w:eastAsia="仿宋_GB2312"/>
                <w:color w:val="000000"/>
                <w:kern w:val="2"/>
                <w:sz w:val="21"/>
                <w:szCs w:val="21"/>
              </w:rPr>
            </w:pPr>
            <w:r>
              <w:rPr>
                <w:rFonts w:hint="eastAsia" w:ascii="仿宋_GB2312" w:eastAsia="仿宋_GB2312"/>
                <w:color w:val="000000"/>
                <w:kern w:val="2"/>
                <w:sz w:val="21"/>
                <w:szCs w:val="21"/>
              </w:rPr>
              <w:t>年龄</w:t>
            </w:r>
          </w:p>
        </w:tc>
        <w:tc>
          <w:tcPr>
            <w:tcW w:w="2095" w:type="dxa"/>
            <w:noWrap w:val="0"/>
            <w:vAlign w:val="center"/>
          </w:tcPr>
          <w:p>
            <w:pPr>
              <w:spacing w:line="360" w:lineRule="auto"/>
              <w:jc w:val="center"/>
              <w:rPr>
                <w:rFonts w:ascii="仿宋_GB2312" w:eastAsia="仿宋_GB2312"/>
                <w:color w:val="000000"/>
                <w:kern w:val="2"/>
                <w:sz w:val="21"/>
                <w:szCs w:val="21"/>
              </w:rPr>
            </w:pPr>
            <w:r>
              <w:rPr>
                <w:rFonts w:hint="eastAsia" w:ascii="仿宋_GB2312" w:eastAsia="仿宋_GB2312"/>
                <w:color w:val="000000"/>
                <w:kern w:val="2"/>
                <w:sz w:val="21"/>
                <w:szCs w:val="21"/>
              </w:rPr>
              <w:t>职务/职称</w:t>
            </w:r>
          </w:p>
        </w:tc>
        <w:tc>
          <w:tcPr>
            <w:tcW w:w="2838" w:type="dxa"/>
            <w:noWrap w:val="0"/>
            <w:vAlign w:val="center"/>
          </w:tcPr>
          <w:p>
            <w:pPr>
              <w:spacing w:line="360" w:lineRule="auto"/>
              <w:ind w:firstLine="420" w:firstLineChars="200"/>
              <w:jc w:val="center"/>
              <w:rPr>
                <w:rFonts w:ascii="仿宋_GB2312" w:eastAsia="仿宋_GB2312"/>
                <w:color w:val="000000"/>
                <w:kern w:val="2"/>
                <w:sz w:val="21"/>
                <w:szCs w:val="21"/>
              </w:rPr>
            </w:pPr>
            <w:r>
              <w:rPr>
                <w:rFonts w:hint="eastAsia" w:ascii="仿宋_GB2312" w:eastAsia="仿宋_GB2312"/>
                <w:color w:val="000000"/>
                <w:kern w:val="2"/>
                <w:sz w:val="21"/>
                <w:szCs w:val="21"/>
              </w:rPr>
              <w:t>工作单位</w:t>
            </w:r>
          </w:p>
        </w:tc>
        <w:tc>
          <w:tcPr>
            <w:tcW w:w="1748" w:type="dxa"/>
            <w:noWrap w:val="0"/>
            <w:vAlign w:val="center"/>
          </w:tcPr>
          <w:p>
            <w:pPr>
              <w:spacing w:line="360" w:lineRule="auto"/>
              <w:jc w:val="center"/>
              <w:rPr>
                <w:rFonts w:ascii="仿宋_GB2312" w:eastAsia="仿宋_GB2312"/>
                <w:color w:val="000000"/>
                <w:kern w:val="2"/>
                <w:sz w:val="21"/>
                <w:szCs w:val="21"/>
              </w:rPr>
            </w:pPr>
            <w:r>
              <w:rPr>
                <w:rFonts w:hint="eastAsia" w:ascii="仿宋_GB2312" w:eastAsia="仿宋_GB2312"/>
                <w:color w:val="000000"/>
                <w:kern w:val="2"/>
                <w:sz w:val="21"/>
                <w:szCs w:val="21"/>
              </w:rPr>
              <w:t>任务分配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48"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方兴</w:t>
            </w:r>
          </w:p>
        </w:tc>
        <w:tc>
          <w:tcPr>
            <w:tcW w:w="1134"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男</w:t>
            </w:r>
          </w:p>
        </w:tc>
        <w:tc>
          <w:tcPr>
            <w:tcW w:w="890"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46</w:t>
            </w:r>
          </w:p>
        </w:tc>
        <w:tc>
          <w:tcPr>
            <w:tcW w:w="2095"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所长/主任医师</w:t>
            </w:r>
          </w:p>
        </w:tc>
        <w:tc>
          <w:tcPr>
            <w:tcW w:w="2838"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辽宁省疾病预防控制中心</w:t>
            </w:r>
          </w:p>
        </w:tc>
        <w:tc>
          <w:tcPr>
            <w:tcW w:w="1748"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业务负责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48"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杨威</w:t>
            </w:r>
          </w:p>
        </w:tc>
        <w:tc>
          <w:tcPr>
            <w:tcW w:w="1134"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男</w:t>
            </w:r>
          </w:p>
        </w:tc>
        <w:tc>
          <w:tcPr>
            <w:tcW w:w="890"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55</w:t>
            </w:r>
          </w:p>
        </w:tc>
        <w:tc>
          <w:tcPr>
            <w:tcW w:w="2095" w:type="dxa"/>
            <w:noWrap w:val="0"/>
            <w:vAlign w:val="center"/>
          </w:tcPr>
          <w:p>
            <w:pPr>
              <w:spacing w:line="360" w:lineRule="auto"/>
              <w:jc w:val="center"/>
              <w:rPr>
                <w:rFonts w:hint="eastAsia" w:ascii="仿宋_GB2312" w:eastAsia="仿宋_GB2312"/>
                <w:color w:val="000000"/>
                <w:kern w:val="2"/>
                <w:sz w:val="21"/>
                <w:szCs w:val="21"/>
              </w:rPr>
            </w:pPr>
            <w:r>
              <w:rPr>
                <w:rFonts w:hint="eastAsia" w:ascii="仿宋_GB2312" w:eastAsia="仿宋_GB2312"/>
                <w:color w:val="000000"/>
                <w:kern w:val="2"/>
                <w:sz w:val="21"/>
                <w:szCs w:val="21"/>
              </w:rPr>
              <w:t>总经理/研究员</w:t>
            </w:r>
          </w:p>
        </w:tc>
        <w:tc>
          <w:tcPr>
            <w:tcW w:w="2838" w:type="dxa"/>
            <w:noWrap w:val="0"/>
            <w:vAlign w:val="center"/>
          </w:tcPr>
          <w:p>
            <w:pPr>
              <w:spacing w:line="360" w:lineRule="auto"/>
              <w:jc w:val="center"/>
              <w:rPr>
                <w:rFonts w:hint="eastAsia" w:ascii="仿宋_GB2312" w:eastAsia="仿宋_GB2312"/>
                <w:color w:val="000000"/>
                <w:kern w:val="2"/>
                <w:sz w:val="21"/>
                <w:szCs w:val="21"/>
              </w:rPr>
            </w:pPr>
            <w:r>
              <w:rPr>
                <w:rFonts w:hint="eastAsia" w:ascii="仿宋_GB2312" w:eastAsia="仿宋_GB2312"/>
                <w:color w:val="000000"/>
                <w:kern w:val="2"/>
                <w:sz w:val="21"/>
                <w:szCs w:val="21"/>
              </w:rPr>
              <w:t>沈苏科技（苏州）股份有限公司</w:t>
            </w:r>
          </w:p>
        </w:tc>
        <w:tc>
          <w:tcPr>
            <w:tcW w:w="1748" w:type="dxa"/>
            <w:noWrap w:val="0"/>
            <w:vAlign w:val="center"/>
          </w:tcPr>
          <w:p>
            <w:pPr>
              <w:spacing w:line="360" w:lineRule="auto"/>
              <w:jc w:val="center"/>
              <w:rPr>
                <w:rFonts w:hint="eastAsia" w:ascii="仿宋_GB2312" w:eastAsia="仿宋_GB2312"/>
                <w:color w:val="000000"/>
                <w:kern w:val="2"/>
                <w:sz w:val="21"/>
                <w:szCs w:val="21"/>
              </w:rPr>
            </w:pPr>
            <w:r>
              <w:rPr>
                <w:rFonts w:hint="eastAsia" w:ascii="仿宋_GB2312" w:eastAsia="仿宋_GB2312"/>
                <w:color w:val="000000"/>
                <w:kern w:val="2"/>
                <w:sz w:val="21"/>
                <w:szCs w:val="21"/>
              </w:rPr>
              <w:t>技术负责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48" w:type="dxa"/>
            <w:noWrap w:val="0"/>
            <w:vAlign w:val="center"/>
          </w:tcPr>
          <w:p>
            <w:pPr>
              <w:spacing w:line="360" w:lineRule="auto"/>
              <w:jc w:val="center"/>
              <w:rPr>
                <w:rFonts w:hint="default" w:ascii="仿宋_GB2312" w:eastAsia="仿宋_GB2312"/>
                <w:color w:val="000000"/>
                <w:kern w:val="2"/>
                <w:sz w:val="21"/>
                <w:szCs w:val="21"/>
                <w:lang w:val="en-US" w:eastAsia="zh-CN"/>
              </w:rPr>
            </w:pPr>
            <w:bookmarkStart w:id="8" w:name="_Toc164235125"/>
            <w:r>
              <w:rPr>
                <w:rFonts w:hint="eastAsia" w:ascii="仿宋_GB2312" w:eastAsia="仿宋_GB2312"/>
                <w:color w:val="000000"/>
                <w:kern w:val="2"/>
                <w:sz w:val="21"/>
                <w:szCs w:val="21"/>
                <w:lang w:val="en-US" w:eastAsia="zh-CN"/>
              </w:rPr>
              <w:t>常琳</w:t>
            </w:r>
          </w:p>
        </w:tc>
        <w:tc>
          <w:tcPr>
            <w:tcW w:w="1134"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女</w:t>
            </w:r>
          </w:p>
        </w:tc>
        <w:tc>
          <w:tcPr>
            <w:tcW w:w="890"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44</w:t>
            </w:r>
          </w:p>
        </w:tc>
        <w:tc>
          <w:tcPr>
            <w:tcW w:w="2095"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主任医师</w:t>
            </w:r>
          </w:p>
        </w:tc>
        <w:tc>
          <w:tcPr>
            <w:tcW w:w="2838" w:type="dxa"/>
            <w:noWrap w:val="0"/>
            <w:vAlign w:val="center"/>
          </w:tcPr>
          <w:p>
            <w:pPr>
              <w:spacing w:line="360" w:lineRule="auto"/>
              <w:jc w:val="center"/>
              <w:rPr>
                <w:rFonts w:hint="eastAsia" w:ascii="仿宋_GB2312" w:eastAsia="仿宋_GB2312"/>
                <w:color w:val="000000"/>
                <w:kern w:val="2"/>
                <w:sz w:val="21"/>
                <w:szCs w:val="21"/>
              </w:rPr>
            </w:pPr>
            <w:r>
              <w:rPr>
                <w:rFonts w:hint="eastAsia" w:ascii="仿宋_GB2312" w:eastAsia="仿宋_GB2312"/>
                <w:color w:val="000000"/>
                <w:kern w:val="2"/>
                <w:sz w:val="21"/>
                <w:szCs w:val="21"/>
                <w:lang w:val="en-US" w:eastAsia="zh-CN"/>
              </w:rPr>
              <w:t>辽宁省疾病预防控制中心</w:t>
            </w:r>
          </w:p>
        </w:tc>
        <w:tc>
          <w:tcPr>
            <w:tcW w:w="1748"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业务分析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48"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费思平</w:t>
            </w:r>
          </w:p>
        </w:tc>
        <w:tc>
          <w:tcPr>
            <w:tcW w:w="1134"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男</w:t>
            </w:r>
          </w:p>
        </w:tc>
        <w:tc>
          <w:tcPr>
            <w:tcW w:w="890"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42</w:t>
            </w:r>
          </w:p>
        </w:tc>
        <w:tc>
          <w:tcPr>
            <w:tcW w:w="2095"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中心主任</w:t>
            </w:r>
          </w:p>
        </w:tc>
        <w:tc>
          <w:tcPr>
            <w:tcW w:w="2838"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辽宁省疾病预防控制中心</w:t>
            </w:r>
          </w:p>
        </w:tc>
        <w:tc>
          <w:tcPr>
            <w:tcW w:w="1748"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48"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丛博</w:t>
            </w:r>
          </w:p>
        </w:tc>
        <w:tc>
          <w:tcPr>
            <w:tcW w:w="1134"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女</w:t>
            </w:r>
          </w:p>
        </w:tc>
        <w:tc>
          <w:tcPr>
            <w:tcW w:w="890"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34</w:t>
            </w:r>
          </w:p>
        </w:tc>
        <w:tc>
          <w:tcPr>
            <w:tcW w:w="2095"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主管医师</w:t>
            </w:r>
          </w:p>
        </w:tc>
        <w:tc>
          <w:tcPr>
            <w:tcW w:w="2838" w:type="dxa"/>
            <w:noWrap w:val="0"/>
            <w:vAlign w:val="center"/>
          </w:tcPr>
          <w:p>
            <w:pPr>
              <w:spacing w:line="360" w:lineRule="auto"/>
              <w:jc w:val="center"/>
              <w:rPr>
                <w:rFonts w:hint="eastAsia" w:ascii="仿宋_GB2312" w:hAnsi="Times New Roman" w:eastAsia="仿宋_GB2312" w:cs="Times New Roman"/>
                <w:color w:val="000000"/>
                <w:kern w:val="2"/>
                <w:sz w:val="21"/>
                <w:szCs w:val="21"/>
                <w:lang w:val="en-US" w:eastAsia="zh-CN" w:bidi="ar-SA"/>
              </w:rPr>
            </w:pPr>
            <w:r>
              <w:rPr>
                <w:rFonts w:hint="eastAsia" w:ascii="仿宋_GB2312" w:eastAsia="仿宋_GB2312"/>
                <w:color w:val="000000"/>
                <w:kern w:val="2"/>
                <w:sz w:val="21"/>
                <w:szCs w:val="21"/>
                <w:lang w:val="en-US" w:eastAsia="zh-CN"/>
              </w:rPr>
              <w:t>辽宁省疾病预防控制中心</w:t>
            </w:r>
          </w:p>
        </w:tc>
        <w:tc>
          <w:tcPr>
            <w:tcW w:w="1748" w:type="dxa"/>
            <w:noWrap w:val="0"/>
            <w:vAlign w:val="center"/>
          </w:tcPr>
          <w:p>
            <w:pPr>
              <w:spacing w:line="360" w:lineRule="auto"/>
              <w:jc w:val="center"/>
              <w:rPr>
                <w:rFonts w:hint="eastAsia" w:ascii="仿宋_GB2312" w:hAnsi="Times New Roman" w:eastAsia="仿宋_GB2312" w:cs="Times New Roman"/>
                <w:color w:val="000000"/>
                <w:kern w:val="2"/>
                <w:sz w:val="21"/>
                <w:szCs w:val="21"/>
                <w:lang w:val="en-US" w:eastAsia="zh-CN" w:bidi="ar-SA"/>
              </w:rPr>
            </w:pPr>
            <w:r>
              <w:rPr>
                <w:rFonts w:hint="eastAsia" w:ascii="仿宋_GB2312" w:eastAsia="仿宋_GB2312"/>
                <w:color w:val="000000"/>
                <w:kern w:val="2"/>
                <w:sz w:val="21"/>
                <w:szCs w:val="21"/>
                <w:lang w:val="en-US" w:eastAsia="zh-CN"/>
              </w:rPr>
              <w:t>业务分析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48"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王燕</w:t>
            </w:r>
          </w:p>
        </w:tc>
        <w:tc>
          <w:tcPr>
            <w:tcW w:w="1134"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女</w:t>
            </w:r>
          </w:p>
        </w:tc>
        <w:tc>
          <w:tcPr>
            <w:tcW w:w="890"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43</w:t>
            </w:r>
          </w:p>
        </w:tc>
        <w:tc>
          <w:tcPr>
            <w:tcW w:w="2095"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主任医师</w:t>
            </w:r>
          </w:p>
        </w:tc>
        <w:tc>
          <w:tcPr>
            <w:tcW w:w="2838"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辽宁省疾病预防控制中心</w:t>
            </w:r>
          </w:p>
        </w:tc>
        <w:tc>
          <w:tcPr>
            <w:tcW w:w="1748"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业务分析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48" w:type="dxa"/>
            <w:noWrap w:val="0"/>
            <w:vAlign w:val="center"/>
          </w:tcPr>
          <w:p>
            <w:pPr>
              <w:spacing w:line="360" w:lineRule="auto"/>
              <w:jc w:val="center"/>
              <w:rPr>
                <w:rFonts w:hint="eastAsia" w:ascii="仿宋_GB2312" w:hAnsi="Times New Roman" w:eastAsia="仿宋_GB2312" w:cs="Times New Roman"/>
                <w:color w:val="000000"/>
                <w:kern w:val="2"/>
                <w:sz w:val="21"/>
                <w:szCs w:val="21"/>
                <w:lang w:val="en-US" w:eastAsia="zh-CN" w:bidi="ar-SA"/>
              </w:rPr>
            </w:pPr>
            <w:r>
              <w:rPr>
                <w:rFonts w:hint="eastAsia" w:ascii="仿宋_GB2312" w:eastAsia="仿宋_GB2312"/>
                <w:color w:val="000000"/>
                <w:kern w:val="2"/>
                <w:sz w:val="21"/>
                <w:szCs w:val="21"/>
                <w:lang w:val="en-US" w:eastAsia="zh-CN"/>
              </w:rPr>
              <w:t>沈靖</w:t>
            </w:r>
          </w:p>
        </w:tc>
        <w:tc>
          <w:tcPr>
            <w:tcW w:w="1134" w:type="dxa"/>
            <w:noWrap w:val="0"/>
            <w:vAlign w:val="center"/>
          </w:tcPr>
          <w:p>
            <w:pPr>
              <w:spacing w:line="360" w:lineRule="auto"/>
              <w:jc w:val="center"/>
              <w:rPr>
                <w:rFonts w:hint="eastAsia" w:ascii="仿宋_GB2312" w:hAnsi="Times New Roman" w:eastAsia="仿宋_GB2312" w:cs="Times New Roman"/>
                <w:color w:val="000000"/>
                <w:kern w:val="2"/>
                <w:sz w:val="21"/>
                <w:szCs w:val="21"/>
                <w:lang w:val="en-US" w:eastAsia="zh-CN" w:bidi="ar-SA"/>
              </w:rPr>
            </w:pPr>
            <w:r>
              <w:rPr>
                <w:rFonts w:hint="eastAsia" w:ascii="仿宋_GB2312" w:eastAsia="仿宋_GB2312"/>
                <w:color w:val="000000"/>
                <w:kern w:val="2"/>
                <w:sz w:val="21"/>
                <w:szCs w:val="21"/>
                <w:lang w:val="en-US" w:eastAsia="zh-CN"/>
              </w:rPr>
              <w:t>男</w:t>
            </w:r>
          </w:p>
        </w:tc>
        <w:tc>
          <w:tcPr>
            <w:tcW w:w="890" w:type="dxa"/>
            <w:noWrap w:val="0"/>
            <w:vAlign w:val="center"/>
          </w:tcPr>
          <w:p>
            <w:pPr>
              <w:spacing w:line="360" w:lineRule="auto"/>
              <w:jc w:val="center"/>
              <w:rPr>
                <w:rFonts w:hint="eastAsia" w:ascii="仿宋_GB2312" w:hAnsi="Times New Roman" w:eastAsia="仿宋_GB2312" w:cs="Times New Roman"/>
                <w:color w:val="000000"/>
                <w:kern w:val="2"/>
                <w:sz w:val="21"/>
                <w:szCs w:val="21"/>
                <w:lang w:val="en-US" w:eastAsia="zh-CN" w:bidi="ar-SA"/>
              </w:rPr>
            </w:pPr>
            <w:r>
              <w:rPr>
                <w:rFonts w:hint="eastAsia" w:ascii="仿宋_GB2312" w:eastAsia="仿宋_GB2312"/>
                <w:color w:val="000000"/>
                <w:kern w:val="2"/>
                <w:sz w:val="21"/>
                <w:szCs w:val="21"/>
                <w:lang w:val="en-US" w:eastAsia="zh-CN"/>
              </w:rPr>
              <w:t>51</w:t>
            </w:r>
          </w:p>
        </w:tc>
        <w:tc>
          <w:tcPr>
            <w:tcW w:w="2095" w:type="dxa"/>
            <w:noWrap w:val="0"/>
            <w:vAlign w:val="center"/>
          </w:tcPr>
          <w:p>
            <w:pPr>
              <w:spacing w:line="360" w:lineRule="auto"/>
              <w:jc w:val="center"/>
              <w:rPr>
                <w:rFonts w:hint="eastAsia" w:ascii="仿宋_GB2312" w:hAnsi="Times New Roman" w:eastAsia="仿宋_GB2312" w:cs="Times New Roman"/>
                <w:color w:val="000000"/>
                <w:kern w:val="2"/>
                <w:sz w:val="21"/>
                <w:szCs w:val="21"/>
                <w:lang w:val="en-US" w:eastAsia="zh-CN" w:bidi="ar-SA"/>
              </w:rPr>
            </w:pPr>
            <w:r>
              <w:rPr>
                <w:rFonts w:hint="eastAsia" w:ascii="仿宋_GB2312" w:eastAsia="仿宋_GB2312"/>
                <w:color w:val="000000"/>
                <w:kern w:val="2"/>
                <w:sz w:val="21"/>
                <w:szCs w:val="21"/>
                <w:lang w:val="en-US" w:eastAsia="zh-CN"/>
              </w:rPr>
              <w:t>产品经理</w:t>
            </w:r>
          </w:p>
        </w:tc>
        <w:tc>
          <w:tcPr>
            <w:tcW w:w="2838" w:type="dxa"/>
            <w:noWrap w:val="0"/>
            <w:vAlign w:val="center"/>
          </w:tcPr>
          <w:p>
            <w:pPr>
              <w:spacing w:line="360" w:lineRule="auto"/>
              <w:jc w:val="center"/>
              <w:rPr>
                <w:rFonts w:hint="eastAsia" w:ascii="仿宋_GB2312" w:hAnsi="Times New Roman" w:eastAsia="仿宋_GB2312" w:cs="Times New Roman"/>
                <w:color w:val="000000"/>
                <w:kern w:val="2"/>
                <w:sz w:val="21"/>
                <w:szCs w:val="21"/>
                <w:lang w:val="en-US" w:eastAsia="zh-CN" w:bidi="ar-SA"/>
              </w:rPr>
            </w:pPr>
            <w:r>
              <w:rPr>
                <w:rFonts w:hint="eastAsia" w:ascii="仿宋_GB2312" w:eastAsia="仿宋_GB2312"/>
                <w:color w:val="000000"/>
                <w:kern w:val="2"/>
                <w:sz w:val="21"/>
                <w:szCs w:val="21"/>
                <w:lang w:val="en-US" w:eastAsia="zh-CN"/>
              </w:rPr>
              <w:t>沈苏科技（苏州）股份有限公司</w:t>
            </w:r>
          </w:p>
        </w:tc>
        <w:tc>
          <w:tcPr>
            <w:tcW w:w="1748" w:type="dxa"/>
            <w:noWrap w:val="0"/>
            <w:vAlign w:val="center"/>
          </w:tcPr>
          <w:p>
            <w:pPr>
              <w:spacing w:line="360" w:lineRule="auto"/>
              <w:jc w:val="center"/>
              <w:rPr>
                <w:rFonts w:hint="eastAsia" w:ascii="仿宋_GB2312" w:hAnsi="Times New Roman" w:eastAsia="仿宋_GB2312" w:cs="Times New Roman"/>
                <w:color w:val="000000"/>
                <w:kern w:val="2"/>
                <w:sz w:val="21"/>
                <w:szCs w:val="21"/>
                <w:lang w:val="en-US" w:eastAsia="zh-CN" w:bidi="ar-SA"/>
              </w:rPr>
            </w:pPr>
            <w:r>
              <w:rPr>
                <w:rFonts w:hint="eastAsia" w:ascii="仿宋_GB2312" w:eastAsia="仿宋_GB2312"/>
                <w:color w:val="000000"/>
                <w:kern w:val="2"/>
                <w:sz w:val="21"/>
                <w:szCs w:val="21"/>
                <w:lang w:val="en-US" w:eastAsia="zh-CN"/>
              </w:rPr>
              <w:t>技术编辑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48"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安淑一</w:t>
            </w:r>
          </w:p>
        </w:tc>
        <w:tc>
          <w:tcPr>
            <w:tcW w:w="1134"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女</w:t>
            </w:r>
          </w:p>
        </w:tc>
        <w:tc>
          <w:tcPr>
            <w:tcW w:w="890"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43</w:t>
            </w:r>
          </w:p>
        </w:tc>
        <w:tc>
          <w:tcPr>
            <w:tcW w:w="2095"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主任医师</w:t>
            </w:r>
          </w:p>
        </w:tc>
        <w:tc>
          <w:tcPr>
            <w:tcW w:w="2838"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辽宁省疾病预防控制中心</w:t>
            </w:r>
          </w:p>
        </w:tc>
        <w:tc>
          <w:tcPr>
            <w:tcW w:w="1748"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业务编辑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48"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王治</w:t>
            </w:r>
          </w:p>
        </w:tc>
        <w:tc>
          <w:tcPr>
            <w:tcW w:w="1134"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男</w:t>
            </w:r>
          </w:p>
        </w:tc>
        <w:tc>
          <w:tcPr>
            <w:tcW w:w="890"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52</w:t>
            </w:r>
          </w:p>
        </w:tc>
        <w:tc>
          <w:tcPr>
            <w:tcW w:w="2095"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分公司总经理</w:t>
            </w:r>
          </w:p>
        </w:tc>
        <w:tc>
          <w:tcPr>
            <w:tcW w:w="2838"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沈苏科技（苏州）股份有限公司</w:t>
            </w:r>
          </w:p>
        </w:tc>
        <w:tc>
          <w:tcPr>
            <w:tcW w:w="1748"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48"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钟雁鹏</w:t>
            </w:r>
          </w:p>
        </w:tc>
        <w:tc>
          <w:tcPr>
            <w:tcW w:w="1134"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男</w:t>
            </w:r>
          </w:p>
        </w:tc>
        <w:tc>
          <w:tcPr>
            <w:tcW w:w="890"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46</w:t>
            </w:r>
          </w:p>
        </w:tc>
        <w:tc>
          <w:tcPr>
            <w:tcW w:w="2095"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部门经理</w:t>
            </w:r>
          </w:p>
        </w:tc>
        <w:tc>
          <w:tcPr>
            <w:tcW w:w="2838"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沈苏科技（苏州）股份有限公司</w:t>
            </w:r>
          </w:p>
        </w:tc>
        <w:tc>
          <w:tcPr>
            <w:tcW w:w="1748"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业务分析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48"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顾松义</w:t>
            </w:r>
          </w:p>
        </w:tc>
        <w:tc>
          <w:tcPr>
            <w:tcW w:w="1134"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男</w:t>
            </w:r>
          </w:p>
        </w:tc>
        <w:tc>
          <w:tcPr>
            <w:tcW w:w="890"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58</w:t>
            </w:r>
          </w:p>
        </w:tc>
        <w:tc>
          <w:tcPr>
            <w:tcW w:w="2095"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主任医师</w:t>
            </w:r>
          </w:p>
        </w:tc>
        <w:tc>
          <w:tcPr>
            <w:tcW w:w="2838"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辽宁省疾病预防控制中心</w:t>
            </w:r>
          </w:p>
        </w:tc>
        <w:tc>
          <w:tcPr>
            <w:tcW w:w="1748"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业务分析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48"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杨佐森</w:t>
            </w:r>
          </w:p>
        </w:tc>
        <w:tc>
          <w:tcPr>
            <w:tcW w:w="1134"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男</w:t>
            </w:r>
          </w:p>
        </w:tc>
        <w:tc>
          <w:tcPr>
            <w:tcW w:w="890" w:type="dxa"/>
            <w:noWrap w:val="0"/>
            <w:vAlign w:val="center"/>
          </w:tcPr>
          <w:p>
            <w:pPr>
              <w:spacing w:line="360" w:lineRule="auto"/>
              <w:jc w:val="center"/>
              <w:rPr>
                <w:rFonts w:hint="default"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60</w:t>
            </w:r>
          </w:p>
        </w:tc>
        <w:tc>
          <w:tcPr>
            <w:tcW w:w="2095"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主任医师</w:t>
            </w:r>
          </w:p>
        </w:tc>
        <w:tc>
          <w:tcPr>
            <w:tcW w:w="2838"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辽宁省疾病预防控制中心</w:t>
            </w:r>
          </w:p>
        </w:tc>
        <w:tc>
          <w:tcPr>
            <w:tcW w:w="1748" w:type="dxa"/>
            <w:noWrap w:val="0"/>
            <w:vAlign w:val="center"/>
          </w:tcPr>
          <w:p>
            <w:pPr>
              <w:spacing w:line="360" w:lineRule="auto"/>
              <w:jc w:val="center"/>
              <w:rPr>
                <w:rFonts w:hint="eastAsia" w:ascii="仿宋_GB2312" w:eastAsia="仿宋_GB2312"/>
                <w:color w:val="000000"/>
                <w:kern w:val="2"/>
                <w:sz w:val="21"/>
                <w:szCs w:val="21"/>
                <w:lang w:val="en-US" w:eastAsia="zh-CN"/>
              </w:rPr>
            </w:pPr>
            <w:r>
              <w:rPr>
                <w:rFonts w:hint="eastAsia" w:ascii="仿宋_GB2312" w:eastAsia="仿宋_GB2312"/>
                <w:color w:val="000000"/>
                <w:kern w:val="2"/>
                <w:sz w:val="21"/>
                <w:szCs w:val="21"/>
                <w:lang w:val="en-US" w:eastAsia="zh-CN"/>
              </w:rPr>
              <w:t>项目管理</w:t>
            </w:r>
          </w:p>
        </w:tc>
      </w:tr>
    </w:tbl>
    <w:p>
      <w:pPr>
        <w:pStyle w:val="3"/>
        <w:spacing w:line="360" w:lineRule="auto"/>
        <w:rPr>
          <w:rFonts w:hint="eastAsia" w:ascii="黑体" w:hAnsi="Times New Roman" w:eastAsia="黑体" w:cs="Times New Roman"/>
          <w:b/>
          <w:bCs/>
          <w:kern w:val="44"/>
          <w:sz w:val="21"/>
          <w:szCs w:val="21"/>
          <w:lang w:val="en-US" w:eastAsia="zh-CN" w:bidi="ar-SA"/>
        </w:rPr>
      </w:pPr>
      <w:r>
        <w:rPr>
          <w:rFonts w:hint="eastAsia" w:ascii="黑体" w:hAnsi="Times New Roman" w:eastAsia="黑体" w:cs="Times New Roman"/>
          <w:b/>
          <w:bCs/>
          <w:kern w:val="44"/>
          <w:sz w:val="21"/>
          <w:szCs w:val="21"/>
          <w:lang w:val="en-US" w:eastAsia="zh-CN" w:bidi="ar-SA"/>
        </w:rPr>
        <w:t>6.主要工作过程</w:t>
      </w:r>
      <w:bookmarkEnd w:id="8"/>
    </w:p>
    <w:p>
      <w:pPr>
        <w:spacing w:line="360" w:lineRule="auto"/>
        <w:rPr>
          <w:rFonts w:hint="eastAsia" w:ascii="黑体" w:hAnsi="Times New Roman" w:eastAsia="黑体" w:cs="Times New Roman"/>
          <w:b/>
          <w:bCs/>
          <w:kern w:val="44"/>
          <w:sz w:val="21"/>
          <w:szCs w:val="21"/>
          <w:lang w:val="en-US" w:eastAsia="zh-CN" w:bidi="ar-SA"/>
        </w:rPr>
      </w:pPr>
      <w:r>
        <w:rPr>
          <w:rFonts w:hint="eastAsia" w:ascii="黑体" w:hAnsi="Times New Roman" w:eastAsia="黑体" w:cs="Times New Roman"/>
          <w:b/>
          <w:bCs/>
          <w:kern w:val="44"/>
          <w:sz w:val="21"/>
          <w:szCs w:val="21"/>
          <w:lang w:val="en-US" w:eastAsia="zh-CN" w:bidi="ar-SA"/>
        </w:rPr>
        <w:t>6.1主要起草单位成立起草组  2022年9月</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项目计划下达后，牵头单位辽宁省疾病预防控制中心按照辽宁省市场监管局有关文件制定编制计划，开展前期准备工作，联合协作单位成立标准起草小组着手标准草案的编制工作。</w:t>
      </w:r>
    </w:p>
    <w:p>
      <w:pPr>
        <w:spacing w:line="360" w:lineRule="auto"/>
        <w:rPr>
          <w:rFonts w:hint="eastAsia" w:ascii="黑体" w:hAnsi="Times New Roman" w:eastAsia="黑体" w:cs="Times New Roman"/>
          <w:b/>
          <w:bCs/>
          <w:kern w:val="44"/>
          <w:sz w:val="21"/>
          <w:szCs w:val="21"/>
          <w:lang w:val="en-US" w:eastAsia="zh-CN" w:bidi="ar-SA"/>
        </w:rPr>
      </w:pPr>
      <w:r>
        <w:rPr>
          <w:rFonts w:hint="eastAsia" w:ascii="黑体" w:hAnsi="Times New Roman" w:eastAsia="黑体" w:cs="Times New Roman"/>
          <w:b/>
          <w:bCs/>
          <w:kern w:val="44"/>
          <w:sz w:val="21"/>
          <w:szCs w:val="21"/>
          <w:lang w:val="en-US" w:eastAsia="zh-CN" w:bidi="ar-SA"/>
        </w:rPr>
        <w:t>6.2收集分析整理资料  2023年9月～12月</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标准起草小组进行了系统的资料收集和调查研究工作。首先收集相关法律法规、相关标准及期刊论文等，为标准研制和编写提供参考资料。二是起草组工作人员对省内主要城市如沈阳、大连、鞍山等地开展实地考察和调研，熟悉了门诊疫苗自动储存与分发系统（简称储发系统）的应用现状、场地环境</w:t>
      </w:r>
      <w:r>
        <w:rPr>
          <w:rFonts w:hint="eastAsia" w:ascii="宋体" w:hAnsi="宋体" w:eastAsia="宋体" w:cs="宋体"/>
          <w:sz w:val="21"/>
          <w:szCs w:val="21"/>
          <w:lang w:eastAsia="zh-CN"/>
        </w:rPr>
        <w:t>、</w:t>
      </w:r>
      <w:r>
        <w:rPr>
          <w:rFonts w:hint="eastAsia" w:ascii="宋体" w:hAnsi="宋体" w:eastAsia="宋体" w:cs="宋体"/>
          <w:sz w:val="21"/>
          <w:szCs w:val="21"/>
        </w:rPr>
        <w:t>设施设备、应用流程等关键环节，为标准编制做好准备。三是就门诊疫苗储发系统的术语定义、功能、技术要点以及安全要求，与行业有代表性的企业沈苏科技（苏州）股份有限公司专业人员和管理人员进行了重点研讨。四是在认真总结国家及我省在门诊疫苗储发系统领域现状和实践经验基础上对调研情况和收集到的资料进行反复分析研究后，确立了编制本标准的基本架构。</w:t>
      </w:r>
    </w:p>
    <w:p>
      <w:pPr>
        <w:spacing w:line="360" w:lineRule="auto"/>
        <w:rPr>
          <w:rFonts w:hint="eastAsia" w:ascii="黑体" w:hAnsi="Times New Roman" w:eastAsia="黑体" w:cs="Times New Roman"/>
          <w:b/>
          <w:bCs/>
          <w:kern w:val="44"/>
          <w:sz w:val="21"/>
          <w:szCs w:val="21"/>
          <w:lang w:val="en-US" w:eastAsia="zh-CN" w:bidi="ar-SA"/>
        </w:rPr>
      </w:pPr>
      <w:r>
        <w:rPr>
          <w:rFonts w:hint="eastAsia" w:ascii="黑体" w:hAnsi="Times New Roman" w:eastAsia="黑体" w:cs="Times New Roman"/>
          <w:b/>
          <w:bCs/>
          <w:kern w:val="44"/>
          <w:sz w:val="21"/>
          <w:szCs w:val="21"/>
          <w:lang w:val="en-US" w:eastAsia="zh-CN" w:bidi="ar-SA"/>
        </w:rPr>
        <w:t>6.3形成标准草案  2024年1月～2月</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预防接种门诊疫苗自动储存与分发系统的基本功能规范》标准起草小组按照《辽宁省地方标准管理办法》《辽宁省地方标准制修订工作细则（试行）》的有关要求，以认真负责、科学规范、客观公正、实事求是的态度，从制定标准的科学性、先进性和可操作性的原则出发，以《中华人民共和国疫苗管理法》《预防接种工作规范（2023年版）》两个法规文件为依据，参考了GB 40050—2021《网络关键设备安全通用要求》；GB 50052—2009《供配电系统设计规范》；GB 50054—2011《低压配电设计规范》；GB 50311—2007《综合布线系统工程设计规范》；GB 50396—2007《出入口控制系统工程设计规范》；JGJ/T 16—2008《民用建筑电气设计规范》； T/LYYH 001—2023《辽宁省智慧化预防接种门诊功能标准》相关指导性国家标准、行业标准及团体标准后，结合我省的具体情况,并积极吸纳了重点门诊系统应用实践和成熟的工作经验，经过进一步分析整理，形成了标准草案稿。</w:t>
      </w:r>
    </w:p>
    <w:p>
      <w:pPr>
        <w:spacing w:line="360" w:lineRule="auto"/>
        <w:rPr>
          <w:rFonts w:hint="eastAsia" w:ascii="黑体" w:hAnsi="Times New Roman" w:eastAsia="黑体" w:cs="Times New Roman"/>
          <w:b/>
          <w:bCs/>
          <w:kern w:val="44"/>
          <w:sz w:val="21"/>
          <w:szCs w:val="21"/>
          <w:lang w:val="en-US" w:eastAsia="zh-CN" w:bidi="ar-SA"/>
        </w:rPr>
      </w:pPr>
      <w:r>
        <w:rPr>
          <w:rFonts w:hint="eastAsia" w:ascii="黑体" w:hAnsi="Times New Roman" w:eastAsia="黑体" w:cs="Times New Roman"/>
          <w:b/>
          <w:bCs/>
          <w:kern w:val="44"/>
          <w:sz w:val="21"/>
          <w:szCs w:val="21"/>
          <w:lang w:val="en-US" w:eastAsia="zh-CN" w:bidi="ar-SA"/>
        </w:rPr>
        <w:t>6.4形成标准征求意见稿  202</w:t>
      </w:r>
      <w:r>
        <w:rPr>
          <w:rFonts w:hint="eastAsia" w:ascii="黑体" w:eastAsia="黑体" w:cs="Times New Roman"/>
          <w:b/>
          <w:bCs/>
          <w:kern w:val="44"/>
          <w:sz w:val="21"/>
          <w:szCs w:val="21"/>
          <w:lang w:val="en-US" w:eastAsia="zh-CN" w:bidi="ar-SA"/>
        </w:rPr>
        <w:t>4</w:t>
      </w:r>
      <w:r>
        <w:rPr>
          <w:rFonts w:hint="eastAsia" w:ascii="黑体" w:hAnsi="Times New Roman" w:eastAsia="黑体" w:cs="Times New Roman"/>
          <w:b/>
          <w:bCs/>
          <w:kern w:val="44"/>
          <w:sz w:val="21"/>
          <w:szCs w:val="21"/>
          <w:lang w:val="en-US" w:eastAsia="zh-CN" w:bidi="ar-SA"/>
        </w:rPr>
        <w:t>年3月～4月</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2024年3月起，起草组先后赴沈阳</w:t>
      </w:r>
      <w:r>
        <w:rPr>
          <w:rFonts w:hint="eastAsia" w:ascii="宋体" w:hAnsi="宋体" w:eastAsia="宋体" w:cs="宋体"/>
          <w:sz w:val="21"/>
          <w:szCs w:val="21"/>
          <w:lang w:val="en-US" w:eastAsia="zh-CN"/>
        </w:rPr>
        <w:t>市和平区</w:t>
      </w:r>
      <w:r>
        <w:rPr>
          <w:rFonts w:hint="eastAsia" w:ascii="宋体" w:hAnsi="宋体" w:eastAsia="宋体" w:cs="宋体"/>
          <w:sz w:val="21"/>
          <w:szCs w:val="21"/>
        </w:rPr>
        <w:t>长白社区卫生服务中心、沈阳市大东区万泉社区卫生服务中心，沈阳市大东区二台子社区卫生服务中心，沈阳市大东区文官社区卫生服务中心，沈阳市大东区蓝盾接种门诊等系统应用单位调研，并开展组内讨论。经过研讨，进一步明确了标准的主体结构，确定了主要内容，并对标准的编制提出了进一步修改意见形成了征求意见稿。</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2024年4月，起草组依据《辽宁省地方标准管理办法》，分别向省行业主管部门和省标准化主管部门申请官网公示30天，收集社会反馈意见和建议。</w:t>
      </w:r>
    </w:p>
    <w:p>
      <w:pPr>
        <w:pStyle w:val="2"/>
        <w:spacing w:line="360" w:lineRule="auto"/>
        <w:rPr>
          <w:rFonts w:hint="eastAsia" w:ascii="黑体" w:hAnsi="Times New Roman" w:eastAsia="黑体" w:cs="Times New Roman"/>
          <w:b/>
          <w:bCs/>
          <w:sz w:val="21"/>
          <w:szCs w:val="21"/>
        </w:rPr>
      </w:pPr>
      <w:bookmarkStart w:id="9" w:name="_Toc164235126"/>
      <w:r>
        <w:rPr>
          <w:rFonts w:hint="eastAsia" w:ascii="黑体" w:hAnsi="Times New Roman" w:eastAsia="黑体" w:cs="Times New Roman"/>
          <w:b/>
          <w:bCs/>
          <w:sz w:val="21"/>
          <w:szCs w:val="21"/>
        </w:rPr>
        <w:t>二、标准编制原则和确定地方标准主要内容的论据</w:t>
      </w:r>
      <w:bookmarkEnd w:id="9"/>
    </w:p>
    <w:p>
      <w:pPr>
        <w:pStyle w:val="3"/>
        <w:spacing w:line="360" w:lineRule="auto"/>
        <w:rPr>
          <w:rFonts w:hint="eastAsia" w:ascii="黑体" w:hAnsi="Times New Roman" w:eastAsia="黑体" w:cs="Times New Roman"/>
          <w:b/>
          <w:bCs/>
          <w:kern w:val="44"/>
          <w:sz w:val="21"/>
          <w:szCs w:val="21"/>
          <w:lang w:val="en-US" w:eastAsia="zh-CN" w:bidi="ar-SA"/>
        </w:rPr>
      </w:pPr>
      <w:bookmarkStart w:id="10" w:name="_Toc164235127"/>
      <w:r>
        <w:rPr>
          <w:rFonts w:hint="eastAsia" w:ascii="黑体" w:hAnsi="Times New Roman" w:eastAsia="黑体" w:cs="Times New Roman"/>
          <w:b/>
          <w:bCs/>
          <w:kern w:val="44"/>
          <w:sz w:val="21"/>
          <w:szCs w:val="21"/>
          <w:lang w:val="en-US" w:eastAsia="zh-CN" w:bidi="ar-SA"/>
        </w:rPr>
        <w:t>1.编制原则</w:t>
      </w:r>
      <w:bookmarkEnd w:id="10"/>
    </w:p>
    <w:p>
      <w:pPr>
        <w:spacing w:line="360" w:lineRule="auto"/>
        <w:rPr>
          <w:rFonts w:hint="eastAsia" w:ascii="黑体" w:hAnsi="Times New Roman" w:eastAsia="黑体" w:cs="Times New Roman"/>
          <w:b/>
          <w:bCs/>
          <w:kern w:val="44"/>
          <w:sz w:val="21"/>
          <w:szCs w:val="21"/>
          <w:lang w:val="en-US" w:eastAsia="zh-CN" w:bidi="ar-SA"/>
        </w:rPr>
      </w:pPr>
      <w:r>
        <w:rPr>
          <w:rFonts w:hint="eastAsia" w:ascii="黑体" w:hAnsi="Times New Roman" w:eastAsia="黑体" w:cs="Times New Roman"/>
          <w:b/>
          <w:bCs/>
          <w:kern w:val="44"/>
          <w:sz w:val="21"/>
          <w:szCs w:val="21"/>
          <w:lang w:val="en-US" w:eastAsia="zh-CN" w:bidi="ar-SA"/>
        </w:rPr>
        <w:t>1.1科学性原则</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本规范各项技术遵循国际标准、国家标准、行业</w:t>
      </w:r>
      <w:r>
        <w:rPr>
          <w:rFonts w:hint="eastAsia" w:ascii="宋体" w:hAnsi="宋体" w:eastAsia="宋体" w:cs="宋体"/>
          <w:sz w:val="21"/>
          <w:szCs w:val="21"/>
          <w:lang w:val="en-US" w:eastAsia="zh-CN"/>
        </w:rPr>
        <w:t>标准</w:t>
      </w:r>
      <w:r>
        <w:rPr>
          <w:rFonts w:hint="eastAsia" w:ascii="宋体" w:hAnsi="宋体" w:eastAsia="宋体" w:cs="宋体"/>
          <w:sz w:val="21"/>
          <w:szCs w:val="21"/>
        </w:rPr>
        <w:t>和相关规范</w:t>
      </w:r>
      <w:r>
        <w:rPr>
          <w:rFonts w:hint="eastAsia" w:ascii="宋体" w:hAnsi="宋体" w:eastAsia="宋体" w:cs="宋体"/>
          <w:sz w:val="21"/>
          <w:szCs w:val="21"/>
          <w:lang w:eastAsia="zh-CN"/>
        </w:rPr>
        <w:t>，</w:t>
      </w:r>
      <w:r>
        <w:rPr>
          <w:rFonts w:hint="eastAsia" w:ascii="宋体" w:hAnsi="宋体" w:eastAsia="宋体" w:cs="宋体"/>
          <w:sz w:val="21"/>
          <w:szCs w:val="21"/>
        </w:rPr>
        <w:t>所采用的硬件平台、软件平台、网络协议等</w:t>
      </w:r>
      <w:r>
        <w:rPr>
          <w:rFonts w:hint="eastAsia" w:ascii="宋体" w:hAnsi="宋体" w:eastAsia="宋体" w:cs="宋体"/>
          <w:sz w:val="21"/>
          <w:szCs w:val="21"/>
          <w:lang w:val="en-US" w:eastAsia="zh-CN"/>
        </w:rPr>
        <w:t>为</w:t>
      </w:r>
      <w:r>
        <w:rPr>
          <w:rFonts w:hint="eastAsia" w:ascii="宋体" w:hAnsi="宋体" w:eastAsia="宋体" w:cs="宋体"/>
          <w:sz w:val="21"/>
          <w:szCs w:val="21"/>
        </w:rPr>
        <w:t>国内外厂商支持的国际标准协议</w:t>
      </w:r>
      <w:r>
        <w:rPr>
          <w:rFonts w:hint="eastAsia" w:ascii="宋体" w:hAnsi="宋体" w:eastAsia="宋体" w:cs="宋体"/>
          <w:sz w:val="21"/>
          <w:szCs w:val="21"/>
          <w:lang w:eastAsia="zh-CN"/>
        </w:rPr>
        <w:t>，</w:t>
      </w:r>
      <w:r>
        <w:rPr>
          <w:rFonts w:hint="eastAsia" w:ascii="宋体" w:hAnsi="宋体" w:eastAsia="宋体" w:cs="宋体"/>
          <w:sz w:val="21"/>
          <w:szCs w:val="21"/>
        </w:rPr>
        <w:t>使系统的硬件环境、软件环境、操作平台之间协调统一，发挥各自优势，为信息的互通和应用创造有利的条件。本标准与GA/T 74—2017《安全防范系统通用图形符号》；GB/T 41867《信息技术 人工智能 术语》；GB/T 42030—2022《智能制造 射频识别系统 超高频读写应用编程接口》；T/CPMA 016—2020《数字化预防接种门诊基本功能标准》相协调一致。</w:t>
      </w:r>
    </w:p>
    <w:p>
      <w:pPr>
        <w:spacing w:line="360" w:lineRule="auto"/>
        <w:rPr>
          <w:rFonts w:hint="eastAsia" w:ascii="黑体" w:hAnsi="Times New Roman" w:eastAsia="黑体" w:cs="Times New Roman"/>
          <w:b/>
          <w:bCs/>
          <w:kern w:val="44"/>
          <w:sz w:val="21"/>
          <w:szCs w:val="21"/>
          <w:lang w:val="en-US" w:eastAsia="zh-CN" w:bidi="ar-SA"/>
        </w:rPr>
      </w:pPr>
      <w:r>
        <w:rPr>
          <w:rFonts w:hint="eastAsia" w:ascii="黑体" w:hAnsi="Times New Roman" w:eastAsia="黑体" w:cs="Times New Roman"/>
          <w:b/>
          <w:bCs/>
          <w:kern w:val="44"/>
          <w:sz w:val="21"/>
          <w:szCs w:val="21"/>
          <w:lang w:val="en-US" w:eastAsia="zh-CN" w:bidi="ar-SA"/>
        </w:rPr>
        <w:t>1.2实用性原则</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本规范将提供具有较强互动性的用户操作界面，具备直观易用的人机界面，使得系统操作方便、快速、简捷；满足业务人员日常工作习惯</w:t>
      </w:r>
      <w:r>
        <w:rPr>
          <w:rFonts w:hint="eastAsia" w:ascii="宋体" w:hAnsi="宋体" w:eastAsia="宋体" w:cs="宋体"/>
          <w:sz w:val="21"/>
          <w:szCs w:val="21"/>
          <w:lang w:eastAsia="zh-CN"/>
        </w:rPr>
        <w:t>，</w:t>
      </w:r>
      <w:r>
        <w:rPr>
          <w:rFonts w:hint="eastAsia" w:ascii="宋体" w:hAnsi="宋体" w:eastAsia="宋体" w:cs="宋体"/>
          <w:sz w:val="21"/>
          <w:szCs w:val="21"/>
        </w:rPr>
        <w:t>流程功能管理应追求实用性，切合预防接种领域的实际业务需求，技术上要有一定高度，手段强调实用，操作直观简便。</w:t>
      </w:r>
    </w:p>
    <w:p>
      <w:pPr>
        <w:spacing w:line="360" w:lineRule="auto"/>
        <w:rPr>
          <w:rFonts w:hint="eastAsia" w:ascii="黑体" w:hAnsi="Times New Roman" w:eastAsia="黑体" w:cs="Times New Roman"/>
          <w:b/>
          <w:bCs/>
          <w:kern w:val="44"/>
          <w:sz w:val="21"/>
          <w:szCs w:val="21"/>
          <w:lang w:val="en-US" w:eastAsia="zh-CN" w:bidi="ar-SA"/>
        </w:rPr>
      </w:pPr>
      <w:r>
        <w:rPr>
          <w:rFonts w:hint="eastAsia" w:ascii="黑体" w:hAnsi="Times New Roman" w:eastAsia="黑体" w:cs="Times New Roman"/>
          <w:b/>
          <w:bCs/>
          <w:kern w:val="44"/>
          <w:sz w:val="21"/>
          <w:szCs w:val="21"/>
          <w:lang w:val="en-US" w:eastAsia="zh-CN" w:bidi="ar-SA"/>
        </w:rPr>
        <w:t>1.3适用性原则</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本规范的设计应充分考虑到现有的技术投资以及未来的功能要求，利用多种集成技术，使整个系统既能保护现有投资，又能够适应未来的功能和技术要求。</w:t>
      </w:r>
    </w:p>
    <w:p>
      <w:pPr>
        <w:spacing w:line="360" w:lineRule="auto"/>
        <w:rPr>
          <w:rFonts w:hint="eastAsia" w:ascii="黑体" w:hAnsi="Times New Roman" w:eastAsia="黑体" w:cs="Times New Roman"/>
          <w:b/>
          <w:bCs/>
          <w:kern w:val="44"/>
          <w:sz w:val="21"/>
          <w:szCs w:val="21"/>
          <w:lang w:val="en-US" w:eastAsia="zh-CN" w:bidi="ar-SA"/>
        </w:rPr>
      </w:pPr>
      <w:r>
        <w:rPr>
          <w:rFonts w:hint="eastAsia" w:ascii="黑体" w:hAnsi="Times New Roman" w:eastAsia="黑体" w:cs="Times New Roman"/>
          <w:b/>
          <w:bCs/>
          <w:kern w:val="44"/>
          <w:sz w:val="21"/>
          <w:szCs w:val="21"/>
          <w:lang w:val="en-US" w:eastAsia="zh-CN" w:bidi="ar-SA"/>
        </w:rPr>
        <w:t>1.4可操作性原则</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系统设计采用可操作、可维修性和优化设计等技术，建立可操作性模型，强化项目管理和质量保证，满足客户对系统质量和安全的要求。</w:t>
      </w:r>
    </w:p>
    <w:p>
      <w:pPr>
        <w:spacing w:line="360" w:lineRule="auto"/>
        <w:rPr>
          <w:rFonts w:hint="eastAsia" w:ascii="黑体" w:hAnsi="Times New Roman" w:eastAsia="黑体" w:cs="Times New Roman"/>
          <w:b/>
          <w:bCs/>
          <w:kern w:val="44"/>
          <w:sz w:val="21"/>
          <w:szCs w:val="21"/>
          <w:lang w:val="en-US" w:eastAsia="zh-CN" w:bidi="ar-SA"/>
        </w:rPr>
      </w:pPr>
      <w:r>
        <w:rPr>
          <w:rFonts w:hint="eastAsia" w:ascii="黑体" w:hAnsi="Times New Roman" w:eastAsia="黑体" w:cs="Times New Roman"/>
          <w:b/>
          <w:bCs/>
          <w:kern w:val="44"/>
          <w:sz w:val="21"/>
          <w:szCs w:val="21"/>
          <w:lang w:val="en-US" w:eastAsia="zh-CN" w:bidi="ar-SA"/>
        </w:rPr>
        <w:t>1.5经济性原则</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规范的编制注重实践的社会效益、管理效益和经济效益。主要包括两方面的内容：对现有应用环境的保护，即选择的结构应该最大限度的利用系统现有的设备，配套人力、网络资源，尽力再追加技术投资；对系统延续性的保护，即系统业务的选择应该是可发展的，可以在一段时期内，稳定满足业务发展以及技术发展的需要。</w:t>
      </w:r>
    </w:p>
    <w:p>
      <w:pPr>
        <w:pStyle w:val="3"/>
        <w:spacing w:line="360" w:lineRule="auto"/>
        <w:rPr>
          <w:rFonts w:hint="eastAsia" w:ascii="黑体" w:hAnsi="Times New Roman" w:eastAsia="黑体" w:cs="Times New Roman"/>
          <w:b/>
          <w:bCs/>
          <w:kern w:val="44"/>
          <w:sz w:val="21"/>
          <w:szCs w:val="21"/>
          <w:lang w:val="en-US" w:eastAsia="zh-CN" w:bidi="ar-SA"/>
        </w:rPr>
      </w:pPr>
      <w:bookmarkStart w:id="11" w:name="_Toc164235128"/>
      <w:r>
        <w:rPr>
          <w:rFonts w:hint="eastAsia" w:ascii="黑体" w:hAnsi="Times New Roman" w:eastAsia="黑体" w:cs="Times New Roman"/>
          <w:b/>
          <w:bCs/>
          <w:kern w:val="44"/>
          <w:sz w:val="21"/>
          <w:szCs w:val="21"/>
          <w:lang w:val="en-US" w:eastAsia="zh-CN" w:bidi="ar-SA"/>
        </w:rPr>
        <w:t>2.确定地方标准主要内容的论据</w:t>
      </w:r>
      <w:bookmarkEnd w:id="11"/>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1、2章分别给出了范围和规范性引用文件。</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3章术语和定义给出了6个本标准使用的接种门诊疫苗储发系统方面的定义：其中“1.人工智能”总结自GB/T 41867—2022《信息技术 人工智能 术语》3.1.2 ；“2.物联网”引自GB/T 33745—2017《物联网 术语》2.1.1；“3.接口”引自GB/T 5271.9—2001《信息技术 词汇 第9部分：数据通信》09.01.06；“4.预防接种门诊疫苗自动储存与分发系统”“5.预防接种软件”为归纳总结后提出，并经小组讨论后给出； “6.数字化预防接种门诊”引自T/CPMA 016-2020《数字化预防接种门诊基本功能标准》3.2。</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章</w:t>
      </w:r>
      <w:r>
        <w:rPr>
          <w:rFonts w:hint="eastAsia" w:ascii="宋体" w:hAnsi="宋体" w:eastAsia="宋体" w:cs="宋体"/>
          <w:sz w:val="21"/>
          <w:szCs w:val="21"/>
        </w:rPr>
        <w:t>缩略语。给出了本文件多次使用的DVC的缩略语，即“数字化预防接种门诊（Digital Vaccination Clinic）”。</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章</w:t>
      </w:r>
      <w:r>
        <w:rPr>
          <w:rFonts w:hint="eastAsia" w:ascii="宋体" w:hAnsi="宋体" w:eastAsia="宋体" w:cs="宋体"/>
          <w:sz w:val="21"/>
          <w:szCs w:val="21"/>
        </w:rPr>
        <w:t>功能要求。给出了储发系统的基本原则、基本结构，明确了储发系统的功能要求，管理软件的配备以及与DVC协同应用的要求。</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章</w:t>
      </w:r>
      <w:r>
        <w:rPr>
          <w:rFonts w:hint="eastAsia" w:ascii="宋体" w:hAnsi="宋体" w:eastAsia="宋体" w:cs="宋体"/>
          <w:sz w:val="21"/>
          <w:szCs w:val="21"/>
        </w:rPr>
        <w:t>业务管理要求。本章给出了储发系统与DVC对接的要求，按照手动和自动两种方式给出疫苗上架管理要求，疫苗自动入库、库存统计、接种分发、多人份分发、智能化储发、盘点、存储容量管理、以及发苗支持能力的要求。</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lang w:val="en-US" w:eastAsia="zh-CN"/>
        </w:rPr>
        <w:t>章</w:t>
      </w:r>
      <w:r>
        <w:rPr>
          <w:rFonts w:hint="eastAsia" w:ascii="宋体" w:hAnsi="宋体" w:eastAsia="宋体" w:cs="宋体"/>
          <w:sz w:val="21"/>
          <w:szCs w:val="21"/>
        </w:rPr>
        <w:t>技术要求。本章给出了储发系统的硬件设备（包括储苗模块、发苗模块），智能传输和分配系统要求，系统应配置的软件要求，以上要求与《预防接种工作规范（2023年版）》的相关规定一致。</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lang w:val="en-US" w:eastAsia="zh-CN"/>
        </w:rPr>
        <w:t>章</w:t>
      </w:r>
      <w:r>
        <w:rPr>
          <w:rFonts w:hint="eastAsia" w:ascii="宋体" w:hAnsi="宋体" w:eastAsia="宋体" w:cs="宋体"/>
          <w:sz w:val="21"/>
          <w:szCs w:val="21"/>
        </w:rPr>
        <w:t>安全要求。本章以安全的角度，从通用要求、机械安全、电气安全、和信息安全四个方面，给出了储发系统应具备的安全要求，为系统的正常运行提供了较为全面的安全保障。</w:t>
      </w:r>
    </w:p>
    <w:p>
      <w:pPr>
        <w:pStyle w:val="2"/>
        <w:spacing w:line="360" w:lineRule="auto"/>
        <w:rPr>
          <w:rFonts w:hint="eastAsia" w:ascii="黑体" w:hAnsi="Times New Roman" w:eastAsia="黑体" w:cs="Times New Roman"/>
          <w:b/>
          <w:bCs/>
          <w:sz w:val="21"/>
          <w:szCs w:val="21"/>
        </w:rPr>
      </w:pPr>
      <w:bookmarkStart w:id="12" w:name="_Toc164235129"/>
      <w:r>
        <w:rPr>
          <w:rFonts w:hint="eastAsia" w:ascii="黑体" w:hAnsi="Times New Roman" w:eastAsia="黑体" w:cs="Times New Roman"/>
          <w:b/>
          <w:bCs/>
          <w:sz w:val="21"/>
          <w:szCs w:val="21"/>
        </w:rPr>
        <w:t>三、主要试验（或验证）的分析、综述报告，技术经济论证，预期经济社会生态效益分析</w:t>
      </w:r>
      <w:bookmarkEnd w:id="12"/>
    </w:p>
    <w:p>
      <w:pPr>
        <w:pStyle w:val="3"/>
        <w:spacing w:line="360" w:lineRule="auto"/>
        <w:rPr>
          <w:rFonts w:hint="eastAsia" w:ascii="黑体" w:hAnsi="Times New Roman" w:eastAsia="黑体" w:cs="Times New Roman"/>
          <w:b/>
          <w:bCs/>
          <w:kern w:val="44"/>
          <w:sz w:val="21"/>
          <w:szCs w:val="21"/>
          <w:lang w:val="en-US" w:eastAsia="zh-CN" w:bidi="ar-SA"/>
        </w:rPr>
      </w:pPr>
      <w:bookmarkStart w:id="13" w:name="_Toc164235130"/>
      <w:r>
        <w:rPr>
          <w:rFonts w:hint="eastAsia" w:ascii="黑体" w:hAnsi="Times New Roman" w:eastAsia="黑体" w:cs="Times New Roman"/>
          <w:b/>
          <w:bCs/>
          <w:kern w:val="44"/>
          <w:sz w:val="21"/>
          <w:szCs w:val="21"/>
          <w:lang w:val="en-US" w:eastAsia="zh-CN" w:bidi="ar-SA"/>
        </w:rPr>
        <w:t>1.行业概述</w:t>
      </w:r>
      <w:bookmarkEnd w:id="13"/>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2018年9月习近平总书记主持召开中央全面深化改革委员会第四次会议，审议通过《关于改革和完善疫苗管理体制的意见》（中办发[2018]70号，以下简称《意见》），并对贯彻落实《意见》精神作出部署。《意见》充分体现了党中央以人民为中心的发展思想和对人民群众身体健康的高度重视，文中指出，疫苗关系人民群众生命健康，关系公共卫生安全和国家安全。改革和完善疫苗管理体制，必须标本兼治、重在治本，采取强有力举措，严格市场准入，强化市场监管，优化流通配送，规范接种管理，坚决堵塞监管漏洞，严厉打击违法违规，确保疫苗生产和供应安全，并提出了“规范疫苗流通秩序”和“强化疫苗监督建设”的具体工作要求。2019年6月29日国家正式出台了《中华人民共和国疫苗管理法》,并于2019年12月1日起正式施行，结合《疫苗储存和运输管理规范（2017年版）》，确保疾病预防控制机构、接种单位、疫苗生产企业、疫苗配送企业、疫苗仓储企业建立疫苗储存、运输管理制度，做好疫苗的储存、运输工作。</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为贯彻落实国家、省、市要求，在现有免疫规划平台基础上建设疫苗冷链监测综合信息管理系统，实现第三方疫苗配送冷链温度监测补全缺失的管理信息，实现疫苗的全程管理。</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同时，根据国家要求，各地均按照《中华人民共和国疫苗管理法》有关规定，依法依规组织实施新冠病毒疫苗大规模接种，确保在疫苗常规接种不受影响的基础上，做好新冠病毒疫苗的接种工作。</w:t>
      </w:r>
    </w:p>
    <w:p>
      <w:pPr>
        <w:pStyle w:val="3"/>
        <w:spacing w:line="360" w:lineRule="auto"/>
        <w:rPr>
          <w:rFonts w:hint="eastAsia" w:ascii="黑体" w:hAnsi="Times New Roman" w:eastAsia="黑体" w:cs="Times New Roman"/>
          <w:b/>
          <w:bCs/>
          <w:kern w:val="44"/>
          <w:sz w:val="21"/>
          <w:szCs w:val="21"/>
          <w:lang w:val="en-US" w:eastAsia="zh-CN" w:bidi="ar-SA"/>
        </w:rPr>
      </w:pPr>
      <w:bookmarkStart w:id="14" w:name="_Toc164235131"/>
      <w:r>
        <w:rPr>
          <w:rFonts w:hint="eastAsia" w:ascii="黑体" w:hAnsi="Times New Roman" w:eastAsia="黑体" w:cs="Times New Roman"/>
          <w:b/>
          <w:bCs/>
          <w:kern w:val="44"/>
          <w:sz w:val="21"/>
          <w:szCs w:val="21"/>
          <w:lang w:val="en-US" w:eastAsia="zh-CN" w:bidi="ar-SA"/>
        </w:rPr>
        <w:t>2.本标准参考的文献</w:t>
      </w:r>
      <w:bookmarkEnd w:id="14"/>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lang w:val="en-US" w:eastAsia="zh-CN"/>
        </w:rPr>
        <w:t>2.1</w:t>
      </w:r>
      <w:r>
        <w:rPr>
          <w:rFonts w:hint="eastAsia" w:ascii="宋体" w:hAnsi="宋体" w:eastAsia="宋体" w:cs="宋体"/>
          <w:sz w:val="21"/>
          <w:szCs w:val="21"/>
        </w:rPr>
        <w:t>.中共中央办公厅 国务院办公厅《关于改革和完善疫苗管理体制的意见》的通知（中办发〔2018〕70号）</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2《关于药品信息化追溯体系建设的指导意见》（国药监药管〔2018〕35号）</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3《关于印发加快推进预防接种规范化管理工作方案的通知》（国卫办疾控函〔2019〕503号）</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4国家卫生健康委办公厅《关于加快推进免疫规划信息系统建设工作的通知》（国卫办疾控函〔2019〕841号）</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5《中国疾病预防控制中心关于省级和接种单位免疫规划信息系统基本功能要求的通知》（中疾控免疫便函〔2019〕1309号）</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6《全国疑似预防接种异常反应监测方案（</w:t>
      </w:r>
      <w:r>
        <w:rPr>
          <w:rFonts w:hint="eastAsia" w:ascii="宋体" w:hAnsi="宋体" w:eastAsia="宋体" w:cs="宋体"/>
          <w:sz w:val="21"/>
          <w:szCs w:val="21"/>
          <w:lang w:val="en-US" w:eastAsia="zh-CN"/>
        </w:rPr>
        <w:t>2022版</w:t>
      </w:r>
      <w:r>
        <w:rPr>
          <w:rFonts w:hint="eastAsia" w:ascii="宋体" w:hAnsi="宋体" w:eastAsia="宋体" w:cs="宋体"/>
          <w:sz w:val="21"/>
          <w:szCs w:val="21"/>
        </w:rPr>
        <w:t>）》</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7《国家免疫规划儿童免疫程序及说明（2021年版）》</w:t>
      </w:r>
      <w:bookmarkStart w:id="21" w:name="_GoBack"/>
      <w:bookmarkEnd w:id="21"/>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8《儿童入托、入学预防接种证查验办法的通知》（国卫办疾控发〔2021〕4号）</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9《中华人民共和国疫苗管理法》</w:t>
      </w:r>
    </w:p>
    <w:p>
      <w:pPr>
        <w:pStyle w:val="3"/>
        <w:spacing w:line="360" w:lineRule="auto"/>
        <w:rPr>
          <w:rFonts w:hint="eastAsia" w:ascii="黑体" w:hAnsi="Times New Roman" w:eastAsia="黑体" w:cs="Times New Roman"/>
          <w:b/>
          <w:bCs/>
          <w:kern w:val="44"/>
          <w:sz w:val="21"/>
          <w:szCs w:val="21"/>
          <w:lang w:val="en-US" w:eastAsia="zh-CN" w:bidi="ar-SA"/>
        </w:rPr>
      </w:pPr>
      <w:bookmarkStart w:id="15" w:name="_Toc164235132"/>
      <w:r>
        <w:rPr>
          <w:rFonts w:hint="eastAsia" w:ascii="黑体" w:hAnsi="Times New Roman" w:eastAsia="黑体" w:cs="Times New Roman"/>
          <w:b/>
          <w:bCs/>
          <w:kern w:val="44"/>
          <w:sz w:val="21"/>
          <w:szCs w:val="21"/>
          <w:lang w:val="en-US" w:eastAsia="zh-CN" w:bidi="ar-SA"/>
        </w:rPr>
        <w:t>3.社会效益</w:t>
      </w:r>
      <w:bookmarkEnd w:id="15"/>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通过建设预防接种门诊疫苗自动储存与分发系统，实现全方位、立体化、实时化疫苗安全管控，大大提高企业管理力度，通过预防接种门诊疫苗自动储存与分发系统满足接种单位的疫苗储存及使用需求，协助疾控系统相关部门发挥更为重要的作用，有限人力资源条件下合理分配，保障疫苗质量，并安全完成预防接种工作。</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预防接种门诊疫苗自动储存与分发系统满足《中华人民共和国疫苗管理法》“保证全过程信息真实、准确、完整和可追溯”的法律要求，并与现有数字化预防接种系统无缝结合，将接种医生从繁琐的“盘苗、录苗、取苗、补苗”中解放出来，从之前的“纯手动”到现在的“智能化”，大幅度减轻接种单位人员工作强度，避免人为差错及接种事故，全面提升接种门诊的人工智能化水平，全场景守护人民群众，让受种者真正享受到大数据时代下的安全接种、放心接种、满意接种。</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制定《预防接种门诊疫苗自动储存与分发设备基本功能规范》，可有效提升预防接种工作水平，保障预防接种服务安全，提高服务质量，对实现国家卫生健康委员会于2019年颁布的国卫办疾控函〔2019〕503号《国家卫生健康委办公厅关于印发加快推进预防接种规范化管理工作方案的通知》中提出的预防接种法制化，接种单位标准化，接种工作规范化，全程监控信息化的工作的目标，具有重要意义。</w:t>
      </w:r>
    </w:p>
    <w:p>
      <w:pPr>
        <w:pStyle w:val="2"/>
        <w:spacing w:line="360" w:lineRule="auto"/>
        <w:rPr>
          <w:rFonts w:hint="eastAsia" w:ascii="黑体" w:hAnsi="Times New Roman" w:eastAsia="黑体" w:cs="Times New Roman"/>
          <w:b/>
          <w:bCs/>
          <w:sz w:val="21"/>
          <w:szCs w:val="21"/>
        </w:rPr>
      </w:pPr>
      <w:bookmarkStart w:id="16" w:name="_Toc164235133"/>
      <w:r>
        <w:rPr>
          <w:rFonts w:hint="eastAsia" w:ascii="黑体" w:hAnsi="Times New Roman" w:eastAsia="黑体" w:cs="Times New Roman"/>
          <w:b/>
          <w:bCs/>
          <w:sz w:val="21"/>
          <w:szCs w:val="21"/>
        </w:rPr>
        <w:t>四、与有关的现行法律、法规和国家标准、行业标准、地方标准的关系</w:t>
      </w:r>
      <w:bookmarkEnd w:id="16"/>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本标准遵循“协调统一、规范适用”的编制原则，与国家现行法律、法规和有关产业政策保持一致，严格按照GB/T 1.1—2020《标准化工作导则  第1部分：标准化文件的结构和起草规则》规定组织编写，本标准为辽宁省首次制定，与本行业现有的其他标准协调配套，没有冲突，技术要求不低于国家标准的相关技术要求。</w:t>
      </w:r>
    </w:p>
    <w:p>
      <w:pPr>
        <w:pStyle w:val="2"/>
        <w:spacing w:line="360" w:lineRule="auto"/>
        <w:rPr>
          <w:rFonts w:hint="eastAsia" w:ascii="黑体" w:hAnsi="Times New Roman" w:eastAsia="黑体" w:cs="Times New Roman"/>
          <w:b/>
          <w:bCs/>
          <w:sz w:val="21"/>
          <w:szCs w:val="21"/>
        </w:rPr>
      </w:pPr>
      <w:bookmarkStart w:id="17" w:name="_Toc164235134"/>
      <w:r>
        <w:rPr>
          <w:rFonts w:hint="eastAsia" w:ascii="黑体" w:hAnsi="Times New Roman" w:eastAsia="黑体" w:cs="Times New Roman"/>
          <w:b/>
          <w:bCs/>
          <w:sz w:val="21"/>
          <w:szCs w:val="21"/>
        </w:rPr>
        <w:t>五、征求意见和分歧处理情况，应说明未采纳意见依据以及同意见提出人的沟通反馈情况</w:t>
      </w:r>
      <w:bookmarkEnd w:id="17"/>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待公开征求意见后说明。</w:t>
      </w:r>
    </w:p>
    <w:p>
      <w:pPr>
        <w:pStyle w:val="2"/>
        <w:spacing w:line="360" w:lineRule="auto"/>
        <w:rPr>
          <w:rFonts w:hint="eastAsia" w:ascii="黑体" w:hAnsi="Times New Roman" w:eastAsia="黑体" w:cs="Times New Roman"/>
          <w:b/>
          <w:bCs/>
          <w:sz w:val="21"/>
          <w:szCs w:val="21"/>
        </w:rPr>
      </w:pPr>
      <w:bookmarkStart w:id="18" w:name="_Toc164235135"/>
      <w:r>
        <w:rPr>
          <w:rFonts w:hint="eastAsia" w:ascii="黑体" w:hAnsi="Times New Roman" w:eastAsia="黑体" w:cs="Times New Roman"/>
          <w:b/>
          <w:bCs/>
          <w:sz w:val="21"/>
          <w:szCs w:val="21"/>
        </w:rPr>
        <w:t>六、推动标准实施的措施建议</w:t>
      </w:r>
      <w:bookmarkEnd w:id="18"/>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该标准的实施建议由卫生和健康行业主管部门进行业务指导，对各市、区、街道、社区卫生服务中心（站）开展广泛培训学习，可以对重点区域的社区卫生服务中心（站）现行开展标准的实施</w:t>
      </w:r>
      <w:r>
        <w:rPr>
          <w:rFonts w:hint="eastAsia" w:ascii="宋体" w:hAnsi="宋体" w:eastAsia="宋体" w:cs="宋体"/>
          <w:sz w:val="21"/>
          <w:szCs w:val="21"/>
          <w:lang w:val="en-US" w:eastAsia="zh-CN"/>
        </w:rPr>
        <w:t>进行</w:t>
      </w:r>
      <w:r>
        <w:rPr>
          <w:rFonts w:hint="eastAsia" w:ascii="宋体" w:hAnsi="宋体" w:eastAsia="宋体" w:cs="宋体"/>
          <w:sz w:val="21"/>
          <w:szCs w:val="21"/>
        </w:rPr>
        <w:t>监督管理，确保本标准的覆盖率和实施率，规范接种门诊相关技术设备基本功能内容，确保相关产品设备具备一定的质量水平并达到必要的业务规范性。</w:t>
      </w:r>
    </w:p>
    <w:p>
      <w:pPr>
        <w:pStyle w:val="2"/>
        <w:spacing w:line="360" w:lineRule="auto"/>
        <w:rPr>
          <w:rFonts w:hint="eastAsia" w:ascii="黑体" w:hAnsi="Times New Roman" w:eastAsia="黑体" w:cs="Times New Roman"/>
          <w:b/>
          <w:bCs/>
          <w:sz w:val="21"/>
          <w:szCs w:val="21"/>
        </w:rPr>
      </w:pPr>
      <w:bookmarkStart w:id="19" w:name="_Toc164235136"/>
      <w:r>
        <w:rPr>
          <w:rFonts w:hint="eastAsia" w:ascii="黑体" w:hAnsi="Times New Roman" w:eastAsia="黑体" w:cs="Times New Roman"/>
          <w:b/>
          <w:bCs/>
          <w:sz w:val="21"/>
          <w:szCs w:val="21"/>
        </w:rPr>
        <w:t>七、拟作为强制性地方标准的须写明明确的法律法规依据</w:t>
      </w:r>
      <w:bookmarkEnd w:id="19"/>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无。</w:t>
      </w:r>
    </w:p>
    <w:p>
      <w:pPr>
        <w:pStyle w:val="2"/>
        <w:spacing w:line="360" w:lineRule="auto"/>
        <w:rPr>
          <w:rFonts w:hint="eastAsia" w:ascii="黑体" w:hAnsi="Times New Roman" w:eastAsia="黑体" w:cs="Times New Roman"/>
          <w:b/>
          <w:bCs/>
          <w:sz w:val="21"/>
          <w:szCs w:val="21"/>
        </w:rPr>
      </w:pPr>
      <w:bookmarkStart w:id="20" w:name="_Toc164235137"/>
      <w:r>
        <w:rPr>
          <w:rFonts w:hint="eastAsia" w:ascii="黑体" w:hAnsi="Times New Roman" w:eastAsia="黑体" w:cs="Times New Roman"/>
          <w:b/>
          <w:bCs/>
          <w:sz w:val="21"/>
          <w:szCs w:val="21"/>
        </w:rPr>
        <w:t>八、其他应说明的事项</w:t>
      </w:r>
      <w:bookmarkEnd w:id="20"/>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无。</w:t>
      </w:r>
    </w:p>
    <w:sectPr>
      <w:footerReference r:id="rId4" w:type="default"/>
      <w:type w:val="continuous"/>
      <w:pgSz w:w="11906" w:h="16838"/>
      <w:pgMar w:top="1440" w:right="1474" w:bottom="1440" w:left="1474" w:header="851" w:footer="992" w:gutter="0"/>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50F90"/>
    <w:multiLevelType w:val="multilevel"/>
    <w:tmpl w:val="44C50F90"/>
    <w:lvl w:ilvl="0" w:tentative="0">
      <w:start w:val="1"/>
      <w:numFmt w:val="lowerLetter"/>
      <w:pStyle w:val="21"/>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20"/>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22"/>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5AC"/>
    <w:rsid w:val="00006511"/>
    <w:rsid w:val="0000693B"/>
    <w:rsid w:val="00007E00"/>
    <w:rsid w:val="00016B18"/>
    <w:rsid w:val="0002114A"/>
    <w:rsid w:val="00024E65"/>
    <w:rsid w:val="00025B03"/>
    <w:rsid w:val="00026EE1"/>
    <w:rsid w:val="00030198"/>
    <w:rsid w:val="00030BDE"/>
    <w:rsid w:val="0003379B"/>
    <w:rsid w:val="000361C4"/>
    <w:rsid w:val="00041EE5"/>
    <w:rsid w:val="000437C8"/>
    <w:rsid w:val="000504CE"/>
    <w:rsid w:val="0006173C"/>
    <w:rsid w:val="00062DE3"/>
    <w:rsid w:val="00072070"/>
    <w:rsid w:val="0007292B"/>
    <w:rsid w:val="000770BA"/>
    <w:rsid w:val="0008044B"/>
    <w:rsid w:val="00082983"/>
    <w:rsid w:val="00082C77"/>
    <w:rsid w:val="00086D40"/>
    <w:rsid w:val="00094224"/>
    <w:rsid w:val="00095B00"/>
    <w:rsid w:val="000A4D54"/>
    <w:rsid w:val="000A5CB6"/>
    <w:rsid w:val="000B0176"/>
    <w:rsid w:val="000C1148"/>
    <w:rsid w:val="000D129E"/>
    <w:rsid w:val="000D2AA1"/>
    <w:rsid w:val="000D4BD6"/>
    <w:rsid w:val="000E23E2"/>
    <w:rsid w:val="000E3CE4"/>
    <w:rsid w:val="000E3F1F"/>
    <w:rsid w:val="000E4324"/>
    <w:rsid w:val="000E4E51"/>
    <w:rsid w:val="000E7524"/>
    <w:rsid w:val="000F4C65"/>
    <w:rsid w:val="000F4DE6"/>
    <w:rsid w:val="000F70A7"/>
    <w:rsid w:val="00103A73"/>
    <w:rsid w:val="001221DF"/>
    <w:rsid w:val="001234E5"/>
    <w:rsid w:val="001342B8"/>
    <w:rsid w:val="00136785"/>
    <w:rsid w:val="00137209"/>
    <w:rsid w:val="00147D09"/>
    <w:rsid w:val="00150FF2"/>
    <w:rsid w:val="0015356D"/>
    <w:rsid w:val="00155047"/>
    <w:rsid w:val="00160DBC"/>
    <w:rsid w:val="001733F2"/>
    <w:rsid w:val="00183BE1"/>
    <w:rsid w:val="00184B75"/>
    <w:rsid w:val="00191781"/>
    <w:rsid w:val="00195A33"/>
    <w:rsid w:val="0019747A"/>
    <w:rsid w:val="001A5464"/>
    <w:rsid w:val="001A6A72"/>
    <w:rsid w:val="001A7390"/>
    <w:rsid w:val="001B138B"/>
    <w:rsid w:val="001B77A7"/>
    <w:rsid w:val="001C3C17"/>
    <w:rsid w:val="001C4895"/>
    <w:rsid w:val="001C5093"/>
    <w:rsid w:val="001C52C0"/>
    <w:rsid w:val="001C5D5A"/>
    <w:rsid w:val="001C7485"/>
    <w:rsid w:val="001D1BAB"/>
    <w:rsid w:val="001D40C3"/>
    <w:rsid w:val="001F400A"/>
    <w:rsid w:val="001F4EB3"/>
    <w:rsid w:val="001F7902"/>
    <w:rsid w:val="002003C5"/>
    <w:rsid w:val="0020114E"/>
    <w:rsid w:val="00202E27"/>
    <w:rsid w:val="00204FCB"/>
    <w:rsid w:val="002142C9"/>
    <w:rsid w:val="00217885"/>
    <w:rsid w:val="00230DB7"/>
    <w:rsid w:val="00232BD1"/>
    <w:rsid w:val="00232D35"/>
    <w:rsid w:val="0023358A"/>
    <w:rsid w:val="00233DF4"/>
    <w:rsid w:val="00236043"/>
    <w:rsid w:val="00243A16"/>
    <w:rsid w:val="002522A7"/>
    <w:rsid w:val="00255CDA"/>
    <w:rsid w:val="00270160"/>
    <w:rsid w:val="0027389B"/>
    <w:rsid w:val="002771B9"/>
    <w:rsid w:val="00284EB5"/>
    <w:rsid w:val="00285934"/>
    <w:rsid w:val="00287D64"/>
    <w:rsid w:val="00291AD7"/>
    <w:rsid w:val="00296631"/>
    <w:rsid w:val="002A0FF5"/>
    <w:rsid w:val="002A24C5"/>
    <w:rsid w:val="002A5E6F"/>
    <w:rsid w:val="002B1898"/>
    <w:rsid w:val="002B2BAE"/>
    <w:rsid w:val="002B5BC3"/>
    <w:rsid w:val="002C36A3"/>
    <w:rsid w:val="002C7AD3"/>
    <w:rsid w:val="002D0608"/>
    <w:rsid w:val="002D11AA"/>
    <w:rsid w:val="002D596E"/>
    <w:rsid w:val="002E60CC"/>
    <w:rsid w:val="002E73E3"/>
    <w:rsid w:val="002F1476"/>
    <w:rsid w:val="002F5768"/>
    <w:rsid w:val="003061B8"/>
    <w:rsid w:val="003124B1"/>
    <w:rsid w:val="003124D3"/>
    <w:rsid w:val="00313029"/>
    <w:rsid w:val="00315180"/>
    <w:rsid w:val="00316C3A"/>
    <w:rsid w:val="00321A2B"/>
    <w:rsid w:val="00331A00"/>
    <w:rsid w:val="0033214A"/>
    <w:rsid w:val="00340207"/>
    <w:rsid w:val="003425B9"/>
    <w:rsid w:val="00343A0A"/>
    <w:rsid w:val="00344378"/>
    <w:rsid w:val="003505D4"/>
    <w:rsid w:val="00350E1C"/>
    <w:rsid w:val="00352753"/>
    <w:rsid w:val="00352F62"/>
    <w:rsid w:val="00353435"/>
    <w:rsid w:val="00354DBC"/>
    <w:rsid w:val="00364946"/>
    <w:rsid w:val="00367AB3"/>
    <w:rsid w:val="00367C3F"/>
    <w:rsid w:val="0037294A"/>
    <w:rsid w:val="00390A44"/>
    <w:rsid w:val="00391591"/>
    <w:rsid w:val="00392BC9"/>
    <w:rsid w:val="003970CC"/>
    <w:rsid w:val="003A2161"/>
    <w:rsid w:val="003A57EF"/>
    <w:rsid w:val="003B2043"/>
    <w:rsid w:val="003B3FF6"/>
    <w:rsid w:val="003B4DA3"/>
    <w:rsid w:val="003B728C"/>
    <w:rsid w:val="003B777A"/>
    <w:rsid w:val="003C2145"/>
    <w:rsid w:val="003C27A1"/>
    <w:rsid w:val="003C2C2A"/>
    <w:rsid w:val="003C62BA"/>
    <w:rsid w:val="003C6878"/>
    <w:rsid w:val="003C78A4"/>
    <w:rsid w:val="003D1840"/>
    <w:rsid w:val="003D496C"/>
    <w:rsid w:val="003D7AC8"/>
    <w:rsid w:val="003E26F4"/>
    <w:rsid w:val="003E6EFC"/>
    <w:rsid w:val="003F267F"/>
    <w:rsid w:val="00406E5F"/>
    <w:rsid w:val="0041034B"/>
    <w:rsid w:val="004103F5"/>
    <w:rsid w:val="0041279C"/>
    <w:rsid w:val="004150CD"/>
    <w:rsid w:val="00421F82"/>
    <w:rsid w:val="00441D7F"/>
    <w:rsid w:val="00446FAB"/>
    <w:rsid w:val="00455251"/>
    <w:rsid w:val="0045533D"/>
    <w:rsid w:val="00456C57"/>
    <w:rsid w:val="004578C7"/>
    <w:rsid w:val="004635D8"/>
    <w:rsid w:val="004662B6"/>
    <w:rsid w:val="00471FF4"/>
    <w:rsid w:val="00476676"/>
    <w:rsid w:val="004820CD"/>
    <w:rsid w:val="00487706"/>
    <w:rsid w:val="00496087"/>
    <w:rsid w:val="004A25AF"/>
    <w:rsid w:val="004A358F"/>
    <w:rsid w:val="004A537B"/>
    <w:rsid w:val="004A6E45"/>
    <w:rsid w:val="004A790C"/>
    <w:rsid w:val="004A7D85"/>
    <w:rsid w:val="004B5A45"/>
    <w:rsid w:val="004C5A26"/>
    <w:rsid w:val="004D1A50"/>
    <w:rsid w:val="004D227B"/>
    <w:rsid w:val="004D7A20"/>
    <w:rsid w:val="004E2ED0"/>
    <w:rsid w:val="004F0DC7"/>
    <w:rsid w:val="004F189F"/>
    <w:rsid w:val="004F1A42"/>
    <w:rsid w:val="005005F5"/>
    <w:rsid w:val="005026F0"/>
    <w:rsid w:val="00520875"/>
    <w:rsid w:val="00522058"/>
    <w:rsid w:val="00523316"/>
    <w:rsid w:val="00531B54"/>
    <w:rsid w:val="00532CCC"/>
    <w:rsid w:val="00541F17"/>
    <w:rsid w:val="00550441"/>
    <w:rsid w:val="00551528"/>
    <w:rsid w:val="00553AFD"/>
    <w:rsid w:val="00555E23"/>
    <w:rsid w:val="005565D8"/>
    <w:rsid w:val="0056456F"/>
    <w:rsid w:val="005751E7"/>
    <w:rsid w:val="00575509"/>
    <w:rsid w:val="00575558"/>
    <w:rsid w:val="005761AC"/>
    <w:rsid w:val="00576F4D"/>
    <w:rsid w:val="00581200"/>
    <w:rsid w:val="00584943"/>
    <w:rsid w:val="0059704A"/>
    <w:rsid w:val="005A0000"/>
    <w:rsid w:val="005A204B"/>
    <w:rsid w:val="005A2606"/>
    <w:rsid w:val="005A2A19"/>
    <w:rsid w:val="005B122B"/>
    <w:rsid w:val="005B30AB"/>
    <w:rsid w:val="005B3EEF"/>
    <w:rsid w:val="005B715C"/>
    <w:rsid w:val="005C0E90"/>
    <w:rsid w:val="005C2E33"/>
    <w:rsid w:val="005C3EAE"/>
    <w:rsid w:val="005C6E96"/>
    <w:rsid w:val="005C7A64"/>
    <w:rsid w:val="005D103D"/>
    <w:rsid w:val="005D3DE3"/>
    <w:rsid w:val="005E200B"/>
    <w:rsid w:val="005E4764"/>
    <w:rsid w:val="005E4D3B"/>
    <w:rsid w:val="005E5F94"/>
    <w:rsid w:val="005E7128"/>
    <w:rsid w:val="00603326"/>
    <w:rsid w:val="0060376F"/>
    <w:rsid w:val="006037AD"/>
    <w:rsid w:val="00604035"/>
    <w:rsid w:val="00606BF9"/>
    <w:rsid w:val="00612518"/>
    <w:rsid w:val="0061427B"/>
    <w:rsid w:val="006142DC"/>
    <w:rsid w:val="006334C6"/>
    <w:rsid w:val="00633810"/>
    <w:rsid w:val="00636EBA"/>
    <w:rsid w:val="006404F9"/>
    <w:rsid w:val="0064149E"/>
    <w:rsid w:val="0064263E"/>
    <w:rsid w:val="0064669E"/>
    <w:rsid w:val="006476B3"/>
    <w:rsid w:val="00651F4C"/>
    <w:rsid w:val="00653F29"/>
    <w:rsid w:val="00655286"/>
    <w:rsid w:val="00655DB6"/>
    <w:rsid w:val="00657387"/>
    <w:rsid w:val="006604A9"/>
    <w:rsid w:val="00665FB0"/>
    <w:rsid w:val="006662DA"/>
    <w:rsid w:val="0067183D"/>
    <w:rsid w:val="00674362"/>
    <w:rsid w:val="00674D8E"/>
    <w:rsid w:val="0067699F"/>
    <w:rsid w:val="00677CCD"/>
    <w:rsid w:val="00683C02"/>
    <w:rsid w:val="00687BCE"/>
    <w:rsid w:val="00696FFA"/>
    <w:rsid w:val="00697AEF"/>
    <w:rsid w:val="006A0459"/>
    <w:rsid w:val="006A3144"/>
    <w:rsid w:val="006A33CD"/>
    <w:rsid w:val="006A42DA"/>
    <w:rsid w:val="006A5177"/>
    <w:rsid w:val="006A5DF6"/>
    <w:rsid w:val="006C2E74"/>
    <w:rsid w:val="006C6209"/>
    <w:rsid w:val="006C7610"/>
    <w:rsid w:val="006C7C88"/>
    <w:rsid w:val="006D0383"/>
    <w:rsid w:val="006E2E67"/>
    <w:rsid w:val="006F0F68"/>
    <w:rsid w:val="006F2274"/>
    <w:rsid w:val="006F235C"/>
    <w:rsid w:val="006F23F3"/>
    <w:rsid w:val="007022F0"/>
    <w:rsid w:val="00707818"/>
    <w:rsid w:val="00713C30"/>
    <w:rsid w:val="00714871"/>
    <w:rsid w:val="00721953"/>
    <w:rsid w:val="0072222F"/>
    <w:rsid w:val="00722549"/>
    <w:rsid w:val="007269BE"/>
    <w:rsid w:val="00727F9D"/>
    <w:rsid w:val="00731720"/>
    <w:rsid w:val="00731981"/>
    <w:rsid w:val="007327D6"/>
    <w:rsid w:val="00734E35"/>
    <w:rsid w:val="007373BD"/>
    <w:rsid w:val="00743690"/>
    <w:rsid w:val="00752E62"/>
    <w:rsid w:val="00753766"/>
    <w:rsid w:val="007640AE"/>
    <w:rsid w:val="00767C74"/>
    <w:rsid w:val="00775AEC"/>
    <w:rsid w:val="007765AC"/>
    <w:rsid w:val="007766D9"/>
    <w:rsid w:val="00792D20"/>
    <w:rsid w:val="007A4544"/>
    <w:rsid w:val="007B12F6"/>
    <w:rsid w:val="007B2433"/>
    <w:rsid w:val="007B297B"/>
    <w:rsid w:val="007B2F20"/>
    <w:rsid w:val="007C0080"/>
    <w:rsid w:val="007C3B71"/>
    <w:rsid w:val="007C5004"/>
    <w:rsid w:val="007E6A5B"/>
    <w:rsid w:val="007F1D4D"/>
    <w:rsid w:val="007F5A28"/>
    <w:rsid w:val="007F699E"/>
    <w:rsid w:val="00801F82"/>
    <w:rsid w:val="00810139"/>
    <w:rsid w:val="008142F9"/>
    <w:rsid w:val="00814598"/>
    <w:rsid w:val="00817B0E"/>
    <w:rsid w:val="00832FFD"/>
    <w:rsid w:val="00835F89"/>
    <w:rsid w:val="00841476"/>
    <w:rsid w:val="00842687"/>
    <w:rsid w:val="00850F02"/>
    <w:rsid w:val="00854BD9"/>
    <w:rsid w:val="008552BC"/>
    <w:rsid w:val="0085740D"/>
    <w:rsid w:val="008642D8"/>
    <w:rsid w:val="00867713"/>
    <w:rsid w:val="00877BD5"/>
    <w:rsid w:val="00882A83"/>
    <w:rsid w:val="00884115"/>
    <w:rsid w:val="00886357"/>
    <w:rsid w:val="00886388"/>
    <w:rsid w:val="008977ED"/>
    <w:rsid w:val="008A2BA0"/>
    <w:rsid w:val="008A406D"/>
    <w:rsid w:val="008A7825"/>
    <w:rsid w:val="008B2F7A"/>
    <w:rsid w:val="008B559D"/>
    <w:rsid w:val="008B6670"/>
    <w:rsid w:val="008C02AA"/>
    <w:rsid w:val="008C61F4"/>
    <w:rsid w:val="008C764C"/>
    <w:rsid w:val="008D7698"/>
    <w:rsid w:val="008E6531"/>
    <w:rsid w:val="008F035B"/>
    <w:rsid w:val="008F4D4F"/>
    <w:rsid w:val="008F5C70"/>
    <w:rsid w:val="008F6EA9"/>
    <w:rsid w:val="00904EE4"/>
    <w:rsid w:val="00912E93"/>
    <w:rsid w:val="009250E2"/>
    <w:rsid w:val="0093191C"/>
    <w:rsid w:val="00931DFE"/>
    <w:rsid w:val="00937EAD"/>
    <w:rsid w:val="00940201"/>
    <w:rsid w:val="00943652"/>
    <w:rsid w:val="0094635B"/>
    <w:rsid w:val="0094689B"/>
    <w:rsid w:val="00953ADA"/>
    <w:rsid w:val="00960634"/>
    <w:rsid w:val="009610C3"/>
    <w:rsid w:val="00964B5B"/>
    <w:rsid w:val="00965A0F"/>
    <w:rsid w:val="00972D7C"/>
    <w:rsid w:val="00987482"/>
    <w:rsid w:val="00993B4C"/>
    <w:rsid w:val="009A75F8"/>
    <w:rsid w:val="009B3015"/>
    <w:rsid w:val="009B4C98"/>
    <w:rsid w:val="009B538F"/>
    <w:rsid w:val="009B5AAB"/>
    <w:rsid w:val="009B6075"/>
    <w:rsid w:val="009C29E7"/>
    <w:rsid w:val="009C3296"/>
    <w:rsid w:val="009C5633"/>
    <w:rsid w:val="009C7D5C"/>
    <w:rsid w:val="009D1068"/>
    <w:rsid w:val="009D428D"/>
    <w:rsid w:val="009D70DD"/>
    <w:rsid w:val="009D74BE"/>
    <w:rsid w:val="009E0D72"/>
    <w:rsid w:val="009E26AD"/>
    <w:rsid w:val="009E3FB2"/>
    <w:rsid w:val="009E6557"/>
    <w:rsid w:val="009F172C"/>
    <w:rsid w:val="009F18A9"/>
    <w:rsid w:val="009F1E4A"/>
    <w:rsid w:val="009F3CFA"/>
    <w:rsid w:val="009F4989"/>
    <w:rsid w:val="009F6D79"/>
    <w:rsid w:val="00A01244"/>
    <w:rsid w:val="00A02594"/>
    <w:rsid w:val="00A04046"/>
    <w:rsid w:val="00A06643"/>
    <w:rsid w:val="00A067B3"/>
    <w:rsid w:val="00A10919"/>
    <w:rsid w:val="00A157A1"/>
    <w:rsid w:val="00A15D59"/>
    <w:rsid w:val="00A17566"/>
    <w:rsid w:val="00A232EF"/>
    <w:rsid w:val="00A23C99"/>
    <w:rsid w:val="00A25AE8"/>
    <w:rsid w:val="00A301DA"/>
    <w:rsid w:val="00A330CA"/>
    <w:rsid w:val="00A455F5"/>
    <w:rsid w:val="00A50397"/>
    <w:rsid w:val="00A56524"/>
    <w:rsid w:val="00A56CEE"/>
    <w:rsid w:val="00A60935"/>
    <w:rsid w:val="00A60D34"/>
    <w:rsid w:val="00A60D36"/>
    <w:rsid w:val="00A63887"/>
    <w:rsid w:val="00A6497A"/>
    <w:rsid w:val="00A660E1"/>
    <w:rsid w:val="00A670EB"/>
    <w:rsid w:val="00A67968"/>
    <w:rsid w:val="00A72157"/>
    <w:rsid w:val="00A81E61"/>
    <w:rsid w:val="00A87340"/>
    <w:rsid w:val="00A93247"/>
    <w:rsid w:val="00A94FF5"/>
    <w:rsid w:val="00AA3A59"/>
    <w:rsid w:val="00AA3C71"/>
    <w:rsid w:val="00AA4069"/>
    <w:rsid w:val="00AA47E2"/>
    <w:rsid w:val="00AA4DA6"/>
    <w:rsid w:val="00AB0DA5"/>
    <w:rsid w:val="00AC2687"/>
    <w:rsid w:val="00AC2CAA"/>
    <w:rsid w:val="00AC36B8"/>
    <w:rsid w:val="00AC3B73"/>
    <w:rsid w:val="00AC4683"/>
    <w:rsid w:val="00AD0EB2"/>
    <w:rsid w:val="00AD2ABF"/>
    <w:rsid w:val="00AD3D97"/>
    <w:rsid w:val="00AD78BC"/>
    <w:rsid w:val="00AE0208"/>
    <w:rsid w:val="00AE22EA"/>
    <w:rsid w:val="00AE5CCC"/>
    <w:rsid w:val="00AF38D3"/>
    <w:rsid w:val="00AF3C1A"/>
    <w:rsid w:val="00AF535D"/>
    <w:rsid w:val="00B00C88"/>
    <w:rsid w:val="00B02BF1"/>
    <w:rsid w:val="00B0607C"/>
    <w:rsid w:val="00B06F26"/>
    <w:rsid w:val="00B07FF8"/>
    <w:rsid w:val="00B12244"/>
    <w:rsid w:val="00B24DD4"/>
    <w:rsid w:val="00B31EEE"/>
    <w:rsid w:val="00B31F42"/>
    <w:rsid w:val="00B33CE8"/>
    <w:rsid w:val="00B359A7"/>
    <w:rsid w:val="00B44DD3"/>
    <w:rsid w:val="00B45C82"/>
    <w:rsid w:val="00B46B8F"/>
    <w:rsid w:val="00B50DD3"/>
    <w:rsid w:val="00B5300A"/>
    <w:rsid w:val="00B53643"/>
    <w:rsid w:val="00B60B63"/>
    <w:rsid w:val="00B6242F"/>
    <w:rsid w:val="00B734FF"/>
    <w:rsid w:val="00B8008A"/>
    <w:rsid w:val="00B84F2D"/>
    <w:rsid w:val="00B87900"/>
    <w:rsid w:val="00B94860"/>
    <w:rsid w:val="00B95DED"/>
    <w:rsid w:val="00BA1D56"/>
    <w:rsid w:val="00BA679D"/>
    <w:rsid w:val="00BA71F9"/>
    <w:rsid w:val="00BA7D1E"/>
    <w:rsid w:val="00BB199E"/>
    <w:rsid w:val="00BB2341"/>
    <w:rsid w:val="00BB3D43"/>
    <w:rsid w:val="00BB6CA6"/>
    <w:rsid w:val="00BB6D39"/>
    <w:rsid w:val="00BB7008"/>
    <w:rsid w:val="00BB7F6F"/>
    <w:rsid w:val="00BC0724"/>
    <w:rsid w:val="00BC1CAC"/>
    <w:rsid w:val="00BD3A2F"/>
    <w:rsid w:val="00BD6EC4"/>
    <w:rsid w:val="00BE3BD8"/>
    <w:rsid w:val="00BE774B"/>
    <w:rsid w:val="00BE7D01"/>
    <w:rsid w:val="00BF0F93"/>
    <w:rsid w:val="00BF16E5"/>
    <w:rsid w:val="00BF6619"/>
    <w:rsid w:val="00C14665"/>
    <w:rsid w:val="00C272DD"/>
    <w:rsid w:val="00C36697"/>
    <w:rsid w:val="00C37A1B"/>
    <w:rsid w:val="00C429DB"/>
    <w:rsid w:val="00C44B44"/>
    <w:rsid w:val="00C5169E"/>
    <w:rsid w:val="00C60C67"/>
    <w:rsid w:val="00C66C17"/>
    <w:rsid w:val="00C705CA"/>
    <w:rsid w:val="00C71222"/>
    <w:rsid w:val="00C72020"/>
    <w:rsid w:val="00C82FFF"/>
    <w:rsid w:val="00C85A9A"/>
    <w:rsid w:val="00C936DD"/>
    <w:rsid w:val="00C942CD"/>
    <w:rsid w:val="00C94E3F"/>
    <w:rsid w:val="00C968B0"/>
    <w:rsid w:val="00C96C6F"/>
    <w:rsid w:val="00CA2B96"/>
    <w:rsid w:val="00CA3EC3"/>
    <w:rsid w:val="00CA47C6"/>
    <w:rsid w:val="00CA65CD"/>
    <w:rsid w:val="00CA7478"/>
    <w:rsid w:val="00CB2049"/>
    <w:rsid w:val="00CB45B9"/>
    <w:rsid w:val="00CB7007"/>
    <w:rsid w:val="00CB7B84"/>
    <w:rsid w:val="00CC50F6"/>
    <w:rsid w:val="00CC530C"/>
    <w:rsid w:val="00CC697D"/>
    <w:rsid w:val="00CD0943"/>
    <w:rsid w:val="00CD1B55"/>
    <w:rsid w:val="00CD5574"/>
    <w:rsid w:val="00CD6098"/>
    <w:rsid w:val="00CD620E"/>
    <w:rsid w:val="00CD7995"/>
    <w:rsid w:val="00CE534A"/>
    <w:rsid w:val="00CE5FEC"/>
    <w:rsid w:val="00CF5492"/>
    <w:rsid w:val="00CF7599"/>
    <w:rsid w:val="00D11066"/>
    <w:rsid w:val="00D214BD"/>
    <w:rsid w:val="00D22AC5"/>
    <w:rsid w:val="00D35D97"/>
    <w:rsid w:val="00D3678A"/>
    <w:rsid w:val="00D36BBC"/>
    <w:rsid w:val="00D43007"/>
    <w:rsid w:val="00D4470A"/>
    <w:rsid w:val="00D55071"/>
    <w:rsid w:val="00D6434B"/>
    <w:rsid w:val="00D664DF"/>
    <w:rsid w:val="00D71712"/>
    <w:rsid w:val="00D749CD"/>
    <w:rsid w:val="00D80239"/>
    <w:rsid w:val="00D839F3"/>
    <w:rsid w:val="00D9604B"/>
    <w:rsid w:val="00D97950"/>
    <w:rsid w:val="00DA636E"/>
    <w:rsid w:val="00DB0768"/>
    <w:rsid w:val="00DB1AD0"/>
    <w:rsid w:val="00DB280C"/>
    <w:rsid w:val="00DC004A"/>
    <w:rsid w:val="00DD282A"/>
    <w:rsid w:val="00DD618B"/>
    <w:rsid w:val="00DD6304"/>
    <w:rsid w:val="00DD7165"/>
    <w:rsid w:val="00DE418E"/>
    <w:rsid w:val="00DE4FD9"/>
    <w:rsid w:val="00DF1182"/>
    <w:rsid w:val="00DF2774"/>
    <w:rsid w:val="00DF2A78"/>
    <w:rsid w:val="00E07896"/>
    <w:rsid w:val="00E07B1E"/>
    <w:rsid w:val="00E145C5"/>
    <w:rsid w:val="00E14E05"/>
    <w:rsid w:val="00E15C3A"/>
    <w:rsid w:val="00E202E3"/>
    <w:rsid w:val="00E23373"/>
    <w:rsid w:val="00E341BB"/>
    <w:rsid w:val="00E52AD9"/>
    <w:rsid w:val="00E57B65"/>
    <w:rsid w:val="00E57C27"/>
    <w:rsid w:val="00E60CB8"/>
    <w:rsid w:val="00E60EE0"/>
    <w:rsid w:val="00E61600"/>
    <w:rsid w:val="00E64096"/>
    <w:rsid w:val="00E65D80"/>
    <w:rsid w:val="00E70DFA"/>
    <w:rsid w:val="00E72F67"/>
    <w:rsid w:val="00E72FF1"/>
    <w:rsid w:val="00E7649E"/>
    <w:rsid w:val="00E86307"/>
    <w:rsid w:val="00E90D27"/>
    <w:rsid w:val="00E90EE1"/>
    <w:rsid w:val="00E93B03"/>
    <w:rsid w:val="00EA1E8A"/>
    <w:rsid w:val="00EA2715"/>
    <w:rsid w:val="00EB2713"/>
    <w:rsid w:val="00EB5824"/>
    <w:rsid w:val="00EC16FB"/>
    <w:rsid w:val="00EF1B59"/>
    <w:rsid w:val="00EF3A43"/>
    <w:rsid w:val="00EF4165"/>
    <w:rsid w:val="00EF5B8C"/>
    <w:rsid w:val="00F025F8"/>
    <w:rsid w:val="00F070D4"/>
    <w:rsid w:val="00F11223"/>
    <w:rsid w:val="00F11612"/>
    <w:rsid w:val="00F1282E"/>
    <w:rsid w:val="00F14CBA"/>
    <w:rsid w:val="00F22323"/>
    <w:rsid w:val="00F25BBF"/>
    <w:rsid w:val="00F2664B"/>
    <w:rsid w:val="00F30632"/>
    <w:rsid w:val="00F34BF5"/>
    <w:rsid w:val="00F4126A"/>
    <w:rsid w:val="00F51EB5"/>
    <w:rsid w:val="00F542B1"/>
    <w:rsid w:val="00F5536F"/>
    <w:rsid w:val="00F578E5"/>
    <w:rsid w:val="00F60145"/>
    <w:rsid w:val="00F608D4"/>
    <w:rsid w:val="00F63009"/>
    <w:rsid w:val="00F630AC"/>
    <w:rsid w:val="00F76B16"/>
    <w:rsid w:val="00F81AB7"/>
    <w:rsid w:val="00F869ED"/>
    <w:rsid w:val="00F93081"/>
    <w:rsid w:val="00F93619"/>
    <w:rsid w:val="00F94FAD"/>
    <w:rsid w:val="00F953E8"/>
    <w:rsid w:val="00FB0BE7"/>
    <w:rsid w:val="00FB0C19"/>
    <w:rsid w:val="00FB0C7B"/>
    <w:rsid w:val="00FB2C53"/>
    <w:rsid w:val="00FB3472"/>
    <w:rsid w:val="00FC132B"/>
    <w:rsid w:val="00FC2895"/>
    <w:rsid w:val="00FC3365"/>
    <w:rsid w:val="00FC5808"/>
    <w:rsid w:val="00FC6C0D"/>
    <w:rsid w:val="00FC711C"/>
    <w:rsid w:val="00FD1B24"/>
    <w:rsid w:val="00FD44F4"/>
    <w:rsid w:val="00FD5F93"/>
    <w:rsid w:val="00FE124C"/>
    <w:rsid w:val="00FE2DC9"/>
    <w:rsid w:val="00FF2CC6"/>
    <w:rsid w:val="00FF5696"/>
    <w:rsid w:val="00FF6E7D"/>
    <w:rsid w:val="00FF7383"/>
    <w:rsid w:val="05C32C12"/>
    <w:rsid w:val="0CF61D1B"/>
    <w:rsid w:val="2156638A"/>
    <w:rsid w:val="21F53044"/>
    <w:rsid w:val="26616669"/>
    <w:rsid w:val="33085793"/>
    <w:rsid w:val="33811DDB"/>
    <w:rsid w:val="46DA6F69"/>
    <w:rsid w:val="652F0BA4"/>
    <w:rsid w:val="6A0511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楷体_GB2312" w:hAnsi="Times New Roman" w:eastAsia="楷体_GB2312" w:cs="Times New Roman"/>
      <w:sz w:val="30"/>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semiHidden/>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3"/>
    <w:qFormat/>
    <w:uiPriority w:val="0"/>
    <w:pPr>
      <w:widowControl/>
      <w:spacing w:before="100" w:beforeAutospacing="1" w:after="100" w:afterAutospacing="1"/>
      <w:jc w:val="left"/>
      <w:outlineLvl w:val="2"/>
    </w:pPr>
    <w:rPr>
      <w:rFonts w:ascii="宋体" w:hAnsi="宋体" w:eastAsia="宋体" w:cs="宋体"/>
      <w:b/>
      <w:bCs/>
      <w:sz w:val="27"/>
      <w:szCs w:val="27"/>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alloon Text"/>
    <w:basedOn w:val="1"/>
    <w:semiHidden/>
    <w:qFormat/>
    <w:uiPriority w:val="0"/>
    <w:rPr>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oc 2"/>
    <w:basedOn w:val="1"/>
    <w:next w:val="1"/>
    <w:qFormat/>
    <w:uiPriority w:val="39"/>
    <w:pPr>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styleId="14">
    <w:name w:val="page number"/>
    <w:basedOn w:val="12"/>
    <w:qFormat/>
    <w:uiPriority w:val="0"/>
  </w:style>
  <w:style w:type="character" w:styleId="15">
    <w:name w:val="Hyperlink"/>
    <w:unhideWhenUsed/>
    <w:qFormat/>
    <w:uiPriority w:val="99"/>
    <w:rPr>
      <w:color w:val="0000FF"/>
      <w:u w:val="single"/>
    </w:rPr>
  </w:style>
  <w:style w:type="character" w:customStyle="1" w:styleId="16">
    <w:name w:val="页眉 Char"/>
    <w:link w:val="7"/>
    <w:qFormat/>
    <w:uiPriority w:val="0"/>
    <w:rPr>
      <w:rFonts w:ascii="楷体_GB2312" w:eastAsia="楷体_GB2312"/>
      <w:sz w:val="18"/>
      <w:szCs w:val="18"/>
      <w:lang w:bidi="ar-SA"/>
    </w:rPr>
  </w:style>
  <w:style w:type="character" w:customStyle="1" w:styleId="17">
    <w:name w:val="段 Char"/>
    <w:link w:val="18"/>
    <w:qFormat/>
    <w:uiPriority w:val="0"/>
    <w:rPr>
      <w:rFonts w:ascii="宋体"/>
      <w:sz w:val="21"/>
      <w:lang w:val="en-US" w:eastAsia="zh-CN" w:bidi="ar-SA"/>
    </w:rPr>
  </w:style>
  <w:style w:type="paragraph" w:customStyle="1" w:styleId="18">
    <w:name w:val="段"/>
    <w:link w:val="1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目次、标准名称标题"/>
    <w:basedOn w:val="1"/>
    <w:next w:val="1"/>
    <w:qFormat/>
    <w:uiPriority w:val="0"/>
    <w:pPr>
      <w:keepNext/>
      <w:pageBreakBefore/>
      <w:widowControl/>
      <w:shd w:val="clear" w:color="FFFFFF" w:fill="FFFFFF"/>
      <w:spacing w:before="640" w:after="560" w:line="460" w:lineRule="exact"/>
      <w:jc w:val="center"/>
      <w:outlineLvl w:val="0"/>
    </w:pPr>
    <w:rPr>
      <w:rFonts w:ascii="黑体" w:eastAsia="黑体"/>
      <w:sz w:val="32"/>
    </w:rPr>
  </w:style>
  <w:style w:type="paragraph" w:customStyle="1" w:styleId="20">
    <w:name w:val="数字编号列项（二级）"/>
    <w:qFormat/>
    <w:uiPriority w:val="0"/>
    <w:pPr>
      <w:numPr>
        <w:ilvl w:val="1"/>
        <w:numId w:val="1"/>
      </w:numPr>
      <w:jc w:val="both"/>
    </w:pPr>
    <w:rPr>
      <w:rFonts w:ascii="宋体" w:hAnsi="Times New Roman" w:eastAsia="宋体" w:cs="Times New Roman"/>
      <w:sz w:val="21"/>
      <w:lang w:val="en-US" w:eastAsia="zh-CN" w:bidi="ar-SA"/>
    </w:rPr>
  </w:style>
  <w:style w:type="paragraph" w:customStyle="1" w:styleId="21">
    <w:name w:val="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22">
    <w:name w:val="编号列项（三级）"/>
    <w:qFormat/>
    <w:uiPriority w:val="0"/>
    <w:pPr>
      <w:numPr>
        <w:ilvl w:val="2"/>
        <w:numId w:val="1"/>
      </w:numPr>
    </w:pPr>
    <w:rPr>
      <w:rFonts w:ascii="宋体" w:hAnsi="Times New Roman" w:eastAsia="宋体" w:cs="Times New Roman"/>
      <w:sz w:val="21"/>
      <w:lang w:val="en-US" w:eastAsia="zh-CN" w:bidi="ar-SA"/>
    </w:rPr>
  </w:style>
  <w:style w:type="character" w:customStyle="1" w:styleId="23">
    <w:name w:val="标题 3 Char"/>
    <w:link w:val="4"/>
    <w:qFormat/>
    <w:uiPriority w:val="0"/>
    <w:rPr>
      <w:rFonts w:ascii="宋体" w:hAnsi="宋体" w:cs="宋体"/>
      <w:b/>
      <w:bCs/>
      <w:sz w:val="27"/>
      <w:szCs w:val="27"/>
    </w:rPr>
  </w:style>
  <w:style w:type="character" w:customStyle="1" w:styleId="24">
    <w:name w:val="页脚 Char"/>
    <w:link w:val="6"/>
    <w:qFormat/>
    <w:uiPriority w:val="99"/>
    <w:rPr>
      <w:rFonts w:ascii="楷体_GB2312" w:eastAsia="楷体_GB2312"/>
      <w:sz w:val="18"/>
      <w:szCs w:val="18"/>
    </w:rPr>
  </w:style>
  <w:style w:type="character" w:customStyle="1" w:styleId="25">
    <w:name w:val="标题 1 Char"/>
    <w:link w:val="2"/>
    <w:qFormat/>
    <w:uiPriority w:val="0"/>
    <w:rPr>
      <w:rFonts w:ascii="楷体_GB2312" w:eastAsia="楷体_GB2312"/>
      <w:b/>
      <w:bCs/>
      <w:kern w:val="44"/>
      <w:sz w:val="44"/>
      <w:szCs w:val="44"/>
    </w:rPr>
  </w:style>
  <w:style w:type="paragraph" w:styleId="26">
    <w:name w:val="List Paragraph"/>
    <w:basedOn w:val="1"/>
    <w:qFormat/>
    <w:uiPriority w:val="34"/>
    <w:pPr>
      <w:ind w:firstLine="420" w:firstLineChars="200"/>
    </w:pPr>
    <w:rPr>
      <w:rFonts w:ascii="Calibri" w:hAnsi="Calibri" w:eastAsia="宋体"/>
      <w:kern w:val="2"/>
      <w:sz w:val="21"/>
      <w:szCs w:val="22"/>
    </w:rPr>
  </w:style>
  <w:style w:type="character" w:customStyle="1" w:styleId="27">
    <w:name w:val="标题 2 Char"/>
    <w:link w:val="3"/>
    <w:semiHidden/>
    <w:qFormat/>
    <w:uiPriority w:val="0"/>
    <w:rPr>
      <w:rFonts w:ascii="Cambria" w:hAnsi="Cambria" w:eastAsia="宋体" w:cs="Times New Roman"/>
      <w:b/>
      <w:bCs/>
      <w:sz w:val="32"/>
      <w:szCs w:val="32"/>
    </w:rPr>
  </w:style>
  <w:style w:type="paragraph" w:customStyle="1" w:styleId="28">
    <w:name w:val="_Style 27"/>
    <w:basedOn w:val="2"/>
    <w:next w:val="1"/>
    <w:semiHidden/>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14</Pages>
  <Words>1188</Words>
  <Characters>6778</Characters>
  <Lines>56</Lines>
  <Paragraphs>15</Paragraphs>
  <TotalTime>4</TotalTime>
  <ScaleCrop>false</ScaleCrop>
  <LinksUpToDate>false</LinksUpToDate>
  <CharactersWithSpaces>7951</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2024-04-16T07:09:00Z</dcterms:created>
  <dc:creator>zjspc</dc:creator>
  <cp:lastModifiedBy>常琳</cp:lastModifiedBy>
  <cp:lastPrinted>2020-09-10T06:52:00Z</cp:lastPrinted>
  <dcterms:modified xsi:type="dcterms:W3CDTF">2024-04-24T05:58:18Z</dcterms:modified>
  <dc:title>《工业和民用燃料煤》地方标准编制说明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9317B6D8E77C4F0DB75EAB3EA7B8EB9E</vt:lpwstr>
  </property>
</Properties>
</file>