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312" w:beforeLines="100" w:after="312" w:afterLines="100" w:line="360" w:lineRule="auto"/>
        <w:jc w:val="left"/>
        <w:rPr>
          <w:rFonts w:hint="eastAsia" w:ascii="Times New Roman" w:eastAsia="方正小标宋简体" w:cs="方正小标宋简体"/>
          <w:kern w:val="2"/>
          <w:sz w:val="28"/>
          <w:szCs w:val="32"/>
        </w:rPr>
      </w:pPr>
      <w:r>
        <w:rPr>
          <w:rFonts w:ascii="黑体" w:hAnsi="黑体" w:eastAsia="黑体" w:cs="黑体"/>
          <w:spacing w:val="-16"/>
          <w:sz w:val="27"/>
          <w:szCs w:val="27"/>
        </w:rPr>
        <w:t>附</w:t>
      </w:r>
      <w:r>
        <w:rPr>
          <w:rFonts w:ascii="黑体" w:hAnsi="黑体" w:eastAsia="黑体" w:cs="黑体"/>
          <w:spacing w:val="-14"/>
          <w:sz w:val="27"/>
          <w:szCs w:val="27"/>
        </w:rPr>
        <w:t xml:space="preserve">件 </w:t>
      </w:r>
      <w:r>
        <w:rPr>
          <w:rFonts w:hint="eastAsia" w:ascii="Times New Roman" w:eastAsia="宋体" w:cs="Times New Roman"/>
          <w:spacing w:val="-14"/>
          <w:sz w:val="27"/>
          <w:szCs w:val="27"/>
          <w:lang w:val="en-US" w:eastAsia="zh-CN"/>
        </w:rPr>
        <w:t>2</w:t>
      </w:r>
      <w:r>
        <w:rPr>
          <w:rFonts w:ascii="黑体" w:hAnsi="黑体" w:eastAsia="黑体" w:cs="黑体"/>
          <w:spacing w:val="-14"/>
          <w:sz w:val="32"/>
          <w:szCs w:val="32"/>
          <w14:textOutline w14:w="4064" w14:cap="flat" w14:cmpd="sng" w14:algn="ctr">
            <w14:solidFill>
              <w14:srgbClr w14:val="000000"/>
            </w14:solidFill>
            <w14:prstDash w14:val="solid"/>
            <w14:miter w14:val="0"/>
          </w14:textOutline>
        </w:rPr>
        <w:t>：</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黑体" w:hAnsi="黑体" w:eastAsia="黑体" w:cs="黑体"/>
          <w:b w:val="0"/>
          <w:bCs/>
          <w:kern w:val="2"/>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黑体" w:hAnsi="黑体" w:eastAsia="黑体" w:cs="黑体"/>
          <w:b w:val="0"/>
          <w:bCs/>
          <w:kern w:val="2"/>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黑体" w:hAnsi="黑体" w:eastAsia="黑体" w:cs="黑体"/>
          <w:b w:val="0"/>
          <w:bCs/>
          <w:kern w:val="2"/>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黑体" w:hAnsi="黑体" w:eastAsia="黑体" w:cs="黑体"/>
          <w:b w:val="0"/>
          <w:bCs/>
          <w:kern w:val="2"/>
          <w:sz w:val="43"/>
          <w:szCs w:val="43"/>
        </w:rPr>
      </w:pPr>
      <w:r>
        <w:rPr>
          <w:rFonts w:hint="eastAsia" w:ascii="黑体" w:hAnsi="黑体" w:eastAsia="黑体" w:cs="黑体"/>
          <w:b w:val="0"/>
          <w:bCs/>
          <w:kern w:val="2"/>
          <w:sz w:val="43"/>
          <w:szCs w:val="43"/>
          <w:lang w:val="en-US" w:eastAsia="zh-CN"/>
        </w:rPr>
        <w:t>辽宁省地方标准</w:t>
      </w:r>
      <w:r>
        <w:rPr>
          <w:rFonts w:hint="eastAsia" w:ascii="黑体" w:hAnsi="黑体" w:eastAsia="黑体" w:cs="黑体"/>
          <w:b w:val="0"/>
          <w:bCs/>
          <w:kern w:val="2"/>
          <w:sz w:val="43"/>
          <w:szCs w:val="43"/>
        </w:rPr>
        <w:t>《预防接种门诊疫苗自动储存与分发系统的基本功能规范》</w:t>
      </w:r>
    </w:p>
    <w:p>
      <w:pPr>
        <w:keepNext w:val="0"/>
        <w:keepLines w:val="0"/>
        <w:pageBreakBefore w:val="0"/>
        <w:widowControl w:val="0"/>
        <w:kinsoku/>
        <w:wordWrap/>
        <w:overflowPunct/>
        <w:topLinePunct w:val="0"/>
        <w:autoSpaceDE/>
        <w:autoSpaceDN/>
        <w:bidi w:val="0"/>
        <w:adjustRightInd/>
        <w:snapToGrid/>
        <w:spacing w:before="312" w:beforeLines="100" w:after="312" w:afterLines="100" w:line="360" w:lineRule="auto"/>
        <w:jc w:val="center"/>
        <w:textAlignment w:val="auto"/>
        <w:rPr>
          <w:rFonts w:hint="eastAsia" w:ascii="黑体" w:hAnsi="黑体" w:eastAsia="黑体" w:cs="黑体"/>
          <w:b w:val="0"/>
          <w:bCs/>
          <w:kern w:val="2"/>
          <w:sz w:val="44"/>
          <w:szCs w:val="44"/>
        </w:rPr>
      </w:pPr>
      <w:r>
        <w:rPr>
          <w:rFonts w:hint="eastAsia" w:ascii="黑体" w:hAnsi="黑体" w:eastAsia="黑体" w:cs="黑体"/>
          <w:b w:val="0"/>
          <w:bCs/>
          <w:kern w:val="2"/>
          <w:sz w:val="44"/>
          <w:szCs w:val="44"/>
        </w:rPr>
        <w:t>编制说明</w:t>
      </w:r>
    </w:p>
    <w:p>
      <w:pPr>
        <w:spacing w:before="312" w:beforeLines="100" w:after="312" w:afterLines="100" w:line="360" w:lineRule="auto"/>
        <w:jc w:val="center"/>
        <w:rPr>
          <w:rFonts w:hint="eastAsia" w:ascii="Times New Roman" w:eastAsia="方正小标宋简体" w:cs="方正小标宋简体"/>
          <w:b/>
          <w:kern w:val="2"/>
          <w:sz w:val="32"/>
          <w:szCs w:val="32"/>
        </w:rPr>
      </w:pPr>
    </w:p>
    <w:p>
      <w:pPr>
        <w:spacing w:before="312" w:beforeLines="100" w:after="312" w:afterLines="100" w:line="360" w:lineRule="auto"/>
        <w:jc w:val="center"/>
        <w:rPr>
          <w:rFonts w:hint="eastAsia" w:ascii="Times New Roman" w:eastAsia="方正小标宋简体" w:cs="方正小标宋简体"/>
          <w:kern w:val="2"/>
          <w:sz w:val="32"/>
          <w:szCs w:val="32"/>
        </w:rPr>
      </w:pPr>
    </w:p>
    <w:p>
      <w:pPr>
        <w:spacing w:before="312" w:beforeLines="100" w:after="312" w:afterLines="100" w:line="360" w:lineRule="auto"/>
        <w:jc w:val="center"/>
        <w:rPr>
          <w:rFonts w:hint="eastAsia" w:ascii="Times New Roman" w:eastAsia="方正小标宋简体" w:cs="方正小标宋简体"/>
          <w:kern w:val="2"/>
          <w:sz w:val="32"/>
          <w:szCs w:val="32"/>
        </w:rPr>
      </w:pPr>
    </w:p>
    <w:p>
      <w:pPr>
        <w:spacing w:before="312" w:beforeLines="100" w:after="312" w:afterLines="100" w:line="360" w:lineRule="auto"/>
        <w:jc w:val="center"/>
        <w:rPr>
          <w:rFonts w:hint="eastAsia" w:ascii="Times New Roman" w:eastAsia="方正小标宋简体" w:cs="方正小标宋简体"/>
          <w:kern w:val="2"/>
          <w:sz w:val="32"/>
          <w:szCs w:val="32"/>
        </w:rPr>
      </w:pPr>
    </w:p>
    <w:p>
      <w:pPr>
        <w:spacing w:before="312" w:beforeLines="100" w:after="312" w:afterLines="100" w:line="360" w:lineRule="auto"/>
        <w:jc w:val="center"/>
        <w:rPr>
          <w:rFonts w:hint="eastAsia" w:ascii="Times New Roman" w:eastAsia="方正小标宋简体" w:cs="方正小标宋简体"/>
          <w:kern w:val="2"/>
          <w:sz w:val="32"/>
          <w:szCs w:val="32"/>
        </w:rPr>
      </w:pPr>
    </w:p>
    <w:p>
      <w:pPr>
        <w:spacing w:before="312" w:beforeLines="100" w:after="312" w:afterLines="100" w:line="360" w:lineRule="auto"/>
        <w:jc w:val="center"/>
        <w:rPr>
          <w:rFonts w:hint="eastAsia" w:ascii="黑体" w:hAnsi="黑体" w:eastAsia="黑体"/>
          <w:sz w:val="28"/>
          <w:szCs w:val="28"/>
        </w:rPr>
      </w:pPr>
      <w:r>
        <w:rPr>
          <w:rFonts w:hint="eastAsia" w:ascii="黑体" w:hAnsi="黑体" w:eastAsia="黑体" w:cs="方正小标宋简体"/>
          <w:kern w:val="2"/>
          <w:sz w:val="28"/>
          <w:szCs w:val="28"/>
        </w:rPr>
        <w:t xml:space="preserve">辽宁省疾病预防控制中心  </w:t>
      </w:r>
      <w:r>
        <w:rPr>
          <w:rFonts w:hint="eastAsia" w:ascii="黑体" w:hAnsi="黑体" w:eastAsia="黑体"/>
          <w:sz w:val="28"/>
          <w:szCs w:val="28"/>
        </w:rPr>
        <w:t>沈苏科技（苏州）股份有限公司</w:t>
      </w:r>
    </w:p>
    <w:p>
      <w:pPr>
        <w:spacing w:before="312" w:beforeLines="100" w:after="312" w:afterLines="100" w:line="360" w:lineRule="auto"/>
        <w:jc w:val="center"/>
        <w:rPr>
          <w:rFonts w:ascii="Times New Roman" w:eastAsia="方正小标宋简体" w:cs="方正小标宋简体"/>
          <w:kern w:val="2"/>
          <w:sz w:val="32"/>
          <w:szCs w:val="32"/>
        </w:rPr>
      </w:pPr>
      <w:r>
        <w:rPr>
          <w:rFonts w:hint="eastAsia" w:ascii="黑体" w:hAnsi="黑体" w:eastAsia="黑体"/>
          <w:sz w:val="28"/>
          <w:szCs w:val="28"/>
        </w:rPr>
        <w:t>2024年4月</w:t>
      </w:r>
      <w:r>
        <w:rPr>
          <w:rFonts w:ascii="Times New Roman" w:eastAsia="方正小标宋简体" w:cs="方正小标宋简体"/>
          <w:kern w:val="2"/>
          <w:sz w:val="32"/>
          <w:szCs w:val="32"/>
        </w:rPr>
        <w:br w:type="page"/>
      </w:r>
    </w:p>
    <w:p>
      <w:pPr>
        <w:pStyle w:val="28"/>
        <w:spacing w:after="624" w:afterLines="200" w:line="360" w:lineRule="auto"/>
        <w:jc w:val="center"/>
        <w:rPr>
          <w:rFonts w:hint="eastAsia" w:ascii="黑体" w:hAnsi="黑体" w:eastAsia="黑体" w:cs="黑体"/>
          <w:color w:val="auto"/>
          <w:sz w:val="32"/>
          <w:szCs w:val="32"/>
        </w:rPr>
      </w:pPr>
      <w:r>
        <w:rPr>
          <w:rFonts w:hint="eastAsia" w:ascii="黑体" w:hAnsi="黑体" w:eastAsia="黑体" w:cs="黑体"/>
          <w:color w:val="auto"/>
          <w:sz w:val="32"/>
          <w:szCs w:val="32"/>
          <w:lang w:val="zh-CN"/>
        </w:rPr>
        <w:t>目    录</w:t>
      </w:r>
    </w:p>
    <w:p>
      <w:pPr>
        <w:pStyle w:val="8"/>
        <w:tabs>
          <w:tab w:val="right" w:leader="dot" w:pos="8948"/>
        </w:tabs>
        <w:spacing w:line="360" w:lineRule="auto"/>
        <w:rPr>
          <w:rFonts w:hint="eastAsia" w:ascii="宋体" w:hAnsi="宋体" w:eastAsia="宋体" w:cs="宋体"/>
          <w:sz w:val="21"/>
          <w:szCs w:val="21"/>
        </w:rPr>
      </w:pPr>
      <w:r>
        <w:rPr>
          <w:rFonts w:ascii="黑体" w:hAnsi="黑体" w:eastAsia="黑体"/>
        </w:rPr>
        <w:fldChar w:fldCharType="begin"/>
      </w:r>
      <w:r>
        <w:rPr>
          <w:rFonts w:ascii="黑体" w:hAnsi="黑体" w:eastAsia="黑体"/>
        </w:rPr>
        <w:instrText xml:space="preserve"> TOC \o "1-3" \h \z \u </w:instrText>
      </w:r>
      <w:r>
        <w:rPr>
          <w:rFonts w:ascii="黑体" w:hAnsi="黑体" w:eastAsia="黑体"/>
        </w:rPr>
        <w:fldChar w:fldCharType="separate"/>
      </w:r>
      <w:r>
        <w:rPr>
          <w:rStyle w:val="15"/>
          <w:rFonts w:hint="eastAsia" w:ascii="宋体" w:hAnsi="宋体" w:eastAsia="宋体" w:cs="宋体"/>
          <w:sz w:val="21"/>
          <w:szCs w:val="21"/>
        </w:rPr>
        <w:fldChar w:fldCharType="begin"/>
      </w:r>
      <w:r>
        <w:rPr>
          <w:rStyle w:val="15"/>
          <w:rFonts w:hint="eastAsia" w:ascii="宋体" w:hAnsi="宋体" w:eastAsia="宋体" w:cs="宋体"/>
          <w:sz w:val="21"/>
          <w:szCs w:val="21"/>
        </w:rPr>
        <w:instrText xml:space="preserve"> </w:instrText>
      </w:r>
      <w:r>
        <w:rPr>
          <w:rFonts w:hint="eastAsia" w:ascii="宋体" w:hAnsi="宋体" w:eastAsia="宋体" w:cs="宋体"/>
          <w:sz w:val="21"/>
          <w:szCs w:val="21"/>
        </w:rPr>
        <w:instrText xml:space="preserve">HYPERLINK \l "_Toc164235119"</w:instrText>
      </w:r>
      <w:r>
        <w:rPr>
          <w:rStyle w:val="15"/>
          <w:rFonts w:hint="eastAsia" w:ascii="宋体" w:hAnsi="宋体" w:eastAsia="宋体" w:cs="宋体"/>
          <w:sz w:val="21"/>
          <w:szCs w:val="21"/>
        </w:rPr>
        <w:instrText xml:space="preserve"> </w:instrText>
      </w:r>
      <w:r>
        <w:rPr>
          <w:rStyle w:val="15"/>
          <w:rFonts w:hint="eastAsia" w:ascii="宋体" w:hAnsi="宋体" w:eastAsia="宋体" w:cs="宋体"/>
          <w:sz w:val="21"/>
          <w:szCs w:val="21"/>
        </w:rPr>
        <w:fldChar w:fldCharType="separate"/>
      </w:r>
      <w:r>
        <w:rPr>
          <w:rStyle w:val="15"/>
          <w:rFonts w:hint="eastAsia" w:ascii="宋体" w:hAnsi="宋体" w:eastAsia="宋体" w:cs="宋体"/>
          <w:sz w:val="21"/>
          <w:szCs w:val="21"/>
        </w:rPr>
        <w:t>一、工作简介</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_Toc164235119 \h </w:instrText>
      </w:r>
      <w:r>
        <w:rPr>
          <w:rFonts w:hint="eastAsia" w:ascii="宋体" w:hAnsi="宋体" w:eastAsia="宋体" w:cs="宋体"/>
          <w:sz w:val="21"/>
          <w:szCs w:val="21"/>
        </w:rPr>
        <w:fldChar w:fldCharType="separate"/>
      </w:r>
      <w:r>
        <w:rPr>
          <w:rFonts w:hint="eastAsia" w:ascii="宋体" w:hAnsi="宋体" w:eastAsia="宋体" w:cs="宋体"/>
          <w:sz w:val="21"/>
          <w:szCs w:val="21"/>
        </w:rPr>
        <w:t>1</w:t>
      </w:r>
      <w:r>
        <w:rPr>
          <w:rFonts w:hint="eastAsia" w:ascii="宋体" w:hAnsi="宋体" w:eastAsia="宋体" w:cs="宋体"/>
          <w:sz w:val="21"/>
          <w:szCs w:val="21"/>
        </w:rPr>
        <w:fldChar w:fldCharType="end"/>
      </w:r>
      <w:r>
        <w:rPr>
          <w:rStyle w:val="15"/>
          <w:rFonts w:hint="eastAsia" w:ascii="宋体" w:hAnsi="宋体" w:eastAsia="宋体" w:cs="宋体"/>
          <w:sz w:val="21"/>
          <w:szCs w:val="21"/>
        </w:rPr>
        <w:fldChar w:fldCharType="end"/>
      </w:r>
    </w:p>
    <w:p>
      <w:pPr>
        <w:pStyle w:val="9"/>
        <w:tabs>
          <w:tab w:val="right" w:leader="dot" w:pos="8948"/>
        </w:tabs>
        <w:spacing w:line="360" w:lineRule="auto"/>
        <w:ind w:left="600"/>
        <w:rPr>
          <w:rFonts w:hint="eastAsia" w:ascii="宋体" w:hAnsi="宋体" w:eastAsia="宋体" w:cs="宋体"/>
          <w:sz w:val="21"/>
          <w:szCs w:val="21"/>
        </w:rPr>
      </w:pPr>
      <w:r>
        <w:rPr>
          <w:rStyle w:val="15"/>
          <w:rFonts w:hint="eastAsia" w:ascii="宋体" w:hAnsi="宋体" w:eastAsia="宋体" w:cs="宋体"/>
          <w:sz w:val="21"/>
          <w:szCs w:val="21"/>
        </w:rPr>
        <w:fldChar w:fldCharType="begin"/>
      </w:r>
      <w:r>
        <w:rPr>
          <w:rStyle w:val="15"/>
          <w:rFonts w:hint="eastAsia" w:ascii="宋体" w:hAnsi="宋体" w:eastAsia="宋体" w:cs="宋体"/>
          <w:sz w:val="21"/>
          <w:szCs w:val="21"/>
        </w:rPr>
        <w:instrText xml:space="preserve"> </w:instrText>
      </w:r>
      <w:r>
        <w:rPr>
          <w:rFonts w:hint="eastAsia" w:ascii="宋体" w:hAnsi="宋体" w:eastAsia="宋体" w:cs="宋体"/>
          <w:sz w:val="21"/>
          <w:szCs w:val="21"/>
        </w:rPr>
        <w:instrText xml:space="preserve">HYPERLINK \l "_Toc164235120"</w:instrText>
      </w:r>
      <w:r>
        <w:rPr>
          <w:rStyle w:val="15"/>
          <w:rFonts w:hint="eastAsia" w:ascii="宋体" w:hAnsi="宋体" w:eastAsia="宋体" w:cs="宋体"/>
          <w:sz w:val="21"/>
          <w:szCs w:val="21"/>
        </w:rPr>
        <w:instrText xml:space="preserve"> </w:instrText>
      </w:r>
      <w:r>
        <w:rPr>
          <w:rStyle w:val="15"/>
          <w:rFonts w:hint="eastAsia" w:ascii="宋体" w:hAnsi="宋体" w:eastAsia="宋体" w:cs="宋体"/>
          <w:sz w:val="21"/>
          <w:szCs w:val="21"/>
        </w:rPr>
        <w:fldChar w:fldCharType="separate"/>
      </w:r>
      <w:r>
        <w:rPr>
          <w:rStyle w:val="15"/>
          <w:rFonts w:hint="eastAsia" w:ascii="宋体" w:hAnsi="宋体" w:eastAsia="宋体" w:cs="宋体"/>
          <w:sz w:val="21"/>
          <w:szCs w:val="21"/>
          <w:lang w:val="en-US" w:eastAsia="zh-CN"/>
        </w:rPr>
        <w:t>1</w:t>
      </w:r>
      <w:r>
        <w:rPr>
          <w:rStyle w:val="15"/>
          <w:rFonts w:hint="eastAsia" w:ascii="宋体" w:hAnsi="宋体" w:eastAsia="宋体" w:cs="宋体"/>
          <w:sz w:val="21"/>
          <w:szCs w:val="21"/>
        </w:rPr>
        <w:t>任务来源</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_Toc164235120 \h </w:instrText>
      </w:r>
      <w:r>
        <w:rPr>
          <w:rFonts w:hint="eastAsia" w:ascii="宋体" w:hAnsi="宋体" w:eastAsia="宋体" w:cs="宋体"/>
          <w:sz w:val="21"/>
          <w:szCs w:val="21"/>
        </w:rPr>
        <w:fldChar w:fldCharType="separate"/>
      </w:r>
      <w:r>
        <w:rPr>
          <w:rFonts w:hint="eastAsia" w:ascii="宋体" w:hAnsi="宋体" w:eastAsia="宋体" w:cs="宋体"/>
          <w:sz w:val="21"/>
          <w:szCs w:val="21"/>
        </w:rPr>
        <w:t>1</w:t>
      </w:r>
      <w:r>
        <w:rPr>
          <w:rFonts w:hint="eastAsia" w:ascii="宋体" w:hAnsi="宋体" w:eastAsia="宋体" w:cs="宋体"/>
          <w:sz w:val="21"/>
          <w:szCs w:val="21"/>
        </w:rPr>
        <w:fldChar w:fldCharType="end"/>
      </w:r>
      <w:r>
        <w:rPr>
          <w:rStyle w:val="15"/>
          <w:rFonts w:hint="eastAsia" w:ascii="宋体" w:hAnsi="宋体" w:eastAsia="宋体" w:cs="宋体"/>
          <w:sz w:val="21"/>
          <w:szCs w:val="21"/>
        </w:rPr>
        <w:fldChar w:fldCharType="end"/>
      </w:r>
    </w:p>
    <w:p>
      <w:pPr>
        <w:pStyle w:val="9"/>
        <w:tabs>
          <w:tab w:val="right" w:leader="dot" w:pos="8948"/>
        </w:tabs>
        <w:spacing w:line="360" w:lineRule="auto"/>
        <w:ind w:left="600"/>
        <w:rPr>
          <w:rFonts w:hint="eastAsia" w:ascii="宋体" w:hAnsi="宋体" w:eastAsia="宋体" w:cs="宋体"/>
          <w:sz w:val="21"/>
          <w:szCs w:val="21"/>
        </w:rPr>
      </w:pPr>
      <w:r>
        <w:rPr>
          <w:rStyle w:val="15"/>
          <w:rFonts w:hint="eastAsia" w:ascii="宋体" w:hAnsi="宋体" w:eastAsia="宋体" w:cs="宋体"/>
          <w:sz w:val="21"/>
          <w:szCs w:val="21"/>
        </w:rPr>
        <w:fldChar w:fldCharType="begin"/>
      </w:r>
      <w:r>
        <w:rPr>
          <w:rStyle w:val="15"/>
          <w:rFonts w:hint="eastAsia" w:ascii="宋体" w:hAnsi="宋体" w:eastAsia="宋体" w:cs="宋体"/>
          <w:sz w:val="21"/>
          <w:szCs w:val="21"/>
        </w:rPr>
        <w:instrText xml:space="preserve"> </w:instrText>
      </w:r>
      <w:r>
        <w:rPr>
          <w:rFonts w:hint="eastAsia" w:ascii="宋体" w:hAnsi="宋体" w:eastAsia="宋体" w:cs="宋体"/>
          <w:sz w:val="21"/>
          <w:szCs w:val="21"/>
        </w:rPr>
        <w:instrText xml:space="preserve">HYPERLINK \l "_Toc164235121"</w:instrText>
      </w:r>
      <w:r>
        <w:rPr>
          <w:rStyle w:val="15"/>
          <w:rFonts w:hint="eastAsia" w:ascii="宋体" w:hAnsi="宋体" w:eastAsia="宋体" w:cs="宋体"/>
          <w:sz w:val="21"/>
          <w:szCs w:val="21"/>
        </w:rPr>
        <w:instrText xml:space="preserve"> </w:instrText>
      </w:r>
      <w:r>
        <w:rPr>
          <w:rStyle w:val="15"/>
          <w:rFonts w:hint="eastAsia" w:ascii="宋体" w:hAnsi="宋体" w:eastAsia="宋体" w:cs="宋体"/>
          <w:sz w:val="21"/>
          <w:szCs w:val="21"/>
        </w:rPr>
        <w:fldChar w:fldCharType="separate"/>
      </w:r>
      <w:r>
        <w:rPr>
          <w:rStyle w:val="15"/>
          <w:rFonts w:hint="eastAsia" w:ascii="宋体" w:hAnsi="宋体" w:eastAsia="宋体" w:cs="宋体"/>
          <w:sz w:val="21"/>
          <w:szCs w:val="21"/>
          <w:lang w:val="en-US" w:eastAsia="zh-CN"/>
        </w:rPr>
        <w:t>2</w:t>
      </w:r>
      <w:r>
        <w:rPr>
          <w:rStyle w:val="15"/>
          <w:rFonts w:hint="eastAsia" w:ascii="宋体" w:hAnsi="宋体" w:eastAsia="宋体" w:cs="宋体"/>
          <w:sz w:val="21"/>
          <w:szCs w:val="21"/>
        </w:rPr>
        <w:t>制定标准的必要性和意义</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_Toc164235121 \h </w:instrText>
      </w:r>
      <w:r>
        <w:rPr>
          <w:rFonts w:hint="eastAsia" w:ascii="宋体" w:hAnsi="宋体" w:eastAsia="宋体" w:cs="宋体"/>
          <w:sz w:val="21"/>
          <w:szCs w:val="21"/>
        </w:rPr>
        <w:fldChar w:fldCharType="separate"/>
      </w:r>
      <w:r>
        <w:rPr>
          <w:rFonts w:hint="eastAsia" w:ascii="宋体" w:hAnsi="宋体" w:eastAsia="宋体" w:cs="宋体"/>
          <w:sz w:val="21"/>
          <w:szCs w:val="21"/>
        </w:rPr>
        <w:t>1</w:t>
      </w:r>
      <w:r>
        <w:rPr>
          <w:rFonts w:hint="eastAsia" w:ascii="宋体" w:hAnsi="宋体" w:eastAsia="宋体" w:cs="宋体"/>
          <w:sz w:val="21"/>
          <w:szCs w:val="21"/>
        </w:rPr>
        <w:fldChar w:fldCharType="end"/>
      </w:r>
      <w:r>
        <w:rPr>
          <w:rStyle w:val="15"/>
          <w:rFonts w:hint="eastAsia" w:ascii="宋体" w:hAnsi="宋体" w:eastAsia="宋体" w:cs="宋体"/>
          <w:sz w:val="21"/>
          <w:szCs w:val="21"/>
        </w:rPr>
        <w:fldChar w:fldCharType="end"/>
      </w:r>
    </w:p>
    <w:p>
      <w:pPr>
        <w:pStyle w:val="9"/>
        <w:tabs>
          <w:tab w:val="right" w:leader="dot" w:pos="8948"/>
        </w:tabs>
        <w:spacing w:line="360" w:lineRule="auto"/>
        <w:ind w:left="600"/>
        <w:rPr>
          <w:rFonts w:hint="eastAsia" w:ascii="宋体" w:hAnsi="宋体" w:eastAsia="宋体" w:cs="宋体"/>
          <w:sz w:val="21"/>
          <w:szCs w:val="21"/>
        </w:rPr>
      </w:pPr>
      <w:r>
        <w:rPr>
          <w:rStyle w:val="15"/>
          <w:rFonts w:hint="eastAsia" w:ascii="宋体" w:hAnsi="宋体" w:eastAsia="宋体" w:cs="宋体"/>
          <w:sz w:val="21"/>
          <w:szCs w:val="21"/>
        </w:rPr>
        <w:fldChar w:fldCharType="begin"/>
      </w:r>
      <w:r>
        <w:rPr>
          <w:rStyle w:val="15"/>
          <w:rFonts w:hint="eastAsia" w:ascii="宋体" w:hAnsi="宋体" w:eastAsia="宋体" w:cs="宋体"/>
          <w:sz w:val="21"/>
          <w:szCs w:val="21"/>
        </w:rPr>
        <w:instrText xml:space="preserve"> </w:instrText>
      </w:r>
      <w:r>
        <w:rPr>
          <w:rFonts w:hint="eastAsia" w:ascii="宋体" w:hAnsi="宋体" w:eastAsia="宋体" w:cs="宋体"/>
          <w:sz w:val="21"/>
          <w:szCs w:val="21"/>
        </w:rPr>
        <w:instrText xml:space="preserve">HYPERLINK \l "_Toc164235122"</w:instrText>
      </w:r>
      <w:r>
        <w:rPr>
          <w:rStyle w:val="15"/>
          <w:rFonts w:hint="eastAsia" w:ascii="宋体" w:hAnsi="宋体" w:eastAsia="宋体" w:cs="宋体"/>
          <w:sz w:val="21"/>
          <w:szCs w:val="21"/>
        </w:rPr>
        <w:instrText xml:space="preserve"> </w:instrText>
      </w:r>
      <w:r>
        <w:rPr>
          <w:rStyle w:val="15"/>
          <w:rFonts w:hint="eastAsia" w:ascii="宋体" w:hAnsi="宋体" w:eastAsia="宋体" w:cs="宋体"/>
          <w:sz w:val="21"/>
          <w:szCs w:val="21"/>
        </w:rPr>
        <w:fldChar w:fldCharType="separate"/>
      </w:r>
      <w:r>
        <w:rPr>
          <w:rStyle w:val="15"/>
          <w:rFonts w:hint="eastAsia" w:ascii="宋体" w:hAnsi="宋体" w:eastAsia="宋体" w:cs="宋体"/>
          <w:sz w:val="21"/>
          <w:szCs w:val="21"/>
          <w:lang w:val="en-US" w:eastAsia="zh-CN"/>
        </w:rPr>
        <w:t>3</w:t>
      </w:r>
      <w:r>
        <w:rPr>
          <w:rStyle w:val="15"/>
          <w:rFonts w:hint="eastAsia" w:ascii="宋体" w:hAnsi="宋体" w:eastAsia="宋体" w:cs="宋体"/>
          <w:sz w:val="21"/>
          <w:szCs w:val="21"/>
        </w:rPr>
        <w:t>起草单位</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_Toc164235122 \h </w:instrText>
      </w:r>
      <w:r>
        <w:rPr>
          <w:rFonts w:hint="eastAsia" w:ascii="宋体" w:hAnsi="宋体" w:eastAsia="宋体" w:cs="宋体"/>
          <w:sz w:val="21"/>
          <w:szCs w:val="21"/>
        </w:rPr>
        <w:fldChar w:fldCharType="separate"/>
      </w:r>
      <w:r>
        <w:rPr>
          <w:rFonts w:hint="eastAsia" w:ascii="宋体" w:hAnsi="宋体" w:eastAsia="宋体" w:cs="宋体"/>
          <w:sz w:val="21"/>
          <w:szCs w:val="21"/>
        </w:rPr>
        <w:t>3</w:t>
      </w:r>
      <w:r>
        <w:rPr>
          <w:rFonts w:hint="eastAsia" w:ascii="宋体" w:hAnsi="宋体" w:eastAsia="宋体" w:cs="宋体"/>
          <w:sz w:val="21"/>
          <w:szCs w:val="21"/>
        </w:rPr>
        <w:fldChar w:fldCharType="end"/>
      </w:r>
      <w:r>
        <w:rPr>
          <w:rStyle w:val="15"/>
          <w:rFonts w:hint="eastAsia" w:ascii="宋体" w:hAnsi="宋体" w:eastAsia="宋体" w:cs="宋体"/>
          <w:sz w:val="21"/>
          <w:szCs w:val="21"/>
        </w:rPr>
        <w:fldChar w:fldCharType="end"/>
      </w:r>
    </w:p>
    <w:p>
      <w:pPr>
        <w:pStyle w:val="9"/>
        <w:tabs>
          <w:tab w:val="right" w:leader="dot" w:pos="8948"/>
        </w:tabs>
        <w:spacing w:line="360" w:lineRule="auto"/>
        <w:ind w:left="600"/>
        <w:rPr>
          <w:rFonts w:hint="eastAsia" w:ascii="宋体" w:hAnsi="宋体" w:eastAsia="宋体" w:cs="宋体"/>
          <w:sz w:val="21"/>
          <w:szCs w:val="21"/>
        </w:rPr>
      </w:pPr>
      <w:r>
        <w:rPr>
          <w:rStyle w:val="15"/>
          <w:rFonts w:hint="eastAsia" w:ascii="宋体" w:hAnsi="宋体" w:eastAsia="宋体" w:cs="宋体"/>
          <w:sz w:val="21"/>
          <w:szCs w:val="21"/>
        </w:rPr>
        <w:fldChar w:fldCharType="begin"/>
      </w:r>
      <w:r>
        <w:rPr>
          <w:rStyle w:val="15"/>
          <w:rFonts w:hint="eastAsia" w:ascii="宋体" w:hAnsi="宋体" w:eastAsia="宋体" w:cs="宋体"/>
          <w:sz w:val="21"/>
          <w:szCs w:val="21"/>
        </w:rPr>
        <w:instrText xml:space="preserve"> </w:instrText>
      </w:r>
      <w:r>
        <w:rPr>
          <w:rFonts w:hint="eastAsia" w:ascii="宋体" w:hAnsi="宋体" w:eastAsia="宋体" w:cs="宋体"/>
          <w:sz w:val="21"/>
          <w:szCs w:val="21"/>
        </w:rPr>
        <w:instrText xml:space="preserve">HYPERLINK \l "_Toc164235123"</w:instrText>
      </w:r>
      <w:r>
        <w:rPr>
          <w:rStyle w:val="15"/>
          <w:rFonts w:hint="eastAsia" w:ascii="宋体" w:hAnsi="宋体" w:eastAsia="宋体" w:cs="宋体"/>
          <w:sz w:val="21"/>
          <w:szCs w:val="21"/>
        </w:rPr>
        <w:instrText xml:space="preserve"> </w:instrText>
      </w:r>
      <w:r>
        <w:rPr>
          <w:rStyle w:val="15"/>
          <w:rFonts w:hint="eastAsia" w:ascii="宋体" w:hAnsi="宋体" w:eastAsia="宋体" w:cs="宋体"/>
          <w:sz w:val="21"/>
          <w:szCs w:val="21"/>
        </w:rPr>
        <w:fldChar w:fldCharType="separate"/>
      </w:r>
      <w:r>
        <w:rPr>
          <w:rStyle w:val="15"/>
          <w:rFonts w:hint="eastAsia" w:ascii="宋体" w:hAnsi="宋体" w:eastAsia="宋体" w:cs="宋体"/>
          <w:sz w:val="21"/>
          <w:szCs w:val="21"/>
          <w:lang w:val="en-US" w:eastAsia="zh-CN"/>
        </w:rPr>
        <w:t>4</w:t>
      </w:r>
      <w:r>
        <w:rPr>
          <w:rStyle w:val="15"/>
          <w:rFonts w:hint="eastAsia" w:ascii="宋体" w:hAnsi="宋体" w:eastAsia="宋体" w:cs="宋体"/>
          <w:sz w:val="21"/>
          <w:szCs w:val="21"/>
        </w:rPr>
        <w:t>协作单位</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_Toc164235123 \h </w:instrText>
      </w:r>
      <w:r>
        <w:rPr>
          <w:rFonts w:hint="eastAsia" w:ascii="宋体" w:hAnsi="宋体" w:eastAsia="宋体" w:cs="宋体"/>
          <w:sz w:val="21"/>
          <w:szCs w:val="21"/>
        </w:rPr>
        <w:fldChar w:fldCharType="separate"/>
      </w:r>
      <w:r>
        <w:rPr>
          <w:rFonts w:hint="eastAsia" w:ascii="宋体" w:hAnsi="宋体" w:eastAsia="宋体" w:cs="宋体"/>
          <w:sz w:val="21"/>
          <w:szCs w:val="21"/>
        </w:rPr>
        <w:t>3</w:t>
      </w:r>
      <w:r>
        <w:rPr>
          <w:rFonts w:hint="eastAsia" w:ascii="宋体" w:hAnsi="宋体" w:eastAsia="宋体" w:cs="宋体"/>
          <w:sz w:val="21"/>
          <w:szCs w:val="21"/>
        </w:rPr>
        <w:fldChar w:fldCharType="end"/>
      </w:r>
      <w:r>
        <w:rPr>
          <w:rStyle w:val="15"/>
          <w:rFonts w:hint="eastAsia" w:ascii="宋体" w:hAnsi="宋体" w:eastAsia="宋体" w:cs="宋体"/>
          <w:sz w:val="21"/>
          <w:szCs w:val="21"/>
        </w:rPr>
        <w:fldChar w:fldCharType="end"/>
      </w:r>
    </w:p>
    <w:p>
      <w:pPr>
        <w:pStyle w:val="9"/>
        <w:tabs>
          <w:tab w:val="right" w:leader="dot" w:pos="8948"/>
        </w:tabs>
        <w:spacing w:line="360" w:lineRule="auto"/>
        <w:ind w:left="600"/>
        <w:rPr>
          <w:rFonts w:hint="eastAsia" w:ascii="宋体" w:hAnsi="宋体" w:eastAsia="宋体" w:cs="宋体"/>
          <w:sz w:val="21"/>
          <w:szCs w:val="21"/>
        </w:rPr>
      </w:pPr>
      <w:r>
        <w:rPr>
          <w:rStyle w:val="15"/>
          <w:rFonts w:hint="eastAsia" w:ascii="宋体" w:hAnsi="宋体" w:eastAsia="宋体" w:cs="宋体"/>
          <w:sz w:val="21"/>
          <w:szCs w:val="21"/>
        </w:rPr>
        <w:fldChar w:fldCharType="begin"/>
      </w:r>
      <w:r>
        <w:rPr>
          <w:rStyle w:val="15"/>
          <w:rFonts w:hint="eastAsia" w:ascii="宋体" w:hAnsi="宋体" w:eastAsia="宋体" w:cs="宋体"/>
          <w:sz w:val="21"/>
          <w:szCs w:val="21"/>
        </w:rPr>
        <w:instrText xml:space="preserve"> </w:instrText>
      </w:r>
      <w:r>
        <w:rPr>
          <w:rFonts w:hint="eastAsia" w:ascii="宋体" w:hAnsi="宋体" w:eastAsia="宋体" w:cs="宋体"/>
          <w:sz w:val="21"/>
          <w:szCs w:val="21"/>
        </w:rPr>
        <w:instrText xml:space="preserve">HYPERLINK \l "_Toc164235124"</w:instrText>
      </w:r>
      <w:r>
        <w:rPr>
          <w:rStyle w:val="15"/>
          <w:rFonts w:hint="eastAsia" w:ascii="宋体" w:hAnsi="宋体" w:eastAsia="宋体" w:cs="宋体"/>
          <w:sz w:val="21"/>
          <w:szCs w:val="21"/>
        </w:rPr>
        <w:instrText xml:space="preserve"> </w:instrText>
      </w:r>
      <w:r>
        <w:rPr>
          <w:rStyle w:val="15"/>
          <w:rFonts w:hint="eastAsia" w:ascii="宋体" w:hAnsi="宋体" w:eastAsia="宋体" w:cs="宋体"/>
          <w:sz w:val="21"/>
          <w:szCs w:val="21"/>
        </w:rPr>
        <w:fldChar w:fldCharType="separate"/>
      </w:r>
      <w:r>
        <w:rPr>
          <w:rStyle w:val="15"/>
          <w:rFonts w:hint="eastAsia" w:ascii="宋体" w:hAnsi="宋体" w:eastAsia="宋体" w:cs="宋体"/>
          <w:sz w:val="21"/>
          <w:szCs w:val="21"/>
          <w:lang w:val="en-US" w:eastAsia="zh-CN"/>
        </w:rPr>
        <w:t>5</w:t>
      </w:r>
      <w:r>
        <w:rPr>
          <w:rStyle w:val="15"/>
          <w:rFonts w:hint="eastAsia" w:ascii="宋体" w:hAnsi="宋体" w:eastAsia="宋体" w:cs="宋体"/>
          <w:sz w:val="21"/>
          <w:szCs w:val="21"/>
        </w:rPr>
        <w:t>主要起草人及其所做的工作</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_Toc164235124 \h </w:instrText>
      </w:r>
      <w:r>
        <w:rPr>
          <w:rFonts w:hint="eastAsia" w:ascii="宋体" w:hAnsi="宋体" w:eastAsia="宋体" w:cs="宋体"/>
          <w:sz w:val="21"/>
          <w:szCs w:val="21"/>
        </w:rPr>
        <w:fldChar w:fldCharType="separate"/>
      </w:r>
      <w:r>
        <w:rPr>
          <w:rFonts w:hint="eastAsia" w:ascii="宋体" w:hAnsi="宋体" w:eastAsia="宋体" w:cs="宋体"/>
          <w:sz w:val="21"/>
          <w:szCs w:val="21"/>
        </w:rPr>
        <w:t>3</w:t>
      </w:r>
      <w:r>
        <w:rPr>
          <w:rFonts w:hint="eastAsia" w:ascii="宋体" w:hAnsi="宋体" w:eastAsia="宋体" w:cs="宋体"/>
          <w:sz w:val="21"/>
          <w:szCs w:val="21"/>
        </w:rPr>
        <w:fldChar w:fldCharType="end"/>
      </w:r>
      <w:r>
        <w:rPr>
          <w:rStyle w:val="15"/>
          <w:rFonts w:hint="eastAsia" w:ascii="宋体" w:hAnsi="宋体" w:eastAsia="宋体" w:cs="宋体"/>
          <w:sz w:val="21"/>
          <w:szCs w:val="21"/>
        </w:rPr>
        <w:fldChar w:fldCharType="end"/>
      </w:r>
    </w:p>
    <w:p>
      <w:pPr>
        <w:pStyle w:val="9"/>
        <w:tabs>
          <w:tab w:val="right" w:leader="dot" w:pos="8948"/>
        </w:tabs>
        <w:spacing w:line="360" w:lineRule="auto"/>
        <w:ind w:left="600"/>
        <w:rPr>
          <w:rFonts w:hint="eastAsia" w:ascii="宋体" w:hAnsi="宋体" w:eastAsia="宋体" w:cs="宋体"/>
          <w:sz w:val="21"/>
          <w:szCs w:val="21"/>
        </w:rPr>
      </w:pPr>
      <w:r>
        <w:rPr>
          <w:rStyle w:val="15"/>
          <w:rFonts w:hint="eastAsia" w:ascii="宋体" w:hAnsi="宋体" w:eastAsia="宋体" w:cs="宋体"/>
          <w:sz w:val="21"/>
          <w:szCs w:val="21"/>
        </w:rPr>
        <w:fldChar w:fldCharType="begin"/>
      </w:r>
      <w:r>
        <w:rPr>
          <w:rStyle w:val="15"/>
          <w:rFonts w:hint="eastAsia" w:ascii="宋体" w:hAnsi="宋体" w:eastAsia="宋体" w:cs="宋体"/>
          <w:sz w:val="21"/>
          <w:szCs w:val="21"/>
        </w:rPr>
        <w:instrText xml:space="preserve"> </w:instrText>
      </w:r>
      <w:r>
        <w:rPr>
          <w:rFonts w:hint="eastAsia" w:ascii="宋体" w:hAnsi="宋体" w:eastAsia="宋体" w:cs="宋体"/>
          <w:sz w:val="21"/>
          <w:szCs w:val="21"/>
        </w:rPr>
        <w:instrText xml:space="preserve">HYPERLINK \l "_Toc164235125"</w:instrText>
      </w:r>
      <w:r>
        <w:rPr>
          <w:rStyle w:val="15"/>
          <w:rFonts w:hint="eastAsia" w:ascii="宋体" w:hAnsi="宋体" w:eastAsia="宋体" w:cs="宋体"/>
          <w:sz w:val="21"/>
          <w:szCs w:val="21"/>
        </w:rPr>
        <w:instrText xml:space="preserve"> </w:instrText>
      </w:r>
      <w:r>
        <w:rPr>
          <w:rStyle w:val="15"/>
          <w:rFonts w:hint="eastAsia" w:ascii="宋体" w:hAnsi="宋体" w:eastAsia="宋体" w:cs="宋体"/>
          <w:sz w:val="21"/>
          <w:szCs w:val="21"/>
        </w:rPr>
        <w:fldChar w:fldCharType="separate"/>
      </w:r>
      <w:r>
        <w:rPr>
          <w:rStyle w:val="15"/>
          <w:rFonts w:hint="eastAsia" w:ascii="宋体" w:hAnsi="宋体" w:eastAsia="宋体" w:cs="宋体"/>
          <w:sz w:val="21"/>
          <w:szCs w:val="21"/>
          <w:lang w:val="en-US" w:eastAsia="zh-CN"/>
        </w:rPr>
        <w:t>6</w:t>
      </w:r>
      <w:r>
        <w:rPr>
          <w:rStyle w:val="15"/>
          <w:rFonts w:hint="eastAsia" w:ascii="宋体" w:hAnsi="宋体" w:eastAsia="宋体" w:cs="宋体"/>
          <w:sz w:val="21"/>
          <w:szCs w:val="21"/>
        </w:rPr>
        <w:t>主要工作过程</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_Toc164235125 \h </w:instrText>
      </w:r>
      <w:r>
        <w:rPr>
          <w:rFonts w:hint="eastAsia" w:ascii="宋体" w:hAnsi="宋体" w:eastAsia="宋体" w:cs="宋体"/>
          <w:sz w:val="21"/>
          <w:szCs w:val="21"/>
        </w:rPr>
        <w:fldChar w:fldCharType="separate"/>
      </w:r>
      <w:r>
        <w:rPr>
          <w:rFonts w:hint="eastAsia" w:ascii="宋体" w:hAnsi="宋体" w:eastAsia="宋体" w:cs="宋体"/>
          <w:sz w:val="21"/>
          <w:szCs w:val="21"/>
        </w:rPr>
        <w:t>4</w:t>
      </w:r>
      <w:r>
        <w:rPr>
          <w:rFonts w:hint="eastAsia" w:ascii="宋体" w:hAnsi="宋体" w:eastAsia="宋体" w:cs="宋体"/>
          <w:sz w:val="21"/>
          <w:szCs w:val="21"/>
        </w:rPr>
        <w:fldChar w:fldCharType="end"/>
      </w:r>
      <w:r>
        <w:rPr>
          <w:rStyle w:val="15"/>
          <w:rFonts w:hint="eastAsia" w:ascii="宋体" w:hAnsi="宋体" w:eastAsia="宋体" w:cs="宋体"/>
          <w:sz w:val="21"/>
          <w:szCs w:val="21"/>
        </w:rPr>
        <w:fldChar w:fldCharType="end"/>
      </w:r>
    </w:p>
    <w:p>
      <w:pPr>
        <w:pStyle w:val="8"/>
        <w:tabs>
          <w:tab w:val="right" w:leader="dot" w:pos="8948"/>
        </w:tabs>
        <w:spacing w:line="360" w:lineRule="auto"/>
        <w:rPr>
          <w:rFonts w:hint="eastAsia" w:ascii="宋体" w:hAnsi="宋体" w:eastAsia="宋体" w:cs="宋体"/>
          <w:sz w:val="21"/>
          <w:szCs w:val="21"/>
        </w:rPr>
      </w:pPr>
      <w:r>
        <w:rPr>
          <w:rStyle w:val="15"/>
          <w:rFonts w:hint="eastAsia" w:ascii="宋体" w:hAnsi="宋体" w:eastAsia="宋体" w:cs="宋体"/>
          <w:sz w:val="21"/>
          <w:szCs w:val="21"/>
        </w:rPr>
        <w:fldChar w:fldCharType="begin"/>
      </w:r>
      <w:r>
        <w:rPr>
          <w:rStyle w:val="15"/>
          <w:rFonts w:hint="eastAsia" w:ascii="宋体" w:hAnsi="宋体" w:eastAsia="宋体" w:cs="宋体"/>
          <w:sz w:val="21"/>
          <w:szCs w:val="21"/>
        </w:rPr>
        <w:instrText xml:space="preserve"> </w:instrText>
      </w:r>
      <w:r>
        <w:rPr>
          <w:rFonts w:hint="eastAsia" w:ascii="宋体" w:hAnsi="宋体" w:eastAsia="宋体" w:cs="宋体"/>
          <w:sz w:val="21"/>
          <w:szCs w:val="21"/>
        </w:rPr>
        <w:instrText xml:space="preserve">HYPERLINK \l "_Toc164235126"</w:instrText>
      </w:r>
      <w:r>
        <w:rPr>
          <w:rStyle w:val="15"/>
          <w:rFonts w:hint="eastAsia" w:ascii="宋体" w:hAnsi="宋体" w:eastAsia="宋体" w:cs="宋体"/>
          <w:sz w:val="21"/>
          <w:szCs w:val="21"/>
        </w:rPr>
        <w:instrText xml:space="preserve"> </w:instrText>
      </w:r>
      <w:r>
        <w:rPr>
          <w:rStyle w:val="15"/>
          <w:rFonts w:hint="eastAsia" w:ascii="宋体" w:hAnsi="宋体" w:eastAsia="宋体" w:cs="宋体"/>
          <w:sz w:val="21"/>
          <w:szCs w:val="21"/>
        </w:rPr>
        <w:fldChar w:fldCharType="separate"/>
      </w:r>
      <w:r>
        <w:rPr>
          <w:rStyle w:val="15"/>
          <w:rFonts w:hint="eastAsia" w:ascii="宋体" w:hAnsi="宋体" w:eastAsia="宋体" w:cs="宋体"/>
          <w:sz w:val="21"/>
          <w:szCs w:val="21"/>
        </w:rPr>
        <w:t>二、标准编制原则和确定地方标准主要内容的论据</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_Toc164235126 \h </w:instrText>
      </w:r>
      <w:r>
        <w:rPr>
          <w:rFonts w:hint="eastAsia" w:ascii="宋体" w:hAnsi="宋体" w:eastAsia="宋体" w:cs="宋体"/>
          <w:sz w:val="21"/>
          <w:szCs w:val="21"/>
        </w:rPr>
        <w:fldChar w:fldCharType="separate"/>
      </w:r>
      <w:r>
        <w:rPr>
          <w:rFonts w:hint="eastAsia" w:ascii="宋体" w:hAnsi="宋体" w:eastAsia="宋体" w:cs="宋体"/>
          <w:sz w:val="21"/>
          <w:szCs w:val="21"/>
        </w:rPr>
        <w:t>6</w:t>
      </w:r>
      <w:r>
        <w:rPr>
          <w:rFonts w:hint="eastAsia" w:ascii="宋体" w:hAnsi="宋体" w:eastAsia="宋体" w:cs="宋体"/>
          <w:sz w:val="21"/>
          <w:szCs w:val="21"/>
        </w:rPr>
        <w:fldChar w:fldCharType="end"/>
      </w:r>
      <w:r>
        <w:rPr>
          <w:rStyle w:val="15"/>
          <w:rFonts w:hint="eastAsia" w:ascii="宋体" w:hAnsi="宋体" w:eastAsia="宋体" w:cs="宋体"/>
          <w:sz w:val="21"/>
          <w:szCs w:val="21"/>
        </w:rPr>
        <w:fldChar w:fldCharType="end"/>
      </w:r>
    </w:p>
    <w:p>
      <w:pPr>
        <w:pStyle w:val="9"/>
        <w:tabs>
          <w:tab w:val="right" w:leader="dot" w:pos="8948"/>
        </w:tabs>
        <w:spacing w:line="360" w:lineRule="auto"/>
        <w:ind w:left="600"/>
        <w:rPr>
          <w:rFonts w:hint="eastAsia" w:ascii="宋体" w:hAnsi="宋体" w:eastAsia="宋体" w:cs="宋体"/>
          <w:sz w:val="21"/>
          <w:szCs w:val="21"/>
        </w:rPr>
      </w:pPr>
      <w:r>
        <w:rPr>
          <w:rStyle w:val="15"/>
          <w:rFonts w:hint="eastAsia" w:ascii="宋体" w:hAnsi="宋体" w:eastAsia="宋体" w:cs="宋体"/>
          <w:sz w:val="21"/>
          <w:szCs w:val="21"/>
        </w:rPr>
        <w:fldChar w:fldCharType="begin"/>
      </w:r>
      <w:r>
        <w:rPr>
          <w:rStyle w:val="15"/>
          <w:rFonts w:hint="eastAsia" w:ascii="宋体" w:hAnsi="宋体" w:eastAsia="宋体" w:cs="宋体"/>
          <w:sz w:val="21"/>
          <w:szCs w:val="21"/>
        </w:rPr>
        <w:instrText xml:space="preserve"> </w:instrText>
      </w:r>
      <w:r>
        <w:rPr>
          <w:rFonts w:hint="eastAsia" w:ascii="宋体" w:hAnsi="宋体" w:eastAsia="宋体" w:cs="宋体"/>
          <w:sz w:val="21"/>
          <w:szCs w:val="21"/>
        </w:rPr>
        <w:instrText xml:space="preserve">HYPERLINK \l "_Toc164235127"</w:instrText>
      </w:r>
      <w:r>
        <w:rPr>
          <w:rStyle w:val="15"/>
          <w:rFonts w:hint="eastAsia" w:ascii="宋体" w:hAnsi="宋体" w:eastAsia="宋体" w:cs="宋体"/>
          <w:sz w:val="21"/>
          <w:szCs w:val="21"/>
        </w:rPr>
        <w:instrText xml:space="preserve"> </w:instrText>
      </w:r>
      <w:r>
        <w:rPr>
          <w:rStyle w:val="15"/>
          <w:rFonts w:hint="eastAsia" w:ascii="宋体" w:hAnsi="宋体" w:eastAsia="宋体" w:cs="宋体"/>
          <w:sz w:val="21"/>
          <w:szCs w:val="21"/>
        </w:rPr>
        <w:fldChar w:fldCharType="separate"/>
      </w:r>
      <w:r>
        <w:rPr>
          <w:rStyle w:val="15"/>
          <w:rFonts w:hint="eastAsia" w:ascii="宋体" w:hAnsi="宋体" w:eastAsia="宋体" w:cs="宋体"/>
          <w:sz w:val="21"/>
          <w:szCs w:val="21"/>
          <w:lang w:val="en-US" w:eastAsia="zh-CN"/>
        </w:rPr>
        <w:t>1</w:t>
      </w:r>
      <w:r>
        <w:rPr>
          <w:rStyle w:val="15"/>
          <w:rFonts w:hint="eastAsia" w:ascii="宋体" w:hAnsi="宋体" w:eastAsia="宋体" w:cs="宋体"/>
          <w:sz w:val="21"/>
          <w:szCs w:val="21"/>
        </w:rPr>
        <w:t>编制原则</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_Toc164235127 \h </w:instrText>
      </w:r>
      <w:r>
        <w:rPr>
          <w:rFonts w:hint="eastAsia" w:ascii="宋体" w:hAnsi="宋体" w:eastAsia="宋体" w:cs="宋体"/>
          <w:sz w:val="21"/>
          <w:szCs w:val="21"/>
        </w:rPr>
        <w:fldChar w:fldCharType="separate"/>
      </w:r>
      <w:r>
        <w:rPr>
          <w:rFonts w:hint="eastAsia" w:ascii="宋体" w:hAnsi="宋体" w:eastAsia="宋体" w:cs="宋体"/>
          <w:sz w:val="21"/>
          <w:szCs w:val="21"/>
        </w:rPr>
        <w:t>6</w:t>
      </w:r>
      <w:r>
        <w:rPr>
          <w:rFonts w:hint="eastAsia" w:ascii="宋体" w:hAnsi="宋体" w:eastAsia="宋体" w:cs="宋体"/>
          <w:sz w:val="21"/>
          <w:szCs w:val="21"/>
        </w:rPr>
        <w:fldChar w:fldCharType="end"/>
      </w:r>
      <w:r>
        <w:rPr>
          <w:rStyle w:val="15"/>
          <w:rFonts w:hint="eastAsia" w:ascii="宋体" w:hAnsi="宋体" w:eastAsia="宋体" w:cs="宋体"/>
          <w:sz w:val="21"/>
          <w:szCs w:val="21"/>
        </w:rPr>
        <w:fldChar w:fldCharType="end"/>
      </w:r>
    </w:p>
    <w:p>
      <w:pPr>
        <w:pStyle w:val="9"/>
        <w:tabs>
          <w:tab w:val="right" w:leader="dot" w:pos="8948"/>
        </w:tabs>
        <w:spacing w:line="360" w:lineRule="auto"/>
        <w:ind w:left="600"/>
        <w:rPr>
          <w:rFonts w:hint="eastAsia" w:ascii="宋体" w:hAnsi="宋体" w:eastAsia="宋体" w:cs="宋体"/>
          <w:sz w:val="21"/>
          <w:szCs w:val="21"/>
        </w:rPr>
      </w:pPr>
      <w:r>
        <w:rPr>
          <w:rStyle w:val="15"/>
          <w:rFonts w:hint="eastAsia" w:ascii="宋体" w:hAnsi="宋体" w:eastAsia="宋体" w:cs="宋体"/>
          <w:sz w:val="21"/>
          <w:szCs w:val="21"/>
        </w:rPr>
        <w:fldChar w:fldCharType="begin"/>
      </w:r>
      <w:r>
        <w:rPr>
          <w:rStyle w:val="15"/>
          <w:rFonts w:hint="eastAsia" w:ascii="宋体" w:hAnsi="宋体" w:eastAsia="宋体" w:cs="宋体"/>
          <w:sz w:val="21"/>
          <w:szCs w:val="21"/>
        </w:rPr>
        <w:instrText xml:space="preserve"> </w:instrText>
      </w:r>
      <w:r>
        <w:rPr>
          <w:rFonts w:hint="eastAsia" w:ascii="宋体" w:hAnsi="宋体" w:eastAsia="宋体" w:cs="宋体"/>
          <w:sz w:val="21"/>
          <w:szCs w:val="21"/>
        </w:rPr>
        <w:instrText xml:space="preserve">HYPERLINK \l "_Toc164235128"</w:instrText>
      </w:r>
      <w:r>
        <w:rPr>
          <w:rStyle w:val="15"/>
          <w:rFonts w:hint="eastAsia" w:ascii="宋体" w:hAnsi="宋体" w:eastAsia="宋体" w:cs="宋体"/>
          <w:sz w:val="21"/>
          <w:szCs w:val="21"/>
        </w:rPr>
        <w:instrText xml:space="preserve"> </w:instrText>
      </w:r>
      <w:r>
        <w:rPr>
          <w:rStyle w:val="15"/>
          <w:rFonts w:hint="eastAsia" w:ascii="宋体" w:hAnsi="宋体" w:eastAsia="宋体" w:cs="宋体"/>
          <w:sz w:val="21"/>
          <w:szCs w:val="21"/>
        </w:rPr>
        <w:fldChar w:fldCharType="separate"/>
      </w:r>
      <w:r>
        <w:rPr>
          <w:rStyle w:val="15"/>
          <w:rFonts w:hint="eastAsia" w:ascii="宋体" w:hAnsi="宋体" w:eastAsia="宋体" w:cs="宋体"/>
          <w:sz w:val="21"/>
          <w:szCs w:val="21"/>
          <w:lang w:val="en-US" w:eastAsia="zh-CN"/>
        </w:rPr>
        <w:t>2</w:t>
      </w:r>
      <w:r>
        <w:rPr>
          <w:rStyle w:val="15"/>
          <w:rFonts w:hint="eastAsia" w:ascii="宋体" w:hAnsi="宋体" w:eastAsia="宋体" w:cs="宋体"/>
          <w:sz w:val="21"/>
          <w:szCs w:val="21"/>
        </w:rPr>
        <w:t>确定地方标准主要内容</w:t>
      </w:r>
      <w:bookmarkStart w:id="0" w:name="_Hlt164235327"/>
      <w:bookmarkStart w:id="1" w:name="_Hlt164235326"/>
      <w:r>
        <w:rPr>
          <w:rStyle w:val="15"/>
          <w:rFonts w:hint="eastAsia" w:ascii="宋体" w:hAnsi="宋体" w:eastAsia="宋体" w:cs="宋体"/>
          <w:sz w:val="21"/>
          <w:szCs w:val="21"/>
        </w:rPr>
        <w:t>的</w:t>
      </w:r>
      <w:bookmarkEnd w:id="0"/>
      <w:bookmarkEnd w:id="1"/>
      <w:r>
        <w:rPr>
          <w:rStyle w:val="15"/>
          <w:rFonts w:hint="eastAsia" w:ascii="宋体" w:hAnsi="宋体" w:eastAsia="宋体" w:cs="宋体"/>
          <w:sz w:val="21"/>
          <w:szCs w:val="21"/>
        </w:rPr>
        <w:t>论据</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_Toc164235128 \h </w:instrText>
      </w:r>
      <w:r>
        <w:rPr>
          <w:rFonts w:hint="eastAsia" w:ascii="宋体" w:hAnsi="宋体" w:eastAsia="宋体" w:cs="宋体"/>
          <w:sz w:val="21"/>
          <w:szCs w:val="21"/>
        </w:rPr>
        <w:fldChar w:fldCharType="separate"/>
      </w:r>
      <w:r>
        <w:rPr>
          <w:rFonts w:hint="eastAsia" w:ascii="宋体" w:hAnsi="宋体" w:eastAsia="宋体" w:cs="宋体"/>
          <w:sz w:val="21"/>
          <w:szCs w:val="21"/>
        </w:rPr>
        <w:t>7</w:t>
      </w:r>
      <w:r>
        <w:rPr>
          <w:rFonts w:hint="eastAsia" w:ascii="宋体" w:hAnsi="宋体" w:eastAsia="宋体" w:cs="宋体"/>
          <w:sz w:val="21"/>
          <w:szCs w:val="21"/>
        </w:rPr>
        <w:fldChar w:fldCharType="end"/>
      </w:r>
      <w:r>
        <w:rPr>
          <w:rStyle w:val="15"/>
          <w:rFonts w:hint="eastAsia" w:ascii="宋体" w:hAnsi="宋体" w:eastAsia="宋体" w:cs="宋体"/>
          <w:sz w:val="21"/>
          <w:szCs w:val="21"/>
        </w:rPr>
        <w:fldChar w:fldCharType="end"/>
      </w:r>
    </w:p>
    <w:p>
      <w:pPr>
        <w:pStyle w:val="8"/>
        <w:tabs>
          <w:tab w:val="right" w:leader="dot" w:pos="8948"/>
        </w:tabs>
        <w:spacing w:line="360" w:lineRule="auto"/>
        <w:rPr>
          <w:rFonts w:hint="eastAsia" w:ascii="宋体" w:hAnsi="宋体" w:eastAsia="宋体" w:cs="宋体"/>
          <w:sz w:val="21"/>
          <w:szCs w:val="21"/>
        </w:rPr>
      </w:pPr>
      <w:r>
        <w:rPr>
          <w:rStyle w:val="15"/>
          <w:rFonts w:hint="eastAsia" w:ascii="宋体" w:hAnsi="宋体" w:eastAsia="宋体" w:cs="宋体"/>
          <w:sz w:val="21"/>
          <w:szCs w:val="21"/>
        </w:rPr>
        <w:fldChar w:fldCharType="begin"/>
      </w:r>
      <w:r>
        <w:rPr>
          <w:rStyle w:val="15"/>
          <w:rFonts w:hint="eastAsia" w:ascii="宋体" w:hAnsi="宋体" w:eastAsia="宋体" w:cs="宋体"/>
          <w:sz w:val="21"/>
          <w:szCs w:val="21"/>
        </w:rPr>
        <w:instrText xml:space="preserve"> </w:instrText>
      </w:r>
      <w:r>
        <w:rPr>
          <w:rFonts w:hint="eastAsia" w:ascii="宋体" w:hAnsi="宋体" w:eastAsia="宋体" w:cs="宋体"/>
          <w:sz w:val="21"/>
          <w:szCs w:val="21"/>
        </w:rPr>
        <w:instrText xml:space="preserve">HYPERLINK \l "_Toc164235129"</w:instrText>
      </w:r>
      <w:r>
        <w:rPr>
          <w:rStyle w:val="15"/>
          <w:rFonts w:hint="eastAsia" w:ascii="宋体" w:hAnsi="宋体" w:eastAsia="宋体" w:cs="宋体"/>
          <w:sz w:val="21"/>
          <w:szCs w:val="21"/>
        </w:rPr>
        <w:instrText xml:space="preserve"> </w:instrText>
      </w:r>
      <w:r>
        <w:rPr>
          <w:rStyle w:val="15"/>
          <w:rFonts w:hint="eastAsia" w:ascii="宋体" w:hAnsi="宋体" w:eastAsia="宋体" w:cs="宋体"/>
          <w:sz w:val="21"/>
          <w:szCs w:val="21"/>
        </w:rPr>
        <w:fldChar w:fldCharType="separate"/>
      </w:r>
      <w:r>
        <w:rPr>
          <w:rStyle w:val="15"/>
          <w:rFonts w:hint="eastAsia" w:ascii="宋体" w:hAnsi="宋体" w:eastAsia="宋体" w:cs="宋体"/>
          <w:sz w:val="21"/>
          <w:szCs w:val="21"/>
        </w:rPr>
        <w:t>三、主要试验（或验证）的分析、综述报告，技术经济论证，预期经济社会生态效益分析</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_Toc164235129 \h </w:instrText>
      </w:r>
      <w:r>
        <w:rPr>
          <w:rFonts w:hint="eastAsia" w:ascii="宋体" w:hAnsi="宋体" w:eastAsia="宋体" w:cs="宋体"/>
          <w:sz w:val="21"/>
          <w:szCs w:val="21"/>
        </w:rPr>
        <w:fldChar w:fldCharType="separate"/>
      </w:r>
      <w:r>
        <w:rPr>
          <w:rFonts w:hint="eastAsia" w:ascii="宋体" w:hAnsi="宋体" w:eastAsia="宋体" w:cs="宋体"/>
          <w:sz w:val="21"/>
          <w:szCs w:val="21"/>
        </w:rPr>
        <w:t>8</w:t>
      </w:r>
      <w:r>
        <w:rPr>
          <w:rFonts w:hint="eastAsia" w:ascii="宋体" w:hAnsi="宋体" w:eastAsia="宋体" w:cs="宋体"/>
          <w:sz w:val="21"/>
          <w:szCs w:val="21"/>
        </w:rPr>
        <w:fldChar w:fldCharType="end"/>
      </w:r>
      <w:r>
        <w:rPr>
          <w:rStyle w:val="15"/>
          <w:rFonts w:hint="eastAsia" w:ascii="宋体" w:hAnsi="宋体" w:eastAsia="宋体" w:cs="宋体"/>
          <w:sz w:val="21"/>
          <w:szCs w:val="21"/>
        </w:rPr>
        <w:fldChar w:fldCharType="end"/>
      </w:r>
    </w:p>
    <w:p>
      <w:pPr>
        <w:pStyle w:val="9"/>
        <w:tabs>
          <w:tab w:val="right" w:leader="dot" w:pos="8948"/>
        </w:tabs>
        <w:spacing w:line="360" w:lineRule="auto"/>
        <w:ind w:left="600"/>
        <w:rPr>
          <w:rFonts w:hint="eastAsia" w:ascii="宋体" w:hAnsi="宋体" w:eastAsia="宋体" w:cs="宋体"/>
          <w:sz w:val="21"/>
          <w:szCs w:val="21"/>
        </w:rPr>
      </w:pPr>
      <w:r>
        <w:rPr>
          <w:rStyle w:val="15"/>
          <w:rFonts w:hint="eastAsia" w:ascii="宋体" w:hAnsi="宋体" w:eastAsia="宋体" w:cs="宋体"/>
          <w:sz w:val="21"/>
          <w:szCs w:val="21"/>
        </w:rPr>
        <w:fldChar w:fldCharType="begin"/>
      </w:r>
      <w:r>
        <w:rPr>
          <w:rStyle w:val="15"/>
          <w:rFonts w:hint="eastAsia" w:ascii="宋体" w:hAnsi="宋体" w:eastAsia="宋体" w:cs="宋体"/>
          <w:sz w:val="21"/>
          <w:szCs w:val="21"/>
        </w:rPr>
        <w:instrText xml:space="preserve"> </w:instrText>
      </w:r>
      <w:r>
        <w:rPr>
          <w:rFonts w:hint="eastAsia" w:ascii="宋体" w:hAnsi="宋体" w:eastAsia="宋体" w:cs="宋体"/>
          <w:sz w:val="21"/>
          <w:szCs w:val="21"/>
        </w:rPr>
        <w:instrText xml:space="preserve">HYPERLINK \l "_Toc164235130"</w:instrText>
      </w:r>
      <w:r>
        <w:rPr>
          <w:rStyle w:val="15"/>
          <w:rFonts w:hint="eastAsia" w:ascii="宋体" w:hAnsi="宋体" w:eastAsia="宋体" w:cs="宋体"/>
          <w:sz w:val="21"/>
          <w:szCs w:val="21"/>
        </w:rPr>
        <w:instrText xml:space="preserve"> </w:instrText>
      </w:r>
      <w:r>
        <w:rPr>
          <w:rStyle w:val="15"/>
          <w:rFonts w:hint="eastAsia" w:ascii="宋体" w:hAnsi="宋体" w:eastAsia="宋体" w:cs="宋体"/>
          <w:sz w:val="21"/>
          <w:szCs w:val="21"/>
        </w:rPr>
        <w:fldChar w:fldCharType="separate"/>
      </w:r>
      <w:r>
        <w:rPr>
          <w:rStyle w:val="15"/>
          <w:rFonts w:hint="eastAsia" w:ascii="宋体" w:hAnsi="宋体" w:eastAsia="宋体" w:cs="宋体"/>
          <w:sz w:val="21"/>
          <w:szCs w:val="21"/>
          <w:lang w:val="en-US" w:eastAsia="zh-CN"/>
        </w:rPr>
        <w:t>1</w:t>
      </w:r>
      <w:r>
        <w:rPr>
          <w:rStyle w:val="15"/>
          <w:rFonts w:hint="eastAsia" w:ascii="宋体" w:hAnsi="宋体" w:eastAsia="宋体" w:cs="宋体"/>
          <w:sz w:val="21"/>
          <w:szCs w:val="21"/>
        </w:rPr>
        <w:t>行业概述</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_Toc164235130 \h </w:instrText>
      </w:r>
      <w:r>
        <w:rPr>
          <w:rFonts w:hint="eastAsia" w:ascii="宋体" w:hAnsi="宋体" w:eastAsia="宋体" w:cs="宋体"/>
          <w:sz w:val="21"/>
          <w:szCs w:val="21"/>
        </w:rPr>
        <w:fldChar w:fldCharType="separate"/>
      </w:r>
      <w:r>
        <w:rPr>
          <w:rFonts w:hint="eastAsia" w:ascii="宋体" w:hAnsi="宋体" w:eastAsia="宋体" w:cs="宋体"/>
          <w:sz w:val="21"/>
          <w:szCs w:val="21"/>
        </w:rPr>
        <w:t>8</w:t>
      </w:r>
      <w:r>
        <w:rPr>
          <w:rFonts w:hint="eastAsia" w:ascii="宋体" w:hAnsi="宋体" w:eastAsia="宋体" w:cs="宋体"/>
          <w:sz w:val="21"/>
          <w:szCs w:val="21"/>
        </w:rPr>
        <w:fldChar w:fldCharType="end"/>
      </w:r>
      <w:r>
        <w:rPr>
          <w:rStyle w:val="15"/>
          <w:rFonts w:hint="eastAsia" w:ascii="宋体" w:hAnsi="宋体" w:eastAsia="宋体" w:cs="宋体"/>
          <w:sz w:val="21"/>
          <w:szCs w:val="21"/>
        </w:rPr>
        <w:fldChar w:fldCharType="end"/>
      </w:r>
    </w:p>
    <w:p>
      <w:pPr>
        <w:pStyle w:val="9"/>
        <w:tabs>
          <w:tab w:val="right" w:leader="dot" w:pos="8948"/>
        </w:tabs>
        <w:spacing w:line="360" w:lineRule="auto"/>
        <w:ind w:left="600"/>
        <w:rPr>
          <w:rFonts w:hint="eastAsia" w:ascii="宋体" w:hAnsi="宋体" w:eastAsia="宋体" w:cs="宋体"/>
          <w:sz w:val="21"/>
          <w:szCs w:val="21"/>
        </w:rPr>
      </w:pPr>
      <w:r>
        <w:rPr>
          <w:rStyle w:val="15"/>
          <w:rFonts w:hint="eastAsia" w:ascii="宋体" w:hAnsi="宋体" w:eastAsia="宋体" w:cs="宋体"/>
          <w:sz w:val="21"/>
          <w:szCs w:val="21"/>
        </w:rPr>
        <w:fldChar w:fldCharType="begin"/>
      </w:r>
      <w:r>
        <w:rPr>
          <w:rStyle w:val="15"/>
          <w:rFonts w:hint="eastAsia" w:ascii="宋体" w:hAnsi="宋体" w:eastAsia="宋体" w:cs="宋体"/>
          <w:sz w:val="21"/>
          <w:szCs w:val="21"/>
        </w:rPr>
        <w:instrText xml:space="preserve"> </w:instrText>
      </w:r>
      <w:r>
        <w:rPr>
          <w:rFonts w:hint="eastAsia" w:ascii="宋体" w:hAnsi="宋体" w:eastAsia="宋体" w:cs="宋体"/>
          <w:sz w:val="21"/>
          <w:szCs w:val="21"/>
        </w:rPr>
        <w:instrText xml:space="preserve">HYPERLINK \l "_Toc164235131"</w:instrText>
      </w:r>
      <w:r>
        <w:rPr>
          <w:rStyle w:val="15"/>
          <w:rFonts w:hint="eastAsia" w:ascii="宋体" w:hAnsi="宋体" w:eastAsia="宋体" w:cs="宋体"/>
          <w:sz w:val="21"/>
          <w:szCs w:val="21"/>
        </w:rPr>
        <w:instrText xml:space="preserve"> </w:instrText>
      </w:r>
      <w:r>
        <w:rPr>
          <w:rStyle w:val="15"/>
          <w:rFonts w:hint="eastAsia" w:ascii="宋体" w:hAnsi="宋体" w:eastAsia="宋体" w:cs="宋体"/>
          <w:sz w:val="21"/>
          <w:szCs w:val="21"/>
        </w:rPr>
        <w:fldChar w:fldCharType="separate"/>
      </w:r>
      <w:r>
        <w:rPr>
          <w:rStyle w:val="15"/>
          <w:rFonts w:hint="eastAsia" w:ascii="宋体" w:hAnsi="宋体" w:eastAsia="宋体" w:cs="宋体"/>
          <w:sz w:val="21"/>
          <w:szCs w:val="21"/>
          <w:lang w:val="en-US" w:eastAsia="zh-CN"/>
        </w:rPr>
        <w:t>2</w:t>
      </w:r>
      <w:r>
        <w:rPr>
          <w:rStyle w:val="15"/>
          <w:rFonts w:hint="eastAsia" w:ascii="宋体" w:hAnsi="宋体" w:eastAsia="宋体" w:cs="宋体"/>
          <w:sz w:val="21"/>
          <w:szCs w:val="21"/>
        </w:rPr>
        <w:t>本标准参考的文献</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_Toc164235131 \h </w:instrText>
      </w:r>
      <w:r>
        <w:rPr>
          <w:rFonts w:hint="eastAsia" w:ascii="宋体" w:hAnsi="宋体" w:eastAsia="宋体" w:cs="宋体"/>
          <w:sz w:val="21"/>
          <w:szCs w:val="21"/>
        </w:rPr>
        <w:fldChar w:fldCharType="separate"/>
      </w:r>
      <w:r>
        <w:rPr>
          <w:rFonts w:hint="eastAsia" w:ascii="宋体" w:hAnsi="宋体" w:eastAsia="宋体" w:cs="宋体"/>
          <w:sz w:val="21"/>
          <w:szCs w:val="21"/>
        </w:rPr>
        <w:t>9</w:t>
      </w:r>
      <w:r>
        <w:rPr>
          <w:rFonts w:hint="eastAsia" w:ascii="宋体" w:hAnsi="宋体" w:eastAsia="宋体" w:cs="宋体"/>
          <w:sz w:val="21"/>
          <w:szCs w:val="21"/>
        </w:rPr>
        <w:fldChar w:fldCharType="end"/>
      </w:r>
      <w:r>
        <w:rPr>
          <w:rStyle w:val="15"/>
          <w:rFonts w:hint="eastAsia" w:ascii="宋体" w:hAnsi="宋体" w:eastAsia="宋体" w:cs="宋体"/>
          <w:sz w:val="21"/>
          <w:szCs w:val="21"/>
        </w:rPr>
        <w:fldChar w:fldCharType="end"/>
      </w:r>
    </w:p>
    <w:p>
      <w:pPr>
        <w:pStyle w:val="9"/>
        <w:tabs>
          <w:tab w:val="right" w:leader="dot" w:pos="8948"/>
        </w:tabs>
        <w:spacing w:line="360" w:lineRule="auto"/>
        <w:ind w:left="600"/>
        <w:rPr>
          <w:rFonts w:hint="eastAsia" w:ascii="宋体" w:hAnsi="宋体" w:eastAsia="宋体" w:cs="宋体"/>
          <w:sz w:val="21"/>
          <w:szCs w:val="21"/>
        </w:rPr>
      </w:pPr>
      <w:r>
        <w:rPr>
          <w:rStyle w:val="15"/>
          <w:rFonts w:hint="eastAsia" w:ascii="宋体" w:hAnsi="宋体" w:eastAsia="宋体" w:cs="宋体"/>
          <w:sz w:val="21"/>
          <w:szCs w:val="21"/>
        </w:rPr>
        <w:fldChar w:fldCharType="begin"/>
      </w:r>
      <w:r>
        <w:rPr>
          <w:rStyle w:val="15"/>
          <w:rFonts w:hint="eastAsia" w:ascii="宋体" w:hAnsi="宋体" w:eastAsia="宋体" w:cs="宋体"/>
          <w:sz w:val="21"/>
          <w:szCs w:val="21"/>
        </w:rPr>
        <w:instrText xml:space="preserve"> </w:instrText>
      </w:r>
      <w:r>
        <w:rPr>
          <w:rFonts w:hint="eastAsia" w:ascii="宋体" w:hAnsi="宋体" w:eastAsia="宋体" w:cs="宋体"/>
          <w:sz w:val="21"/>
          <w:szCs w:val="21"/>
        </w:rPr>
        <w:instrText xml:space="preserve">HYPERLINK \l "_Toc164235132"</w:instrText>
      </w:r>
      <w:r>
        <w:rPr>
          <w:rStyle w:val="15"/>
          <w:rFonts w:hint="eastAsia" w:ascii="宋体" w:hAnsi="宋体" w:eastAsia="宋体" w:cs="宋体"/>
          <w:sz w:val="21"/>
          <w:szCs w:val="21"/>
        </w:rPr>
        <w:instrText xml:space="preserve"> </w:instrText>
      </w:r>
      <w:r>
        <w:rPr>
          <w:rStyle w:val="15"/>
          <w:rFonts w:hint="eastAsia" w:ascii="宋体" w:hAnsi="宋体" w:eastAsia="宋体" w:cs="宋体"/>
          <w:sz w:val="21"/>
          <w:szCs w:val="21"/>
        </w:rPr>
        <w:fldChar w:fldCharType="separate"/>
      </w:r>
      <w:r>
        <w:rPr>
          <w:rStyle w:val="15"/>
          <w:rFonts w:hint="eastAsia" w:ascii="宋体" w:hAnsi="宋体" w:eastAsia="宋体" w:cs="宋体"/>
          <w:sz w:val="21"/>
          <w:szCs w:val="21"/>
          <w:lang w:val="en-US" w:eastAsia="zh-CN"/>
        </w:rPr>
        <w:t>3</w:t>
      </w:r>
      <w:r>
        <w:rPr>
          <w:rStyle w:val="15"/>
          <w:rFonts w:hint="eastAsia" w:ascii="宋体" w:hAnsi="宋体" w:eastAsia="宋体" w:cs="宋体"/>
          <w:sz w:val="21"/>
          <w:szCs w:val="21"/>
        </w:rPr>
        <w:t>社会效益</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_Toc164235132 \h </w:instrText>
      </w:r>
      <w:r>
        <w:rPr>
          <w:rFonts w:hint="eastAsia" w:ascii="宋体" w:hAnsi="宋体" w:eastAsia="宋体" w:cs="宋体"/>
          <w:sz w:val="21"/>
          <w:szCs w:val="21"/>
        </w:rPr>
        <w:fldChar w:fldCharType="separate"/>
      </w:r>
      <w:r>
        <w:rPr>
          <w:rFonts w:hint="eastAsia" w:ascii="宋体" w:hAnsi="宋体" w:eastAsia="宋体" w:cs="宋体"/>
          <w:sz w:val="21"/>
          <w:szCs w:val="21"/>
        </w:rPr>
        <w:t>10</w:t>
      </w:r>
      <w:r>
        <w:rPr>
          <w:rFonts w:hint="eastAsia" w:ascii="宋体" w:hAnsi="宋体" w:eastAsia="宋体" w:cs="宋体"/>
          <w:sz w:val="21"/>
          <w:szCs w:val="21"/>
        </w:rPr>
        <w:fldChar w:fldCharType="end"/>
      </w:r>
      <w:r>
        <w:rPr>
          <w:rStyle w:val="15"/>
          <w:rFonts w:hint="eastAsia" w:ascii="宋体" w:hAnsi="宋体" w:eastAsia="宋体" w:cs="宋体"/>
          <w:sz w:val="21"/>
          <w:szCs w:val="21"/>
        </w:rPr>
        <w:fldChar w:fldCharType="end"/>
      </w:r>
    </w:p>
    <w:p>
      <w:pPr>
        <w:pStyle w:val="8"/>
        <w:tabs>
          <w:tab w:val="right" w:leader="dot" w:pos="8948"/>
        </w:tabs>
        <w:spacing w:line="360" w:lineRule="auto"/>
        <w:rPr>
          <w:rFonts w:hint="eastAsia" w:ascii="宋体" w:hAnsi="宋体" w:eastAsia="宋体" w:cs="宋体"/>
          <w:sz w:val="21"/>
          <w:szCs w:val="21"/>
        </w:rPr>
      </w:pPr>
      <w:r>
        <w:rPr>
          <w:rStyle w:val="15"/>
          <w:rFonts w:hint="eastAsia" w:ascii="宋体" w:hAnsi="宋体" w:eastAsia="宋体" w:cs="宋体"/>
          <w:sz w:val="21"/>
          <w:szCs w:val="21"/>
        </w:rPr>
        <w:fldChar w:fldCharType="begin"/>
      </w:r>
      <w:r>
        <w:rPr>
          <w:rStyle w:val="15"/>
          <w:rFonts w:hint="eastAsia" w:ascii="宋体" w:hAnsi="宋体" w:eastAsia="宋体" w:cs="宋体"/>
          <w:sz w:val="21"/>
          <w:szCs w:val="21"/>
        </w:rPr>
        <w:instrText xml:space="preserve"> </w:instrText>
      </w:r>
      <w:r>
        <w:rPr>
          <w:rFonts w:hint="eastAsia" w:ascii="宋体" w:hAnsi="宋体" w:eastAsia="宋体" w:cs="宋体"/>
          <w:sz w:val="21"/>
          <w:szCs w:val="21"/>
        </w:rPr>
        <w:instrText xml:space="preserve">HYPERLINK \l "_Toc164235133"</w:instrText>
      </w:r>
      <w:r>
        <w:rPr>
          <w:rStyle w:val="15"/>
          <w:rFonts w:hint="eastAsia" w:ascii="宋体" w:hAnsi="宋体" w:eastAsia="宋体" w:cs="宋体"/>
          <w:sz w:val="21"/>
          <w:szCs w:val="21"/>
        </w:rPr>
        <w:instrText xml:space="preserve"> </w:instrText>
      </w:r>
      <w:r>
        <w:rPr>
          <w:rStyle w:val="15"/>
          <w:rFonts w:hint="eastAsia" w:ascii="宋体" w:hAnsi="宋体" w:eastAsia="宋体" w:cs="宋体"/>
          <w:sz w:val="21"/>
          <w:szCs w:val="21"/>
        </w:rPr>
        <w:fldChar w:fldCharType="separate"/>
      </w:r>
      <w:r>
        <w:rPr>
          <w:rStyle w:val="15"/>
          <w:rFonts w:hint="eastAsia" w:ascii="宋体" w:hAnsi="宋体" w:eastAsia="宋体" w:cs="宋体"/>
          <w:sz w:val="21"/>
          <w:szCs w:val="21"/>
        </w:rPr>
        <w:t>四、与有关的现行法律、法规和国家标准、行业标准、地方标准的关系</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_Toc164235133 \h </w:instrText>
      </w:r>
      <w:r>
        <w:rPr>
          <w:rFonts w:hint="eastAsia" w:ascii="宋体" w:hAnsi="宋体" w:eastAsia="宋体" w:cs="宋体"/>
          <w:sz w:val="21"/>
          <w:szCs w:val="21"/>
        </w:rPr>
        <w:fldChar w:fldCharType="separate"/>
      </w:r>
      <w:r>
        <w:rPr>
          <w:rFonts w:hint="eastAsia" w:ascii="宋体" w:hAnsi="宋体" w:eastAsia="宋体" w:cs="宋体"/>
          <w:sz w:val="21"/>
          <w:szCs w:val="21"/>
        </w:rPr>
        <w:t>11</w:t>
      </w:r>
      <w:r>
        <w:rPr>
          <w:rFonts w:hint="eastAsia" w:ascii="宋体" w:hAnsi="宋体" w:eastAsia="宋体" w:cs="宋体"/>
          <w:sz w:val="21"/>
          <w:szCs w:val="21"/>
        </w:rPr>
        <w:fldChar w:fldCharType="end"/>
      </w:r>
      <w:r>
        <w:rPr>
          <w:rStyle w:val="15"/>
          <w:rFonts w:hint="eastAsia" w:ascii="宋体" w:hAnsi="宋体" w:eastAsia="宋体" w:cs="宋体"/>
          <w:sz w:val="21"/>
          <w:szCs w:val="21"/>
        </w:rPr>
        <w:fldChar w:fldCharType="end"/>
      </w:r>
    </w:p>
    <w:p>
      <w:pPr>
        <w:pStyle w:val="8"/>
        <w:tabs>
          <w:tab w:val="right" w:leader="dot" w:pos="8948"/>
        </w:tabs>
        <w:spacing w:line="360" w:lineRule="auto"/>
        <w:rPr>
          <w:rFonts w:hint="eastAsia" w:ascii="宋体" w:hAnsi="宋体" w:eastAsia="宋体" w:cs="宋体"/>
          <w:sz w:val="21"/>
          <w:szCs w:val="21"/>
        </w:rPr>
      </w:pPr>
      <w:r>
        <w:rPr>
          <w:rStyle w:val="15"/>
          <w:rFonts w:hint="eastAsia" w:ascii="宋体" w:hAnsi="宋体" w:eastAsia="宋体" w:cs="宋体"/>
          <w:sz w:val="21"/>
          <w:szCs w:val="21"/>
        </w:rPr>
        <w:fldChar w:fldCharType="begin"/>
      </w:r>
      <w:r>
        <w:rPr>
          <w:rStyle w:val="15"/>
          <w:rFonts w:hint="eastAsia" w:ascii="宋体" w:hAnsi="宋体" w:eastAsia="宋体" w:cs="宋体"/>
          <w:sz w:val="21"/>
          <w:szCs w:val="21"/>
        </w:rPr>
        <w:instrText xml:space="preserve"> </w:instrText>
      </w:r>
      <w:r>
        <w:rPr>
          <w:rFonts w:hint="eastAsia" w:ascii="宋体" w:hAnsi="宋体" w:eastAsia="宋体" w:cs="宋体"/>
          <w:sz w:val="21"/>
          <w:szCs w:val="21"/>
        </w:rPr>
        <w:instrText xml:space="preserve">HYPERLINK \l "_Toc164235134"</w:instrText>
      </w:r>
      <w:r>
        <w:rPr>
          <w:rStyle w:val="15"/>
          <w:rFonts w:hint="eastAsia" w:ascii="宋体" w:hAnsi="宋体" w:eastAsia="宋体" w:cs="宋体"/>
          <w:sz w:val="21"/>
          <w:szCs w:val="21"/>
        </w:rPr>
        <w:instrText xml:space="preserve"> </w:instrText>
      </w:r>
      <w:r>
        <w:rPr>
          <w:rStyle w:val="15"/>
          <w:rFonts w:hint="eastAsia" w:ascii="宋体" w:hAnsi="宋体" w:eastAsia="宋体" w:cs="宋体"/>
          <w:sz w:val="21"/>
          <w:szCs w:val="21"/>
        </w:rPr>
        <w:fldChar w:fldCharType="separate"/>
      </w:r>
      <w:r>
        <w:rPr>
          <w:rStyle w:val="15"/>
          <w:rFonts w:hint="eastAsia" w:ascii="宋体" w:hAnsi="宋体" w:eastAsia="宋体" w:cs="宋体"/>
          <w:sz w:val="21"/>
          <w:szCs w:val="21"/>
        </w:rPr>
        <w:t>五、征求意见和分歧处理情况，应说明未采纳意见依据以及同意见提出人的沟通反馈情况</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_Toc164235134 \h </w:instrText>
      </w:r>
      <w:r>
        <w:rPr>
          <w:rFonts w:hint="eastAsia" w:ascii="宋体" w:hAnsi="宋体" w:eastAsia="宋体" w:cs="宋体"/>
          <w:sz w:val="21"/>
          <w:szCs w:val="21"/>
        </w:rPr>
        <w:fldChar w:fldCharType="separate"/>
      </w:r>
      <w:r>
        <w:rPr>
          <w:rFonts w:hint="eastAsia" w:ascii="宋体" w:hAnsi="宋体" w:eastAsia="宋体" w:cs="宋体"/>
          <w:sz w:val="21"/>
          <w:szCs w:val="21"/>
        </w:rPr>
        <w:t>11</w:t>
      </w:r>
      <w:r>
        <w:rPr>
          <w:rFonts w:hint="eastAsia" w:ascii="宋体" w:hAnsi="宋体" w:eastAsia="宋体" w:cs="宋体"/>
          <w:sz w:val="21"/>
          <w:szCs w:val="21"/>
        </w:rPr>
        <w:fldChar w:fldCharType="end"/>
      </w:r>
      <w:r>
        <w:rPr>
          <w:rStyle w:val="15"/>
          <w:rFonts w:hint="eastAsia" w:ascii="宋体" w:hAnsi="宋体" w:eastAsia="宋体" w:cs="宋体"/>
          <w:sz w:val="21"/>
          <w:szCs w:val="21"/>
        </w:rPr>
        <w:fldChar w:fldCharType="end"/>
      </w:r>
    </w:p>
    <w:p>
      <w:pPr>
        <w:pStyle w:val="8"/>
        <w:tabs>
          <w:tab w:val="right" w:leader="dot" w:pos="8948"/>
        </w:tabs>
        <w:spacing w:line="360" w:lineRule="auto"/>
        <w:rPr>
          <w:rFonts w:hint="eastAsia" w:ascii="宋体" w:hAnsi="宋体" w:eastAsia="宋体" w:cs="宋体"/>
          <w:sz w:val="21"/>
          <w:szCs w:val="21"/>
        </w:rPr>
      </w:pPr>
      <w:r>
        <w:rPr>
          <w:rStyle w:val="15"/>
          <w:rFonts w:hint="eastAsia" w:ascii="宋体" w:hAnsi="宋体" w:eastAsia="宋体" w:cs="宋体"/>
          <w:sz w:val="21"/>
          <w:szCs w:val="21"/>
        </w:rPr>
        <w:fldChar w:fldCharType="begin"/>
      </w:r>
      <w:r>
        <w:rPr>
          <w:rStyle w:val="15"/>
          <w:rFonts w:hint="eastAsia" w:ascii="宋体" w:hAnsi="宋体" w:eastAsia="宋体" w:cs="宋体"/>
          <w:sz w:val="21"/>
          <w:szCs w:val="21"/>
        </w:rPr>
        <w:instrText xml:space="preserve"> </w:instrText>
      </w:r>
      <w:r>
        <w:rPr>
          <w:rFonts w:hint="eastAsia" w:ascii="宋体" w:hAnsi="宋体" w:eastAsia="宋体" w:cs="宋体"/>
          <w:sz w:val="21"/>
          <w:szCs w:val="21"/>
        </w:rPr>
        <w:instrText xml:space="preserve">HYPERLINK \l "_Toc164235135"</w:instrText>
      </w:r>
      <w:r>
        <w:rPr>
          <w:rStyle w:val="15"/>
          <w:rFonts w:hint="eastAsia" w:ascii="宋体" w:hAnsi="宋体" w:eastAsia="宋体" w:cs="宋体"/>
          <w:sz w:val="21"/>
          <w:szCs w:val="21"/>
        </w:rPr>
        <w:instrText xml:space="preserve"> </w:instrText>
      </w:r>
      <w:r>
        <w:rPr>
          <w:rStyle w:val="15"/>
          <w:rFonts w:hint="eastAsia" w:ascii="宋体" w:hAnsi="宋体" w:eastAsia="宋体" w:cs="宋体"/>
          <w:sz w:val="21"/>
          <w:szCs w:val="21"/>
        </w:rPr>
        <w:fldChar w:fldCharType="separate"/>
      </w:r>
      <w:r>
        <w:rPr>
          <w:rStyle w:val="15"/>
          <w:rFonts w:hint="eastAsia" w:ascii="宋体" w:hAnsi="宋体" w:eastAsia="宋体" w:cs="宋体"/>
          <w:sz w:val="21"/>
          <w:szCs w:val="21"/>
        </w:rPr>
        <w:t>六、推动标准实施的措施建议</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_Toc164235135 \h </w:instrText>
      </w:r>
      <w:r>
        <w:rPr>
          <w:rFonts w:hint="eastAsia" w:ascii="宋体" w:hAnsi="宋体" w:eastAsia="宋体" w:cs="宋体"/>
          <w:sz w:val="21"/>
          <w:szCs w:val="21"/>
        </w:rPr>
        <w:fldChar w:fldCharType="separate"/>
      </w:r>
      <w:r>
        <w:rPr>
          <w:rFonts w:hint="eastAsia" w:ascii="宋体" w:hAnsi="宋体" w:eastAsia="宋体" w:cs="宋体"/>
          <w:sz w:val="21"/>
          <w:szCs w:val="21"/>
        </w:rPr>
        <w:t>11</w:t>
      </w:r>
      <w:r>
        <w:rPr>
          <w:rFonts w:hint="eastAsia" w:ascii="宋体" w:hAnsi="宋体" w:eastAsia="宋体" w:cs="宋体"/>
          <w:sz w:val="21"/>
          <w:szCs w:val="21"/>
        </w:rPr>
        <w:fldChar w:fldCharType="end"/>
      </w:r>
      <w:r>
        <w:rPr>
          <w:rStyle w:val="15"/>
          <w:rFonts w:hint="eastAsia" w:ascii="宋体" w:hAnsi="宋体" w:eastAsia="宋体" w:cs="宋体"/>
          <w:sz w:val="21"/>
          <w:szCs w:val="21"/>
        </w:rPr>
        <w:fldChar w:fldCharType="end"/>
      </w:r>
    </w:p>
    <w:p>
      <w:pPr>
        <w:pStyle w:val="8"/>
        <w:tabs>
          <w:tab w:val="right" w:leader="dot" w:pos="8948"/>
        </w:tabs>
        <w:spacing w:line="360" w:lineRule="auto"/>
        <w:rPr>
          <w:rFonts w:hint="eastAsia" w:ascii="宋体" w:hAnsi="宋体" w:eastAsia="宋体" w:cs="宋体"/>
          <w:sz w:val="21"/>
          <w:szCs w:val="21"/>
        </w:rPr>
      </w:pPr>
      <w:r>
        <w:rPr>
          <w:rStyle w:val="15"/>
          <w:rFonts w:hint="eastAsia" w:ascii="宋体" w:hAnsi="宋体" w:eastAsia="宋体" w:cs="宋体"/>
          <w:sz w:val="21"/>
          <w:szCs w:val="21"/>
        </w:rPr>
        <w:fldChar w:fldCharType="begin"/>
      </w:r>
      <w:r>
        <w:rPr>
          <w:rStyle w:val="15"/>
          <w:rFonts w:hint="eastAsia" w:ascii="宋体" w:hAnsi="宋体" w:eastAsia="宋体" w:cs="宋体"/>
          <w:sz w:val="21"/>
          <w:szCs w:val="21"/>
        </w:rPr>
        <w:instrText xml:space="preserve"> </w:instrText>
      </w:r>
      <w:r>
        <w:rPr>
          <w:rFonts w:hint="eastAsia" w:ascii="宋体" w:hAnsi="宋体" w:eastAsia="宋体" w:cs="宋体"/>
          <w:sz w:val="21"/>
          <w:szCs w:val="21"/>
        </w:rPr>
        <w:instrText xml:space="preserve">HYPERLINK \l "_Toc164235136"</w:instrText>
      </w:r>
      <w:r>
        <w:rPr>
          <w:rStyle w:val="15"/>
          <w:rFonts w:hint="eastAsia" w:ascii="宋体" w:hAnsi="宋体" w:eastAsia="宋体" w:cs="宋体"/>
          <w:sz w:val="21"/>
          <w:szCs w:val="21"/>
        </w:rPr>
        <w:instrText xml:space="preserve"> </w:instrText>
      </w:r>
      <w:r>
        <w:rPr>
          <w:rStyle w:val="15"/>
          <w:rFonts w:hint="eastAsia" w:ascii="宋体" w:hAnsi="宋体" w:eastAsia="宋体" w:cs="宋体"/>
          <w:sz w:val="21"/>
          <w:szCs w:val="21"/>
        </w:rPr>
        <w:fldChar w:fldCharType="separate"/>
      </w:r>
      <w:r>
        <w:rPr>
          <w:rStyle w:val="15"/>
          <w:rFonts w:hint="eastAsia" w:ascii="宋体" w:hAnsi="宋体" w:eastAsia="宋体" w:cs="宋体"/>
          <w:sz w:val="21"/>
          <w:szCs w:val="21"/>
        </w:rPr>
        <w:t>七、拟作为强制性地方标准的须写明明确的法律法规依据</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_Toc164235136 \h </w:instrText>
      </w:r>
      <w:r>
        <w:rPr>
          <w:rFonts w:hint="eastAsia" w:ascii="宋体" w:hAnsi="宋体" w:eastAsia="宋体" w:cs="宋体"/>
          <w:sz w:val="21"/>
          <w:szCs w:val="21"/>
        </w:rPr>
        <w:fldChar w:fldCharType="separate"/>
      </w:r>
      <w:r>
        <w:rPr>
          <w:rFonts w:hint="eastAsia" w:ascii="宋体" w:hAnsi="宋体" w:eastAsia="宋体" w:cs="宋体"/>
          <w:sz w:val="21"/>
          <w:szCs w:val="21"/>
        </w:rPr>
        <w:t>12</w:t>
      </w:r>
      <w:r>
        <w:rPr>
          <w:rFonts w:hint="eastAsia" w:ascii="宋体" w:hAnsi="宋体" w:eastAsia="宋体" w:cs="宋体"/>
          <w:sz w:val="21"/>
          <w:szCs w:val="21"/>
        </w:rPr>
        <w:fldChar w:fldCharType="end"/>
      </w:r>
      <w:r>
        <w:rPr>
          <w:rStyle w:val="15"/>
          <w:rFonts w:hint="eastAsia" w:ascii="宋体" w:hAnsi="宋体" w:eastAsia="宋体" w:cs="宋体"/>
          <w:sz w:val="21"/>
          <w:szCs w:val="21"/>
        </w:rPr>
        <w:fldChar w:fldCharType="end"/>
      </w:r>
    </w:p>
    <w:p>
      <w:pPr>
        <w:pStyle w:val="8"/>
        <w:tabs>
          <w:tab w:val="right" w:leader="dot" w:pos="8948"/>
        </w:tabs>
        <w:spacing w:line="360" w:lineRule="auto"/>
        <w:rPr>
          <w:rFonts w:ascii="黑体" w:hAnsi="黑体" w:eastAsia="黑体"/>
        </w:rPr>
      </w:pPr>
      <w:r>
        <w:rPr>
          <w:rStyle w:val="15"/>
          <w:rFonts w:hint="eastAsia" w:ascii="宋体" w:hAnsi="宋体" w:eastAsia="宋体" w:cs="宋体"/>
          <w:sz w:val="21"/>
          <w:szCs w:val="21"/>
        </w:rPr>
        <w:fldChar w:fldCharType="begin"/>
      </w:r>
      <w:r>
        <w:rPr>
          <w:rStyle w:val="15"/>
          <w:rFonts w:hint="eastAsia" w:ascii="宋体" w:hAnsi="宋体" w:eastAsia="宋体" w:cs="宋体"/>
          <w:sz w:val="21"/>
          <w:szCs w:val="21"/>
        </w:rPr>
        <w:instrText xml:space="preserve"> </w:instrText>
      </w:r>
      <w:r>
        <w:rPr>
          <w:rFonts w:hint="eastAsia" w:ascii="宋体" w:hAnsi="宋体" w:eastAsia="宋体" w:cs="宋体"/>
          <w:sz w:val="21"/>
          <w:szCs w:val="21"/>
        </w:rPr>
        <w:instrText xml:space="preserve">HYPERLINK \l "_Toc164235137"</w:instrText>
      </w:r>
      <w:r>
        <w:rPr>
          <w:rStyle w:val="15"/>
          <w:rFonts w:hint="eastAsia" w:ascii="宋体" w:hAnsi="宋体" w:eastAsia="宋体" w:cs="宋体"/>
          <w:sz w:val="21"/>
          <w:szCs w:val="21"/>
        </w:rPr>
        <w:instrText xml:space="preserve"> </w:instrText>
      </w:r>
      <w:r>
        <w:rPr>
          <w:rStyle w:val="15"/>
          <w:rFonts w:hint="eastAsia" w:ascii="宋体" w:hAnsi="宋体" w:eastAsia="宋体" w:cs="宋体"/>
          <w:sz w:val="21"/>
          <w:szCs w:val="21"/>
        </w:rPr>
        <w:fldChar w:fldCharType="separate"/>
      </w:r>
      <w:r>
        <w:rPr>
          <w:rStyle w:val="15"/>
          <w:rFonts w:hint="eastAsia" w:ascii="宋体" w:hAnsi="宋体" w:eastAsia="宋体" w:cs="宋体"/>
          <w:sz w:val="21"/>
          <w:szCs w:val="21"/>
        </w:rPr>
        <w:t>八、其他应说明的事项</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_Toc164235137 \h </w:instrText>
      </w:r>
      <w:r>
        <w:rPr>
          <w:rFonts w:hint="eastAsia" w:ascii="宋体" w:hAnsi="宋体" w:eastAsia="宋体" w:cs="宋体"/>
          <w:sz w:val="21"/>
          <w:szCs w:val="21"/>
        </w:rPr>
        <w:fldChar w:fldCharType="separate"/>
      </w:r>
      <w:r>
        <w:rPr>
          <w:rFonts w:hint="eastAsia" w:ascii="宋体" w:hAnsi="宋体" w:eastAsia="宋体" w:cs="宋体"/>
          <w:sz w:val="21"/>
          <w:szCs w:val="21"/>
        </w:rPr>
        <w:t>12</w:t>
      </w:r>
      <w:r>
        <w:rPr>
          <w:rFonts w:hint="eastAsia" w:ascii="宋体" w:hAnsi="宋体" w:eastAsia="宋体" w:cs="宋体"/>
          <w:sz w:val="21"/>
          <w:szCs w:val="21"/>
        </w:rPr>
        <w:fldChar w:fldCharType="end"/>
      </w:r>
      <w:r>
        <w:rPr>
          <w:rStyle w:val="15"/>
          <w:rFonts w:hint="eastAsia" w:ascii="宋体" w:hAnsi="宋体" w:eastAsia="宋体" w:cs="宋体"/>
          <w:sz w:val="21"/>
          <w:szCs w:val="21"/>
        </w:rPr>
        <w:fldChar w:fldCharType="end"/>
      </w:r>
    </w:p>
    <w:p>
      <w:pPr>
        <w:spacing w:line="360" w:lineRule="auto"/>
      </w:pPr>
      <w:r>
        <w:rPr>
          <w:rFonts w:ascii="黑体" w:hAnsi="黑体" w:eastAsia="黑体"/>
          <w:b/>
          <w:bCs/>
          <w:lang w:val="zh-CN"/>
        </w:rPr>
        <w:fldChar w:fldCharType="end"/>
      </w:r>
    </w:p>
    <w:p>
      <w:pPr>
        <w:spacing w:before="312" w:beforeLines="100" w:after="312" w:afterLines="100" w:line="360" w:lineRule="auto"/>
        <w:jc w:val="center"/>
        <w:rPr>
          <w:rFonts w:ascii="Times New Roman" w:eastAsia="方正小标宋简体" w:cs="方正小标宋简体"/>
          <w:kern w:val="2"/>
          <w:sz w:val="32"/>
          <w:szCs w:val="32"/>
        </w:rPr>
        <w:sectPr>
          <w:footerReference r:id="rId3" w:type="default"/>
          <w:pgSz w:w="11906" w:h="16838"/>
          <w:pgMar w:top="1440" w:right="1474" w:bottom="1440" w:left="1474" w:header="851" w:footer="992" w:gutter="0"/>
          <w:pgNumType w:start="1"/>
          <w:cols w:space="720" w:num="1"/>
          <w:docGrid w:type="lines" w:linePitch="312" w:charSpace="0"/>
        </w:sectPr>
      </w:pPr>
    </w:p>
    <w:p>
      <w:pPr>
        <w:spacing w:before="312" w:beforeLines="100" w:after="312" w:afterLines="100" w:line="360" w:lineRule="auto"/>
        <w:jc w:val="center"/>
        <w:rPr>
          <w:rFonts w:hint="eastAsia" w:ascii="Times New Roman" w:eastAsia="方正小标宋简体" w:cs="方正小标宋简体"/>
          <w:kern w:val="2"/>
          <w:sz w:val="32"/>
          <w:szCs w:val="32"/>
        </w:rPr>
      </w:pPr>
    </w:p>
    <w:p>
      <w:pPr>
        <w:spacing w:before="312" w:beforeLines="100" w:after="312" w:afterLines="100" w:line="360" w:lineRule="auto"/>
        <w:jc w:val="center"/>
        <w:rPr>
          <w:rFonts w:hint="eastAsia" w:ascii="黑体" w:hAnsi="黑体" w:eastAsia="黑体" w:cs="黑体"/>
          <w:kern w:val="2"/>
          <w:sz w:val="32"/>
          <w:szCs w:val="32"/>
        </w:rPr>
      </w:pPr>
      <w:r>
        <w:rPr>
          <w:rFonts w:ascii="Times New Roman" w:eastAsia="方正小标宋简体" w:cs="方正小标宋简体"/>
          <w:kern w:val="2"/>
          <w:sz w:val="32"/>
          <w:szCs w:val="32"/>
        </w:rPr>
        <w:br w:type="page"/>
      </w:r>
      <w:r>
        <w:rPr>
          <w:rFonts w:hint="eastAsia" w:ascii="黑体" w:hAnsi="黑体" w:eastAsia="黑体" w:cs="黑体"/>
          <w:kern w:val="2"/>
          <w:sz w:val="32"/>
          <w:szCs w:val="32"/>
        </w:rPr>
        <w:t>《预防接种门诊疫苗自动储存与分发系统的基本功能规范》编制说明</w:t>
      </w:r>
    </w:p>
    <w:p>
      <w:pPr>
        <w:pStyle w:val="2"/>
        <w:spacing w:line="360" w:lineRule="auto"/>
        <w:rPr>
          <w:rFonts w:hint="eastAsia" w:ascii="黑体" w:eastAsia="黑体"/>
          <w:sz w:val="32"/>
          <w:szCs w:val="28"/>
        </w:rPr>
      </w:pPr>
      <w:bookmarkStart w:id="2" w:name="_Toc164235119"/>
      <w:r>
        <w:rPr>
          <w:rFonts w:hint="eastAsia" w:ascii="黑体" w:eastAsia="黑体"/>
          <w:sz w:val="21"/>
          <w:szCs w:val="21"/>
          <w:lang w:val="en-US" w:eastAsia="zh-CN"/>
        </w:rPr>
        <w:t>一、</w:t>
      </w:r>
      <w:r>
        <w:rPr>
          <w:rFonts w:hint="eastAsia" w:ascii="黑体" w:eastAsia="黑体"/>
          <w:sz w:val="21"/>
          <w:szCs w:val="21"/>
        </w:rPr>
        <w:t>工作简介</w:t>
      </w:r>
      <w:bookmarkEnd w:id="2"/>
    </w:p>
    <w:p>
      <w:pPr>
        <w:pStyle w:val="2"/>
        <w:spacing w:line="360" w:lineRule="auto"/>
        <w:rPr>
          <w:rFonts w:hint="eastAsia" w:ascii="黑体" w:hAnsi="Times New Roman" w:eastAsia="黑体" w:cs="Times New Roman"/>
          <w:b/>
          <w:bCs/>
          <w:sz w:val="21"/>
          <w:szCs w:val="21"/>
        </w:rPr>
      </w:pPr>
      <w:bookmarkStart w:id="3" w:name="_Toc164235120"/>
      <w:r>
        <w:rPr>
          <w:rFonts w:hint="eastAsia" w:ascii="黑体" w:hAnsi="Times New Roman" w:eastAsia="黑体" w:cs="Times New Roman"/>
          <w:b/>
          <w:bCs/>
          <w:sz w:val="21"/>
          <w:szCs w:val="21"/>
          <w:lang w:val="en-US" w:eastAsia="zh-CN"/>
        </w:rPr>
        <w:t>1</w:t>
      </w:r>
      <w:r>
        <w:rPr>
          <w:rFonts w:hint="eastAsia" w:ascii="黑体" w:hAnsi="Times New Roman" w:eastAsia="黑体" w:cs="Times New Roman"/>
          <w:b/>
          <w:bCs/>
          <w:sz w:val="21"/>
          <w:szCs w:val="21"/>
        </w:rPr>
        <w:t>任务来源</w:t>
      </w:r>
      <w:bookmarkEnd w:id="3"/>
    </w:p>
    <w:p>
      <w:pPr>
        <w:spacing w:line="360" w:lineRule="auto"/>
        <w:ind w:firstLine="315" w:firstLineChars="150"/>
        <w:rPr>
          <w:rFonts w:hint="eastAsia" w:ascii="宋体" w:hAnsi="宋体" w:eastAsia="宋体" w:cs="宋体"/>
          <w:sz w:val="21"/>
          <w:szCs w:val="21"/>
        </w:rPr>
      </w:pPr>
      <w:r>
        <w:rPr>
          <w:rFonts w:hint="eastAsia" w:ascii="宋体" w:hAnsi="宋体" w:eastAsia="宋体" w:cs="宋体"/>
          <w:sz w:val="21"/>
          <w:szCs w:val="21"/>
        </w:rPr>
        <w:t>本标准按照辽宁省市场监督管理局下达的2023年度辽宁省地方标准制修订项目立项计划制定，项目编号2023273，由辽宁省卫生健康委</w:t>
      </w:r>
      <w:r>
        <w:rPr>
          <w:rFonts w:hint="eastAsia" w:ascii="宋体" w:hAnsi="宋体" w:eastAsia="宋体" w:cs="宋体"/>
          <w:sz w:val="21"/>
          <w:szCs w:val="21"/>
          <w:lang w:val="en-US" w:eastAsia="zh-CN"/>
        </w:rPr>
        <w:t>员会</w:t>
      </w:r>
      <w:r>
        <w:rPr>
          <w:rFonts w:hint="eastAsia" w:ascii="宋体" w:hAnsi="宋体" w:eastAsia="宋体" w:cs="宋体"/>
          <w:sz w:val="21"/>
          <w:szCs w:val="21"/>
        </w:rPr>
        <w:t>提出并归口，任务来源明确。</w:t>
      </w:r>
    </w:p>
    <w:p>
      <w:pPr>
        <w:pStyle w:val="2"/>
        <w:spacing w:line="360" w:lineRule="auto"/>
        <w:rPr>
          <w:rFonts w:hint="eastAsia" w:ascii="黑体" w:hAnsi="Times New Roman" w:eastAsia="黑体" w:cs="Times New Roman"/>
          <w:b/>
          <w:bCs/>
          <w:sz w:val="21"/>
          <w:szCs w:val="21"/>
          <w:lang w:val="en-US" w:eastAsia="zh-CN"/>
        </w:rPr>
      </w:pPr>
      <w:bookmarkStart w:id="4" w:name="_Toc164235121"/>
      <w:r>
        <w:rPr>
          <w:rFonts w:hint="eastAsia" w:ascii="黑体" w:hAnsi="Times New Roman" w:eastAsia="黑体" w:cs="Times New Roman"/>
          <w:b/>
          <w:bCs/>
          <w:sz w:val="21"/>
          <w:szCs w:val="21"/>
          <w:lang w:val="en-US" w:eastAsia="zh-CN"/>
        </w:rPr>
        <w:t>2 制定标准的必要性和意义</w:t>
      </w:r>
      <w:bookmarkEnd w:id="4"/>
    </w:p>
    <w:p>
      <w:pPr>
        <w:spacing w:line="360" w:lineRule="auto"/>
        <w:rPr>
          <w:rFonts w:hint="eastAsia" w:ascii="黑体" w:hAnsi="Times New Roman" w:eastAsia="黑体" w:cs="Times New Roman"/>
          <w:b/>
          <w:bCs/>
          <w:kern w:val="44"/>
          <w:sz w:val="21"/>
          <w:szCs w:val="21"/>
          <w:lang w:val="en-US" w:eastAsia="zh-CN" w:bidi="ar-SA"/>
        </w:rPr>
      </w:pPr>
      <w:r>
        <w:rPr>
          <w:rFonts w:hint="eastAsia" w:ascii="黑体" w:hAnsi="Times New Roman" w:eastAsia="黑体" w:cs="Times New Roman"/>
          <w:b/>
          <w:bCs/>
          <w:kern w:val="44"/>
          <w:sz w:val="21"/>
          <w:szCs w:val="21"/>
          <w:lang w:val="en-US" w:eastAsia="zh-CN" w:bidi="ar-SA"/>
        </w:rPr>
        <w:t>2.1必要性</w:t>
      </w:r>
    </w:p>
    <w:p>
      <w:pPr>
        <w:spacing w:line="360" w:lineRule="auto"/>
        <w:ind w:firstLine="315" w:firstLineChars="150"/>
        <w:rPr>
          <w:rFonts w:hint="eastAsia" w:ascii="宋体" w:hAnsi="宋体" w:eastAsia="宋体" w:cs="宋体"/>
          <w:sz w:val="21"/>
          <w:szCs w:val="21"/>
        </w:rPr>
      </w:pPr>
      <w:r>
        <w:rPr>
          <w:rFonts w:hint="eastAsia" w:ascii="宋体" w:hAnsi="宋体" w:eastAsia="宋体" w:cs="宋体"/>
          <w:sz w:val="21"/>
          <w:szCs w:val="21"/>
        </w:rPr>
        <w:t>《中华人民共和国疫苗管理法》第三十七条明确规定“疾病预防控制机构、接种单位、疫苗上市许可持有人、疫苗配送单位应当遵守疫苗储存、运输管理规范，保证疫苗质量。疫苗在储存、运输全过程中应当处于规定的温度环境，冷链储存、运输应当符合要求，并定时监测、记录温度。疫苗储存、运输管理规范由国务院药品监督管理部门、国务院卫生健康主管部门共同制定。”以上明确规定了疫苗在储存、运输环节应当处于规定的温度环境，同时《中华人民共和国疫苗管理法》第四十六条明确规定“医疗卫生人员应当按照国务院卫生健康主管部门的规定，真实、准确、完整记录疫苗的品种、上市许可持有人、最小包装单位的识别信息、有效期、接种时间、实施接种的医疗卫生人员、受种者等接种信息，确保接种信息可追溯、可查询。接种记录应当保存至疫苗有效期满后不少于五年备查。”以上明确规定了接种医疗卫生人员需要记录的相关信息</w:t>
      </w:r>
      <w:r>
        <w:rPr>
          <w:rFonts w:hint="eastAsia" w:ascii="宋体" w:hAnsi="宋体" w:eastAsia="宋体" w:cs="宋体"/>
          <w:sz w:val="21"/>
          <w:szCs w:val="21"/>
          <w:lang w:eastAsia="zh-CN"/>
        </w:rPr>
        <w:t>。</w:t>
      </w:r>
      <w:r>
        <w:rPr>
          <w:rFonts w:hint="eastAsia" w:ascii="宋体" w:hAnsi="宋体" w:eastAsia="宋体" w:cs="宋体"/>
          <w:sz w:val="21"/>
          <w:szCs w:val="21"/>
        </w:rPr>
        <w:t>为帮助实施疫苗接种的医疗卫生人员科学的监控疫苗存储环境数据，核对并记录疫苗使用过程中的各类信息，提高疫苗入库、发苗、盘点的工作效率和准确性，</w:t>
      </w:r>
      <w:r>
        <w:rPr>
          <w:rFonts w:hint="eastAsia" w:ascii="宋体" w:hAnsi="宋体" w:eastAsia="宋体" w:cs="宋体"/>
          <w:sz w:val="21"/>
          <w:szCs w:val="21"/>
          <w:lang w:val="en-US" w:eastAsia="zh-CN"/>
        </w:rPr>
        <w:t>并</w:t>
      </w:r>
      <w:r>
        <w:rPr>
          <w:rFonts w:hint="eastAsia" w:ascii="宋体" w:hAnsi="宋体" w:eastAsia="宋体" w:cs="宋体"/>
          <w:sz w:val="21"/>
          <w:szCs w:val="21"/>
        </w:rPr>
        <w:t>符合相关法律法规要求，借助智能化的设备辅助人工进行自动发苗，自动储苗，自动盘点，自动记录发苗信息，保障用苗安全，监控储苗环境温度等相关技术和工具手段已经具有显著的必要性。</w:t>
      </w:r>
    </w:p>
    <w:p>
      <w:pPr>
        <w:spacing w:line="360" w:lineRule="auto"/>
        <w:ind w:firstLine="315" w:firstLineChars="150"/>
        <w:rPr>
          <w:rFonts w:hint="eastAsia" w:ascii="宋体" w:hAnsi="宋体" w:eastAsia="宋体" w:cs="宋体"/>
          <w:sz w:val="21"/>
          <w:szCs w:val="21"/>
        </w:rPr>
      </w:pPr>
      <w:r>
        <w:rPr>
          <w:rFonts w:hint="eastAsia" w:ascii="宋体" w:hAnsi="宋体" w:eastAsia="宋体" w:cs="宋体"/>
          <w:sz w:val="21"/>
          <w:szCs w:val="21"/>
        </w:rPr>
        <w:t>当前接种单位所使用的管理模式是统一建设的传统冷藏冰箱低温仓储和工作人员被动的拿取疫苗模式，仅实现疫苗预防接种管理的基本需要，对于疫苗智慧化仓储管理、便民服务等方面涉及很少，基本满足对于基层接种单位疫苗流通管理的要求。近年来已有部分接种单位使用自动发苗接种的预防接种门诊疫苗存储分发自动化系统。为规范相关技术设备基本功能内容，确保上市相关产品设备具备一定的质量水平并达到必要的业务规范性，制定统一的标准势在必行。</w:t>
      </w:r>
    </w:p>
    <w:p>
      <w:pPr>
        <w:spacing w:line="360" w:lineRule="auto"/>
        <w:ind w:firstLine="315" w:firstLineChars="150"/>
        <w:rPr>
          <w:rFonts w:hint="eastAsia" w:ascii="宋体" w:hAnsi="宋体" w:eastAsia="宋体" w:cs="宋体"/>
          <w:sz w:val="21"/>
          <w:szCs w:val="21"/>
        </w:rPr>
      </w:pPr>
      <w:r>
        <w:rPr>
          <w:rFonts w:hint="eastAsia" w:ascii="宋体" w:hAnsi="宋体" w:eastAsia="宋体" w:cs="宋体"/>
          <w:sz w:val="21"/>
          <w:szCs w:val="21"/>
        </w:rPr>
        <w:t>本系统是在疫苗流通信息管理系统基础上，采用互联网+、自动化、大数据、人工智能等先进技术进行建设，着重解决接种单位当前管理和工作上的痛点，对疫苗仓储模式进行流程重塑，提升卫生健康服务水平，使民众能够享有更便捷、安全、透明的全新服务模式。由被动地人工管理转变为主动地数字化协同监管，避免只有出现问题，才能解决问题的低效方式，做到及时发现风险、监控风险，防隐患于未然。</w:t>
      </w:r>
    </w:p>
    <w:p>
      <w:pPr>
        <w:spacing w:line="360" w:lineRule="auto"/>
        <w:rPr>
          <w:rFonts w:hint="eastAsia" w:ascii="黑体" w:hAnsi="Times New Roman" w:eastAsia="黑体" w:cs="Times New Roman"/>
          <w:b/>
          <w:bCs/>
          <w:kern w:val="44"/>
          <w:sz w:val="21"/>
          <w:szCs w:val="21"/>
          <w:lang w:val="en-US" w:eastAsia="zh-CN" w:bidi="ar-SA"/>
        </w:rPr>
      </w:pPr>
      <w:r>
        <w:rPr>
          <w:rFonts w:hint="eastAsia" w:ascii="黑体" w:hAnsi="Times New Roman" w:eastAsia="黑体" w:cs="Times New Roman"/>
          <w:b/>
          <w:bCs/>
          <w:kern w:val="44"/>
          <w:sz w:val="21"/>
          <w:szCs w:val="21"/>
          <w:lang w:val="en-US" w:eastAsia="zh-CN" w:bidi="ar-SA"/>
        </w:rPr>
        <w:t>2.2意义</w:t>
      </w:r>
    </w:p>
    <w:p>
      <w:pPr>
        <w:spacing w:line="360" w:lineRule="auto"/>
        <w:ind w:firstLine="315" w:firstLineChars="150"/>
        <w:rPr>
          <w:rFonts w:hint="eastAsia" w:ascii="宋体" w:hAnsi="宋体" w:eastAsia="宋体" w:cs="宋体"/>
          <w:sz w:val="21"/>
          <w:szCs w:val="21"/>
        </w:rPr>
      </w:pPr>
      <w:r>
        <w:rPr>
          <w:rFonts w:hint="eastAsia" w:ascii="宋体" w:hAnsi="宋体" w:eastAsia="宋体" w:cs="宋体"/>
          <w:sz w:val="21"/>
          <w:szCs w:val="21"/>
        </w:rPr>
        <w:t>本系统上线后将大幅度减轻工作人员的工作强度，减少接种工作中人为差错及接种事故，通过系统控制自动发苗，杜绝用错苗的几率，提高疫苗接种安全性。杜绝疫苗因出入库、搬运、频繁开箱等造成的超温报废现象，降低超温环境对疫苗质量的影响。通过自动化手段，保障疫苗处于稳定的低温环境中，在降低不良反应发生率、提高人群抗体水平方面，都具有积极意义。利用自动化技术手段，降低管理人员工作难度，提升工作环境舒适度，降低工作强度，节省人力资本</w:t>
      </w:r>
      <w:r>
        <w:rPr>
          <w:rFonts w:hint="eastAsia" w:ascii="宋体" w:hAnsi="宋体" w:eastAsia="宋体" w:cs="宋体"/>
          <w:sz w:val="21"/>
          <w:szCs w:val="21"/>
          <w:lang w:eastAsia="zh-CN"/>
        </w:rPr>
        <w:t>，</w:t>
      </w:r>
      <w:r>
        <w:rPr>
          <w:rFonts w:hint="eastAsia" w:ascii="宋体" w:hAnsi="宋体" w:eastAsia="宋体" w:cs="宋体"/>
          <w:sz w:val="21"/>
          <w:szCs w:val="21"/>
        </w:rPr>
        <w:t>提高受种者满意度。满足《中华人民共和国疫苗管理法》规定</w:t>
      </w:r>
      <w:r>
        <w:rPr>
          <w:rFonts w:hint="eastAsia" w:ascii="宋体" w:hAnsi="宋体" w:eastAsia="宋体" w:cs="宋体"/>
          <w:sz w:val="21"/>
          <w:szCs w:val="21"/>
          <w:lang w:val="en-US" w:eastAsia="zh-CN"/>
        </w:rPr>
        <w:t>的</w:t>
      </w:r>
      <w:r>
        <w:rPr>
          <w:rFonts w:hint="eastAsia" w:ascii="宋体" w:hAnsi="宋体" w:eastAsia="宋体" w:cs="宋体"/>
          <w:sz w:val="21"/>
          <w:szCs w:val="21"/>
          <w:lang w:eastAsia="zh-CN"/>
        </w:rPr>
        <w:t>“</w:t>
      </w:r>
      <w:r>
        <w:rPr>
          <w:rFonts w:hint="eastAsia" w:ascii="宋体" w:hAnsi="宋体" w:eastAsia="宋体" w:cs="宋体"/>
          <w:sz w:val="21"/>
          <w:szCs w:val="21"/>
        </w:rPr>
        <w:t>从事疫苗研制、生产、流通和预防接种活动的单位和个人，</w:t>
      </w:r>
      <w:r>
        <w:rPr>
          <w:rFonts w:hint="eastAsia" w:ascii="宋体" w:hAnsi="宋体" w:eastAsia="宋体" w:cs="宋体"/>
          <w:sz w:val="21"/>
          <w:szCs w:val="21"/>
          <w:lang w:val="en-US" w:eastAsia="zh-CN"/>
        </w:rPr>
        <w:t>应当遵守法律、法规、规章、标准和规范，</w:t>
      </w:r>
      <w:r>
        <w:rPr>
          <w:rFonts w:hint="eastAsia" w:ascii="宋体" w:hAnsi="宋体" w:eastAsia="宋体" w:cs="宋体"/>
          <w:sz w:val="21"/>
          <w:szCs w:val="21"/>
        </w:rPr>
        <w:t>保证全过程信息真实、准确、完整和可追溯，依法承担责任，接受社会监督</w:t>
      </w:r>
      <w:r>
        <w:rPr>
          <w:rFonts w:hint="eastAsia" w:ascii="宋体" w:hAnsi="宋体" w:eastAsia="宋体" w:cs="宋体"/>
          <w:sz w:val="21"/>
          <w:szCs w:val="21"/>
          <w:lang w:eastAsia="zh-CN"/>
        </w:rPr>
        <w:t>”</w:t>
      </w:r>
      <w:r>
        <w:rPr>
          <w:rFonts w:hint="eastAsia" w:ascii="宋体" w:hAnsi="宋体" w:eastAsia="宋体" w:cs="宋体"/>
          <w:sz w:val="21"/>
          <w:szCs w:val="21"/>
        </w:rPr>
        <w:t>的法律要求，</w:t>
      </w:r>
      <w:r>
        <w:rPr>
          <w:rFonts w:hint="eastAsia" w:ascii="宋体" w:hAnsi="宋体" w:eastAsia="宋体" w:cs="宋体"/>
          <w:sz w:val="21"/>
          <w:szCs w:val="21"/>
          <w:lang w:val="en-US" w:eastAsia="zh-CN"/>
        </w:rPr>
        <w:t>为</w:t>
      </w:r>
      <w:r>
        <w:rPr>
          <w:rFonts w:hint="eastAsia" w:ascii="宋体" w:hAnsi="宋体" w:eastAsia="宋体" w:cs="宋体"/>
          <w:sz w:val="21"/>
          <w:szCs w:val="21"/>
        </w:rPr>
        <w:t>完善重大疫情防控体制机制，健全公共卫生应急管理体系起到积极的示范作用。</w:t>
      </w:r>
    </w:p>
    <w:p>
      <w:pPr>
        <w:spacing w:line="360" w:lineRule="auto"/>
        <w:ind w:firstLine="315" w:firstLineChars="150"/>
        <w:rPr>
          <w:rFonts w:hint="eastAsia" w:ascii="宋体" w:hAnsi="宋体" w:eastAsia="宋体" w:cs="宋体"/>
          <w:sz w:val="21"/>
          <w:szCs w:val="21"/>
        </w:rPr>
      </w:pPr>
      <w:r>
        <w:rPr>
          <w:rFonts w:hint="eastAsia" w:ascii="宋体" w:hAnsi="宋体" w:eastAsia="宋体" w:cs="宋体"/>
          <w:sz w:val="21"/>
          <w:szCs w:val="21"/>
        </w:rPr>
        <w:t>填补地方标准空白。经查询，在本领域尚未有国家标准和行业标准发布实施，辽宁省内也未有地方标准发布，因此本标准的编制不仅填补了省内空白，也填补了国内在疫苗自动储存与分发领域系统设计标准方面的空白，本标准可以达到国内领先的水平。</w:t>
      </w:r>
    </w:p>
    <w:p>
      <w:pPr>
        <w:pStyle w:val="3"/>
        <w:spacing w:line="360" w:lineRule="auto"/>
        <w:rPr>
          <w:rFonts w:hint="eastAsia" w:ascii="黑体" w:hAnsi="Times New Roman" w:eastAsia="黑体" w:cs="Times New Roman"/>
          <w:b/>
          <w:bCs/>
          <w:kern w:val="44"/>
          <w:sz w:val="21"/>
          <w:szCs w:val="21"/>
          <w:lang w:val="en-US" w:eastAsia="zh-CN" w:bidi="ar-SA"/>
        </w:rPr>
      </w:pPr>
      <w:bookmarkStart w:id="5" w:name="_Toc164235122"/>
      <w:r>
        <w:rPr>
          <w:rFonts w:hint="eastAsia" w:ascii="黑体" w:hAnsi="Times New Roman" w:eastAsia="黑体" w:cs="Times New Roman"/>
          <w:b/>
          <w:bCs/>
          <w:kern w:val="44"/>
          <w:sz w:val="21"/>
          <w:szCs w:val="21"/>
          <w:lang w:val="en-US" w:eastAsia="zh-CN" w:bidi="ar-SA"/>
        </w:rPr>
        <w:t>3.起草单位</w:t>
      </w:r>
      <w:bookmarkEnd w:id="5"/>
    </w:p>
    <w:p>
      <w:pPr>
        <w:spacing w:line="360" w:lineRule="auto"/>
        <w:ind w:firstLine="315" w:firstLineChars="150"/>
        <w:rPr>
          <w:rFonts w:hint="eastAsia" w:ascii="宋体" w:hAnsi="宋体" w:eastAsia="宋体" w:cs="宋体"/>
          <w:sz w:val="21"/>
          <w:szCs w:val="21"/>
        </w:rPr>
      </w:pPr>
      <w:r>
        <w:rPr>
          <w:rFonts w:hint="eastAsia" w:ascii="宋体" w:hAnsi="宋体" w:eastAsia="宋体" w:cs="宋体"/>
          <w:sz w:val="21"/>
          <w:szCs w:val="21"/>
        </w:rPr>
        <w:t>本标准由辽宁省疾病预防控制中心负责牵头起草。</w:t>
      </w:r>
    </w:p>
    <w:p>
      <w:pPr>
        <w:pStyle w:val="3"/>
        <w:spacing w:line="360" w:lineRule="auto"/>
        <w:rPr>
          <w:rFonts w:hint="eastAsia"/>
          <w:b w:val="0"/>
          <w:kern w:val="2"/>
        </w:rPr>
      </w:pPr>
      <w:bookmarkStart w:id="6" w:name="_Toc164235123"/>
      <w:r>
        <w:rPr>
          <w:rFonts w:hint="eastAsia" w:ascii="黑体" w:hAnsi="Times New Roman" w:eastAsia="黑体" w:cs="Times New Roman"/>
          <w:b/>
          <w:bCs/>
          <w:kern w:val="44"/>
          <w:sz w:val="21"/>
          <w:szCs w:val="21"/>
          <w:lang w:val="en-US" w:eastAsia="zh-CN" w:bidi="ar-SA"/>
        </w:rPr>
        <w:t>4.协作单位</w:t>
      </w:r>
      <w:bookmarkEnd w:id="6"/>
    </w:p>
    <w:p>
      <w:pPr>
        <w:spacing w:line="360" w:lineRule="auto"/>
        <w:ind w:firstLine="315" w:firstLineChars="150"/>
        <w:rPr>
          <w:rFonts w:hint="eastAsia" w:ascii="宋体" w:hAnsi="宋体" w:eastAsia="宋体" w:cs="宋体"/>
          <w:sz w:val="21"/>
          <w:szCs w:val="21"/>
        </w:rPr>
      </w:pPr>
      <w:r>
        <w:rPr>
          <w:rFonts w:hint="eastAsia" w:ascii="宋体" w:hAnsi="宋体" w:eastAsia="宋体" w:cs="宋体"/>
          <w:sz w:val="21"/>
          <w:szCs w:val="21"/>
        </w:rPr>
        <w:t>本标准由沈苏科技（苏州）股份有限公司协作编制完成。</w:t>
      </w:r>
    </w:p>
    <w:p>
      <w:pPr>
        <w:pStyle w:val="3"/>
        <w:spacing w:line="360" w:lineRule="auto"/>
        <w:rPr>
          <w:rFonts w:hint="eastAsia" w:ascii="黑体" w:hAnsi="Times New Roman" w:eastAsia="黑体" w:cs="Times New Roman"/>
          <w:b/>
          <w:bCs/>
          <w:kern w:val="44"/>
          <w:sz w:val="21"/>
          <w:szCs w:val="21"/>
          <w:lang w:val="en-US" w:eastAsia="zh-CN" w:bidi="ar-SA"/>
        </w:rPr>
      </w:pPr>
      <w:bookmarkStart w:id="7" w:name="_Toc164235124"/>
      <w:r>
        <w:rPr>
          <w:rFonts w:hint="eastAsia" w:ascii="黑体" w:hAnsi="Times New Roman" w:eastAsia="黑体" w:cs="Times New Roman"/>
          <w:b/>
          <w:bCs/>
          <w:kern w:val="44"/>
          <w:sz w:val="21"/>
          <w:szCs w:val="21"/>
          <w:lang w:val="en-US" w:eastAsia="zh-CN" w:bidi="ar-SA"/>
        </w:rPr>
        <w:t>5.主要起草人及其所做的工作</w:t>
      </w:r>
      <w:bookmarkEnd w:id="7"/>
    </w:p>
    <w:p>
      <w:pPr>
        <w:spacing w:line="360" w:lineRule="auto"/>
        <w:rPr>
          <w:rFonts w:hint="eastAsia"/>
          <w:sz w:val="32"/>
          <w:szCs w:val="32"/>
        </w:rPr>
      </w:pPr>
      <w:r>
        <w:br w:type="page"/>
      </w:r>
    </w:p>
    <w:p>
      <w:pPr>
        <w:spacing w:line="360" w:lineRule="auto"/>
        <w:ind w:firstLine="315" w:firstLineChars="150"/>
        <w:jc w:val="center"/>
        <w:rPr>
          <w:rFonts w:hint="eastAsia" w:ascii="宋体" w:hAnsi="宋体" w:eastAsia="宋体" w:cs="宋体"/>
          <w:sz w:val="21"/>
          <w:szCs w:val="21"/>
        </w:rPr>
      </w:pPr>
      <w:r>
        <w:rPr>
          <w:rFonts w:hint="eastAsia" w:ascii="宋体" w:hAnsi="宋体" w:eastAsia="宋体" w:cs="宋体"/>
          <w:sz w:val="21"/>
          <w:szCs w:val="21"/>
        </w:rPr>
        <w:t>表1  编写小组成员与分工表</w:t>
      </w:r>
    </w:p>
    <w:tbl>
      <w:tblPr>
        <w:tblStyle w:val="10"/>
        <w:tblW w:w="98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8"/>
        <w:gridCol w:w="1134"/>
        <w:gridCol w:w="890"/>
        <w:gridCol w:w="2095"/>
        <w:gridCol w:w="2838"/>
        <w:gridCol w:w="17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1148" w:type="dxa"/>
            <w:noWrap w:val="0"/>
            <w:vAlign w:val="center"/>
          </w:tcPr>
          <w:p>
            <w:pPr>
              <w:spacing w:line="360" w:lineRule="auto"/>
              <w:jc w:val="center"/>
              <w:rPr>
                <w:rFonts w:ascii="仿宋_GB2312" w:eastAsia="仿宋_GB2312"/>
                <w:color w:val="000000"/>
                <w:kern w:val="2"/>
                <w:sz w:val="21"/>
                <w:szCs w:val="21"/>
              </w:rPr>
            </w:pPr>
            <w:r>
              <w:rPr>
                <w:rFonts w:hint="eastAsia" w:ascii="仿宋_GB2312" w:eastAsia="仿宋_GB2312"/>
                <w:color w:val="000000"/>
                <w:kern w:val="2"/>
                <w:sz w:val="21"/>
                <w:szCs w:val="21"/>
              </w:rPr>
              <w:t>姓名</w:t>
            </w:r>
          </w:p>
        </w:tc>
        <w:tc>
          <w:tcPr>
            <w:tcW w:w="1134" w:type="dxa"/>
            <w:noWrap w:val="0"/>
            <w:vAlign w:val="center"/>
          </w:tcPr>
          <w:p>
            <w:pPr>
              <w:spacing w:line="360" w:lineRule="auto"/>
              <w:jc w:val="center"/>
              <w:rPr>
                <w:rFonts w:hint="eastAsia" w:ascii="仿宋_GB2312" w:eastAsia="仿宋_GB2312"/>
                <w:color w:val="000000"/>
                <w:kern w:val="2"/>
                <w:sz w:val="21"/>
                <w:szCs w:val="21"/>
              </w:rPr>
            </w:pPr>
            <w:r>
              <w:rPr>
                <w:rFonts w:hint="eastAsia" w:ascii="仿宋_GB2312" w:eastAsia="仿宋_GB2312"/>
                <w:color w:val="000000"/>
                <w:kern w:val="2"/>
                <w:sz w:val="21"/>
                <w:szCs w:val="21"/>
              </w:rPr>
              <w:t>性别</w:t>
            </w:r>
          </w:p>
        </w:tc>
        <w:tc>
          <w:tcPr>
            <w:tcW w:w="890" w:type="dxa"/>
            <w:noWrap w:val="0"/>
            <w:vAlign w:val="center"/>
          </w:tcPr>
          <w:p>
            <w:pPr>
              <w:spacing w:line="360" w:lineRule="auto"/>
              <w:jc w:val="center"/>
              <w:rPr>
                <w:rFonts w:hint="eastAsia" w:ascii="仿宋_GB2312" w:eastAsia="仿宋_GB2312"/>
                <w:color w:val="000000"/>
                <w:kern w:val="2"/>
                <w:sz w:val="21"/>
                <w:szCs w:val="21"/>
              </w:rPr>
            </w:pPr>
            <w:r>
              <w:rPr>
                <w:rFonts w:hint="eastAsia" w:ascii="仿宋_GB2312" w:eastAsia="仿宋_GB2312"/>
                <w:color w:val="000000"/>
                <w:kern w:val="2"/>
                <w:sz w:val="21"/>
                <w:szCs w:val="21"/>
              </w:rPr>
              <w:t>年龄</w:t>
            </w:r>
          </w:p>
        </w:tc>
        <w:tc>
          <w:tcPr>
            <w:tcW w:w="2095" w:type="dxa"/>
            <w:noWrap w:val="0"/>
            <w:vAlign w:val="center"/>
          </w:tcPr>
          <w:p>
            <w:pPr>
              <w:spacing w:line="360" w:lineRule="auto"/>
              <w:jc w:val="center"/>
              <w:rPr>
                <w:rFonts w:ascii="仿宋_GB2312" w:eastAsia="仿宋_GB2312"/>
                <w:color w:val="000000"/>
                <w:kern w:val="2"/>
                <w:sz w:val="21"/>
                <w:szCs w:val="21"/>
              </w:rPr>
            </w:pPr>
            <w:r>
              <w:rPr>
                <w:rFonts w:hint="eastAsia" w:ascii="仿宋_GB2312" w:eastAsia="仿宋_GB2312"/>
                <w:color w:val="000000"/>
                <w:kern w:val="2"/>
                <w:sz w:val="21"/>
                <w:szCs w:val="21"/>
              </w:rPr>
              <w:t>职务/职称</w:t>
            </w:r>
          </w:p>
        </w:tc>
        <w:tc>
          <w:tcPr>
            <w:tcW w:w="2838" w:type="dxa"/>
            <w:noWrap w:val="0"/>
            <w:vAlign w:val="center"/>
          </w:tcPr>
          <w:p>
            <w:pPr>
              <w:spacing w:line="360" w:lineRule="auto"/>
              <w:ind w:firstLine="420" w:firstLineChars="200"/>
              <w:jc w:val="center"/>
              <w:rPr>
                <w:rFonts w:ascii="仿宋_GB2312" w:eastAsia="仿宋_GB2312"/>
                <w:color w:val="000000"/>
                <w:kern w:val="2"/>
                <w:sz w:val="21"/>
                <w:szCs w:val="21"/>
              </w:rPr>
            </w:pPr>
            <w:r>
              <w:rPr>
                <w:rFonts w:hint="eastAsia" w:ascii="仿宋_GB2312" w:eastAsia="仿宋_GB2312"/>
                <w:color w:val="000000"/>
                <w:kern w:val="2"/>
                <w:sz w:val="21"/>
                <w:szCs w:val="21"/>
              </w:rPr>
              <w:t>工作单位</w:t>
            </w:r>
          </w:p>
        </w:tc>
        <w:tc>
          <w:tcPr>
            <w:tcW w:w="1748" w:type="dxa"/>
            <w:noWrap w:val="0"/>
            <w:vAlign w:val="center"/>
          </w:tcPr>
          <w:p>
            <w:pPr>
              <w:spacing w:line="360" w:lineRule="auto"/>
              <w:jc w:val="center"/>
              <w:rPr>
                <w:rFonts w:ascii="仿宋_GB2312" w:eastAsia="仿宋_GB2312"/>
                <w:color w:val="000000"/>
                <w:kern w:val="2"/>
                <w:sz w:val="21"/>
                <w:szCs w:val="21"/>
              </w:rPr>
            </w:pPr>
            <w:r>
              <w:rPr>
                <w:rFonts w:hint="eastAsia" w:ascii="仿宋_GB2312" w:eastAsia="仿宋_GB2312"/>
                <w:color w:val="000000"/>
                <w:kern w:val="2"/>
                <w:sz w:val="21"/>
                <w:szCs w:val="21"/>
              </w:rPr>
              <w:t>任务分配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1148" w:type="dxa"/>
            <w:noWrap w:val="0"/>
            <w:vAlign w:val="center"/>
          </w:tcPr>
          <w:p>
            <w:pPr>
              <w:spacing w:line="360" w:lineRule="auto"/>
              <w:jc w:val="center"/>
              <w:rPr>
                <w:rFonts w:hint="eastAsia" w:ascii="仿宋_GB2312" w:eastAsia="仿宋_GB2312"/>
                <w:color w:val="000000"/>
                <w:kern w:val="2"/>
                <w:sz w:val="21"/>
                <w:szCs w:val="21"/>
                <w:lang w:val="en-US" w:eastAsia="zh-CN"/>
              </w:rPr>
            </w:pPr>
            <w:r>
              <w:rPr>
                <w:rFonts w:hint="eastAsia" w:ascii="仿宋_GB2312" w:eastAsia="仿宋_GB2312"/>
                <w:color w:val="000000"/>
                <w:kern w:val="2"/>
                <w:sz w:val="21"/>
                <w:szCs w:val="21"/>
                <w:lang w:val="en-US" w:eastAsia="zh-CN"/>
              </w:rPr>
              <w:t>方兴</w:t>
            </w:r>
          </w:p>
        </w:tc>
        <w:tc>
          <w:tcPr>
            <w:tcW w:w="1134" w:type="dxa"/>
            <w:noWrap w:val="0"/>
            <w:vAlign w:val="center"/>
          </w:tcPr>
          <w:p>
            <w:pPr>
              <w:spacing w:line="360" w:lineRule="auto"/>
              <w:jc w:val="center"/>
              <w:rPr>
                <w:rFonts w:hint="eastAsia" w:ascii="仿宋_GB2312" w:eastAsia="仿宋_GB2312"/>
                <w:color w:val="000000"/>
                <w:kern w:val="2"/>
                <w:sz w:val="21"/>
                <w:szCs w:val="21"/>
                <w:lang w:val="en-US" w:eastAsia="zh-CN"/>
              </w:rPr>
            </w:pPr>
            <w:r>
              <w:rPr>
                <w:rFonts w:hint="eastAsia" w:ascii="仿宋_GB2312" w:eastAsia="仿宋_GB2312"/>
                <w:color w:val="000000"/>
                <w:kern w:val="2"/>
                <w:sz w:val="21"/>
                <w:szCs w:val="21"/>
                <w:lang w:val="en-US" w:eastAsia="zh-CN"/>
              </w:rPr>
              <w:t>男</w:t>
            </w:r>
          </w:p>
        </w:tc>
        <w:tc>
          <w:tcPr>
            <w:tcW w:w="890" w:type="dxa"/>
            <w:noWrap w:val="0"/>
            <w:vAlign w:val="center"/>
          </w:tcPr>
          <w:p>
            <w:pPr>
              <w:spacing w:line="360" w:lineRule="auto"/>
              <w:jc w:val="center"/>
              <w:rPr>
                <w:rFonts w:hint="default" w:ascii="仿宋_GB2312" w:eastAsia="仿宋_GB2312"/>
                <w:color w:val="000000"/>
                <w:kern w:val="2"/>
                <w:sz w:val="21"/>
                <w:szCs w:val="21"/>
                <w:lang w:val="en-US" w:eastAsia="zh-CN"/>
              </w:rPr>
            </w:pPr>
            <w:r>
              <w:rPr>
                <w:rFonts w:hint="eastAsia" w:ascii="仿宋_GB2312" w:eastAsia="仿宋_GB2312"/>
                <w:color w:val="000000"/>
                <w:kern w:val="2"/>
                <w:sz w:val="21"/>
                <w:szCs w:val="21"/>
                <w:lang w:val="en-US" w:eastAsia="zh-CN"/>
              </w:rPr>
              <w:t>46</w:t>
            </w:r>
          </w:p>
        </w:tc>
        <w:tc>
          <w:tcPr>
            <w:tcW w:w="2095" w:type="dxa"/>
            <w:noWrap w:val="0"/>
            <w:vAlign w:val="center"/>
          </w:tcPr>
          <w:p>
            <w:pPr>
              <w:spacing w:line="360" w:lineRule="auto"/>
              <w:jc w:val="center"/>
              <w:rPr>
                <w:rFonts w:hint="default" w:ascii="仿宋_GB2312" w:eastAsia="仿宋_GB2312"/>
                <w:color w:val="000000"/>
                <w:kern w:val="2"/>
                <w:sz w:val="21"/>
                <w:szCs w:val="21"/>
                <w:lang w:val="en-US" w:eastAsia="zh-CN"/>
              </w:rPr>
            </w:pPr>
            <w:r>
              <w:rPr>
                <w:rFonts w:hint="eastAsia" w:ascii="仿宋_GB2312" w:eastAsia="仿宋_GB2312"/>
                <w:color w:val="000000"/>
                <w:kern w:val="2"/>
                <w:sz w:val="21"/>
                <w:szCs w:val="21"/>
                <w:lang w:val="en-US" w:eastAsia="zh-CN"/>
              </w:rPr>
              <w:t>所长/主任医师</w:t>
            </w:r>
          </w:p>
        </w:tc>
        <w:tc>
          <w:tcPr>
            <w:tcW w:w="2838" w:type="dxa"/>
            <w:noWrap w:val="0"/>
            <w:vAlign w:val="center"/>
          </w:tcPr>
          <w:p>
            <w:pPr>
              <w:spacing w:line="360" w:lineRule="auto"/>
              <w:jc w:val="center"/>
              <w:rPr>
                <w:rFonts w:hint="default" w:ascii="仿宋_GB2312" w:eastAsia="仿宋_GB2312"/>
                <w:color w:val="000000"/>
                <w:kern w:val="2"/>
                <w:sz w:val="21"/>
                <w:szCs w:val="21"/>
                <w:lang w:val="en-US" w:eastAsia="zh-CN"/>
              </w:rPr>
            </w:pPr>
            <w:r>
              <w:rPr>
                <w:rFonts w:hint="eastAsia" w:ascii="仿宋_GB2312" w:eastAsia="仿宋_GB2312"/>
                <w:color w:val="000000"/>
                <w:kern w:val="2"/>
                <w:sz w:val="21"/>
                <w:szCs w:val="21"/>
                <w:lang w:val="en-US" w:eastAsia="zh-CN"/>
              </w:rPr>
              <w:t>辽宁省疾病预防控制中心</w:t>
            </w:r>
          </w:p>
        </w:tc>
        <w:tc>
          <w:tcPr>
            <w:tcW w:w="1748" w:type="dxa"/>
            <w:noWrap w:val="0"/>
            <w:vAlign w:val="center"/>
          </w:tcPr>
          <w:p>
            <w:pPr>
              <w:spacing w:line="360" w:lineRule="auto"/>
              <w:jc w:val="center"/>
              <w:rPr>
                <w:rFonts w:hint="default" w:ascii="仿宋_GB2312" w:eastAsia="仿宋_GB2312"/>
                <w:color w:val="000000"/>
                <w:kern w:val="2"/>
                <w:sz w:val="21"/>
                <w:szCs w:val="21"/>
                <w:lang w:val="en-US" w:eastAsia="zh-CN"/>
              </w:rPr>
            </w:pPr>
            <w:r>
              <w:rPr>
                <w:rFonts w:hint="eastAsia" w:ascii="仿宋_GB2312" w:eastAsia="仿宋_GB2312"/>
                <w:color w:val="000000"/>
                <w:kern w:val="2"/>
                <w:sz w:val="21"/>
                <w:szCs w:val="21"/>
                <w:lang w:val="en-US" w:eastAsia="zh-CN"/>
              </w:rPr>
              <w:t>业务负责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1148" w:type="dxa"/>
            <w:noWrap w:val="0"/>
            <w:vAlign w:val="center"/>
          </w:tcPr>
          <w:p>
            <w:pPr>
              <w:spacing w:line="360" w:lineRule="auto"/>
              <w:jc w:val="center"/>
              <w:rPr>
                <w:rFonts w:hint="default" w:ascii="仿宋_GB2312" w:eastAsia="仿宋_GB2312"/>
                <w:color w:val="000000"/>
                <w:kern w:val="2"/>
                <w:sz w:val="21"/>
                <w:szCs w:val="21"/>
                <w:lang w:val="en-US" w:eastAsia="zh-CN"/>
              </w:rPr>
            </w:pPr>
            <w:r>
              <w:rPr>
                <w:rFonts w:hint="eastAsia" w:ascii="仿宋_GB2312" w:eastAsia="仿宋_GB2312"/>
                <w:color w:val="000000"/>
                <w:kern w:val="2"/>
                <w:sz w:val="21"/>
                <w:szCs w:val="21"/>
                <w:lang w:val="en-US" w:eastAsia="zh-CN"/>
              </w:rPr>
              <w:t>杨威</w:t>
            </w:r>
          </w:p>
        </w:tc>
        <w:tc>
          <w:tcPr>
            <w:tcW w:w="1134" w:type="dxa"/>
            <w:noWrap w:val="0"/>
            <w:vAlign w:val="center"/>
          </w:tcPr>
          <w:p>
            <w:pPr>
              <w:spacing w:line="360" w:lineRule="auto"/>
              <w:jc w:val="center"/>
              <w:rPr>
                <w:rFonts w:hint="eastAsia" w:ascii="仿宋_GB2312" w:eastAsia="仿宋_GB2312"/>
                <w:color w:val="000000"/>
                <w:kern w:val="2"/>
                <w:sz w:val="21"/>
                <w:szCs w:val="21"/>
                <w:lang w:val="en-US" w:eastAsia="zh-CN"/>
              </w:rPr>
            </w:pPr>
            <w:r>
              <w:rPr>
                <w:rFonts w:hint="eastAsia" w:ascii="仿宋_GB2312" w:eastAsia="仿宋_GB2312"/>
                <w:color w:val="000000"/>
                <w:kern w:val="2"/>
                <w:sz w:val="21"/>
                <w:szCs w:val="21"/>
                <w:lang w:val="en-US" w:eastAsia="zh-CN"/>
              </w:rPr>
              <w:t>男</w:t>
            </w:r>
          </w:p>
        </w:tc>
        <w:tc>
          <w:tcPr>
            <w:tcW w:w="890" w:type="dxa"/>
            <w:noWrap w:val="0"/>
            <w:vAlign w:val="center"/>
          </w:tcPr>
          <w:p>
            <w:pPr>
              <w:spacing w:line="360" w:lineRule="auto"/>
              <w:jc w:val="center"/>
              <w:rPr>
                <w:rFonts w:hint="default" w:ascii="仿宋_GB2312" w:eastAsia="仿宋_GB2312"/>
                <w:color w:val="000000"/>
                <w:kern w:val="2"/>
                <w:sz w:val="21"/>
                <w:szCs w:val="21"/>
                <w:lang w:val="en-US" w:eastAsia="zh-CN"/>
              </w:rPr>
            </w:pPr>
            <w:r>
              <w:rPr>
                <w:rFonts w:hint="eastAsia" w:ascii="仿宋_GB2312" w:eastAsia="仿宋_GB2312"/>
                <w:color w:val="000000"/>
                <w:kern w:val="2"/>
                <w:sz w:val="21"/>
                <w:szCs w:val="21"/>
                <w:lang w:val="en-US" w:eastAsia="zh-CN"/>
              </w:rPr>
              <w:t>55</w:t>
            </w:r>
          </w:p>
        </w:tc>
        <w:tc>
          <w:tcPr>
            <w:tcW w:w="2095" w:type="dxa"/>
            <w:noWrap w:val="0"/>
            <w:vAlign w:val="center"/>
          </w:tcPr>
          <w:p>
            <w:pPr>
              <w:spacing w:line="360" w:lineRule="auto"/>
              <w:jc w:val="center"/>
              <w:rPr>
                <w:rFonts w:hint="eastAsia" w:ascii="仿宋_GB2312" w:eastAsia="仿宋_GB2312"/>
                <w:color w:val="000000"/>
                <w:kern w:val="2"/>
                <w:sz w:val="21"/>
                <w:szCs w:val="21"/>
              </w:rPr>
            </w:pPr>
            <w:r>
              <w:rPr>
                <w:rFonts w:hint="eastAsia" w:ascii="仿宋_GB2312" w:eastAsia="仿宋_GB2312"/>
                <w:color w:val="000000"/>
                <w:kern w:val="2"/>
                <w:sz w:val="21"/>
                <w:szCs w:val="21"/>
              </w:rPr>
              <w:t>总经理/研究员</w:t>
            </w:r>
          </w:p>
        </w:tc>
        <w:tc>
          <w:tcPr>
            <w:tcW w:w="2838" w:type="dxa"/>
            <w:noWrap w:val="0"/>
            <w:vAlign w:val="center"/>
          </w:tcPr>
          <w:p>
            <w:pPr>
              <w:spacing w:line="360" w:lineRule="auto"/>
              <w:jc w:val="center"/>
              <w:rPr>
                <w:rFonts w:hint="eastAsia" w:ascii="仿宋_GB2312" w:eastAsia="仿宋_GB2312"/>
                <w:color w:val="000000"/>
                <w:kern w:val="2"/>
                <w:sz w:val="21"/>
                <w:szCs w:val="21"/>
              </w:rPr>
            </w:pPr>
            <w:r>
              <w:rPr>
                <w:rFonts w:hint="eastAsia" w:ascii="仿宋_GB2312" w:eastAsia="仿宋_GB2312"/>
                <w:color w:val="000000"/>
                <w:kern w:val="2"/>
                <w:sz w:val="21"/>
                <w:szCs w:val="21"/>
              </w:rPr>
              <w:t>沈苏科技（苏州）股份有限公司</w:t>
            </w:r>
          </w:p>
        </w:tc>
        <w:tc>
          <w:tcPr>
            <w:tcW w:w="1748" w:type="dxa"/>
            <w:noWrap w:val="0"/>
            <w:vAlign w:val="center"/>
          </w:tcPr>
          <w:p>
            <w:pPr>
              <w:spacing w:line="360" w:lineRule="auto"/>
              <w:jc w:val="center"/>
              <w:rPr>
                <w:rFonts w:hint="eastAsia" w:ascii="仿宋_GB2312" w:eastAsia="仿宋_GB2312"/>
                <w:color w:val="000000"/>
                <w:kern w:val="2"/>
                <w:sz w:val="21"/>
                <w:szCs w:val="21"/>
              </w:rPr>
            </w:pPr>
            <w:r>
              <w:rPr>
                <w:rFonts w:hint="eastAsia" w:ascii="仿宋_GB2312" w:eastAsia="仿宋_GB2312"/>
                <w:color w:val="000000"/>
                <w:kern w:val="2"/>
                <w:sz w:val="21"/>
                <w:szCs w:val="21"/>
              </w:rPr>
              <w:t>技术负责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1148" w:type="dxa"/>
            <w:noWrap w:val="0"/>
            <w:vAlign w:val="center"/>
          </w:tcPr>
          <w:p>
            <w:pPr>
              <w:spacing w:line="360" w:lineRule="auto"/>
              <w:jc w:val="center"/>
              <w:rPr>
                <w:rFonts w:hint="default" w:ascii="仿宋_GB2312" w:eastAsia="仿宋_GB2312"/>
                <w:color w:val="000000"/>
                <w:kern w:val="2"/>
                <w:sz w:val="21"/>
                <w:szCs w:val="21"/>
                <w:lang w:val="en-US" w:eastAsia="zh-CN"/>
              </w:rPr>
            </w:pPr>
            <w:bookmarkStart w:id="8" w:name="_Toc164235125"/>
            <w:r>
              <w:rPr>
                <w:rFonts w:hint="eastAsia" w:ascii="仿宋_GB2312" w:eastAsia="仿宋_GB2312"/>
                <w:color w:val="000000"/>
                <w:kern w:val="2"/>
                <w:sz w:val="21"/>
                <w:szCs w:val="21"/>
                <w:lang w:val="en-US" w:eastAsia="zh-CN"/>
              </w:rPr>
              <w:t>常琳</w:t>
            </w:r>
          </w:p>
        </w:tc>
        <w:tc>
          <w:tcPr>
            <w:tcW w:w="1134" w:type="dxa"/>
            <w:noWrap w:val="0"/>
            <w:vAlign w:val="center"/>
          </w:tcPr>
          <w:p>
            <w:pPr>
              <w:spacing w:line="360" w:lineRule="auto"/>
              <w:jc w:val="center"/>
              <w:rPr>
                <w:rFonts w:hint="default" w:ascii="仿宋_GB2312" w:eastAsia="仿宋_GB2312"/>
                <w:color w:val="000000"/>
                <w:kern w:val="2"/>
                <w:sz w:val="21"/>
                <w:szCs w:val="21"/>
                <w:lang w:val="en-US" w:eastAsia="zh-CN"/>
              </w:rPr>
            </w:pPr>
            <w:r>
              <w:rPr>
                <w:rFonts w:hint="eastAsia" w:ascii="仿宋_GB2312" w:eastAsia="仿宋_GB2312"/>
                <w:color w:val="000000"/>
                <w:kern w:val="2"/>
                <w:sz w:val="21"/>
                <w:szCs w:val="21"/>
                <w:lang w:val="en-US" w:eastAsia="zh-CN"/>
              </w:rPr>
              <w:t>女</w:t>
            </w:r>
          </w:p>
        </w:tc>
        <w:tc>
          <w:tcPr>
            <w:tcW w:w="890" w:type="dxa"/>
            <w:noWrap w:val="0"/>
            <w:vAlign w:val="center"/>
          </w:tcPr>
          <w:p>
            <w:pPr>
              <w:spacing w:line="360" w:lineRule="auto"/>
              <w:jc w:val="center"/>
              <w:rPr>
                <w:rFonts w:hint="default" w:ascii="仿宋_GB2312" w:eastAsia="仿宋_GB2312"/>
                <w:color w:val="000000"/>
                <w:kern w:val="2"/>
                <w:sz w:val="21"/>
                <w:szCs w:val="21"/>
                <w:lang w:val="en-US" w:eastAsia="zh-CN"/>
              </w:rPr>
            </w:pPr>
            <w:r>
              <w:rPr>
                <w:rFonts w:hint="eastAsia" w:ascii="仿宋_GB2312" w:eastAsia="仿宋_GB2312"/>
                <w:color w:val="000000"/>
                <w:kern w:val="2"/>
                <w:sz w:val="21"/>
                <w:szCs w:val="21"/>
                <w:lang w:val="en-US" w:eastAsia="zh-CN"/>
              </w:rPr>
              <w:t>44</w:t>
            </w:r>
          </w:p>
        </w:tc>
        <w:tc>
          <w:tcPr>
            <w:tcW w:w="2095" w:type="dxa"/>
            <w:noWrap w:val="0"/>
            <w:vAlign w:val="center"/>
          </w:tcPr>
          <w:p>
            <w:pPr>
              <w:spacing w:line="360" w:lineRule="auto"/>
              <w:jc w:val="center"/>
              <w:rPr>
                <w:rFonts w:hint="eastAsia" w:ascii="仿宋_GB2312" w:eastAsia="仿宋_GB2312"/>
                <w:color w:val="000000"/>
                <w:kern w:val="2"/>
                <w:sz w:val="21"/>
                <w:szCs w:val="21"/>
                <w:lang w:val="en-US" w:eastAsia="zh-CN"/>
              </w:rPr>
            </w:pPr>
            <w:r>
              <w:rPr>
                <w:rFonts w:hint="eastAsia" w:ascii="仿宋_GB2312" w:eastAsia="仿宋_GB2312"/>
                <w:color w:val="000000"/>
                <w:kern w:val="2"/>
                <w:sz w:val="21"/>
                <w:szCs w:val="21"/>
                <w:lang w:val="en-US" w:eastAsia="zh-CN"/>
              </w:rPr>
              <w:t>主任医师</w:t>
            </w:r>
          </w:p>
        </w:tc>
        <w:tc>
          <w:tcPr>
            <w:tcW w:w="2838" w:type="dxa"/>
            <w:noWrap w:val="0"/>
            <w:vAlign w:val="center"/>
          </w:tcPr>
          <w:p>
            <w:pPr>
              <w:spacing w:line="360" w:lineRule="auto"/>
              <w:jc w:val="center"/>
              <w:rPr>
                <w:rFonts w:hint="eastAsia" w:ascii="仿宋_GB2312" w:eastAsia="仿宋_GB2312"/>
                <w:color w:val="000000"/>
                <w:kern w:val="2"/>
                <w:sz w:val="21"/>
                <w:szCs w:val="21"/>
              </w:rPr>
            </w:pPr>
            <w:r>
              <w:rPr>
                <w:rFonts w:hint="eastAsia" w:ascii="仿宋_GB2312" w:eastAsia="仿宋_GB2312"/>
                <w:color w:val="000000"/>
                <w:kern w:val="2"/>
                <w:sz w:val="21"/>
                <w:szCs w:val="21"/>
                <w:lang w:val="en-US" w:eastAsia="zh-CN"/>
              </w:rPr>
              <w:t>辽宁省疾病预防控制中心</w:t>
            </w:r>
          </w:p>
        </w:tc>
        <w:tc>
          <w:tcPr>
            <w:tcW w:w="1748" w:type="dxa"/>
            <w:noWrap w:val="0"/>
            <w:vAlign w:val="center"/>
          </w:tcPr>
          <w:p>
            <w:pPr>
              <w:spacing w:line="360" w:lineRule="auto"/>
              <w:jc w:val="center"/>
              <w:rPr>
                <w:rFonts w:hint="default" w:ascii="仿宋_GB2312" w:eastAsia="仿宋_GB2312"/>
                <w:color w:val="000000"/>
                <w:kern w:val="2"/>
                <w:sz w:val="21"/>
                <w:szCs w:val="21"/>
                <w:lang w:val="en-US" w:eastAsia="zh-CN"/>
              </w:rPr>
            </w:pPr>
            <w:r>
              <w:rPr>
                <w:rFonts w:hint="eastAsia" w:ascii="仿宋_GB2312" w:eastAsia="仿宋_GB2312"/>
                <w:color w:val="000000"/>
                <w:kern w:val="2"/>
                <w:sz w:val="21"/>
                <w:szCs w:val="21"/>
                <w:lang w:val="en-US" w:eastAsia="zh-CN"/>
              </w:rPr>
              <w:t>业务分析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1148" w:type="dxa"/>
            <w:noWrap w:val="0"/>
            <w:vAlign w:val="center"/>
          </w:tcPr>
          <w:p>
            <w:pPr>
              <w:spacing w:line="360" w:lineRule="auto"/>
              <w:jc w:val="center"/>
              <w:rPr>
                <w:rFonts w:hint="default" w:ascii="仿宋_GB2312" w:eastAsia="仿宋_GB2312"/>
                <w:color w:val="000000"/>
                <w:kern w:val="2"/>
                <w:sz w:val="21"/>
                <w:szCs w:val="21"/>
                <w:lang w:val="en-US" w:eastAsia="zh-CN"/>
              </w:rPr>
            </w:pPr>
            <w:r>
              <w:rPr>
                <w:rFonts w:hint="eastAsia" w:ascii="仿宋_GB2312" w:eastAsia="仿宋_GB2312"/>
                <w:color w:val="000000"/>
                <w:kern w:val="2"/>
                <w:sz w:val="21"/>
                <w:szCs w:val="21"/>
                <w:lang w:val="en-US" w:eastAsia="zh-CN"/>
              </w:rPr>
              <w:t>费思平</w:t>
            </w:r>
          </w:p>
        </w:tc>
        <w:tc>
          <w:tcPr>
            <w:tcW w:w="1134" w:type="dxa"/>
            <w:noWrap w:val="0"/>
            <w:vAlign w:val="center"/>
          </w:tcPr>
          <w:p>
            <w:pPr>
              <w:spacing w:line="360" w:lineRule="auto"/>
              <w:jc w:val="center"/>
              <w:rPr>
                <w:rFonts w:hint="default" w:ascii="仿宋_GB2312" w:eastAsia="仿宋_GB2312"/>
                <w:color w:val="000000"/>
                <w:kern w:val="2"/>
                <w:sz w:val="21"/>
                <w:szCs w:val="21"/>
                <w:lang w:val="en-US" w:eastAsia="zh-CN"/>
              </w:rPr>
            </w:pPr>
            <w:r>
              <w:rPr>
                <w:rFonts w:hint="eastAsia" w:ascii="仿宋_GB2312" w:eastAsia="仿宋_GB2312"/>
                <w:color w:val="000000"/>
                <w:kern w:val="2"/>
                <w:sz w:val="21"/>
                <w:szCs w:val="21"/>
                <w:lang w:val="en-US" w:eastAsia="zh-CN"/>
              </w:rPr>
              <w:t>男</w:t>
            </w:r>
          </w:p>
        </w:tc>
        <w:tc>
          <w:tcPr>
            <w:tcW w:w="890" w:type="dxa"/>
            <w:noWrap w:val="0"/>
            <w:vAlign w:val="center"/>
          </w:tcPr>
          <w:p>
            <w:pPr>
              <w:spacing w:line="360" w:lineRule="auto"/>
              <w:jc w:val="center"/>
              <w:rPr>
                <w:rFonts w:hint="default" w:ascii="仿宋_GB2312" w:eastAsia="仿宋_GB2312"/>
                <w:color w:val="000000"/>
                <w:kern w:val="2"/>
                <w:sz w:val="21"/>
                <w:szCs w:val="21"/>
                <w:lang w:val="en-US" w:eastAsia="zh-CN"/>
              </w:rPr>
            </w:pPr>
            <w:r>
              <w:rPr>
                <w:rFonts w:hint="eastAsia" w:ascii="仿宋_GB2312" w:eastAsia="仿宋_GB2312"/>
                <w:color w:val="000000"/>
                <w:kern w:val="2"/>
                <w:sz w:val="21"/>
                <w:szCs w:val="21"/>
                <w:lang w:val="en-US" w:eastAsia="zh-CN"/>
              </w:rPr>
              <w:t>42</w:t>
            </w:r>
          </w:p>
        </w:tc>
        <w:tc>
          <w:tcPr>
            <w:tcW w:w="2095" w:type="dxa"/>
            <w:noWrap w:val="0"/>
            <w:vAlign w:val="center"/>
          </w:tcPr>
          <w:p>
            <w:pPr>
              <w:spacing w:line="360" w:lineRule="auto"/>
              <w:jc w:val="center"/>
              <w:rPr>
                <w:rFonts w:hint="default" w:ascii="仿宋_GB2312" w:eastAsia="仿宋_GB2312"/>
                <w:color w:val="000000"/>
                <w:kern w:val="2"/>
                <w:sz w:val="21"/>
                <w:szCs w:val="21"/>
                <w:lang w:val="en-US" w:eastAsia="zh-CN"/>
              </w:rPr>
            </w:pPr>
            <w:r>
              <w:rPr>
                <w:rFonts w:hint="eastAsia" w:ascii="仿宋_GB2312" w:eastAsia="仿宋_GB2312"/>
                <w:color w:val="000000"/>
                <w:kern w:val="2"/>
                <w:sz w:val="21"/>
                <w:szCs w:val="21"/>
                <w:lang w:val="en-US" w:eastAsia="zh-CN"/>
              </w:rPr>
              <w:t>中心主任</w:t>
            </w:r>
          </w:p>
        </w:tc>
        <w:tc>
          <w:tcPr>
            <w:tcW w:w="2838" w:type="dxa"/>
            <w:noWrap w:val="0"/>
            <w:vAlign w:val="center"/>
          </w:tcPr>
          <w:p>
            <w:pPr>
              <w:spacing w:line="360" w:lineRule="auto"/>
              <w:jc w:val="center"/>
              <w:rPr>
                <w:rFonts w:hint="eastAsia" w:ascii="仿宋_GB2312" w:eastAsia="仿宋_GB2312"/>
                <w:color w:val="000000"/>
                <w:kern w:val="2"/>
                <w:sz w:val="21"/>
                <w:szCs w:val="21"/>
                <w:lang w:val="en-US" w:eastAsia="zh-CN"/>
              </w:rPr>
            </w:pPr>
            <w:r>
              <w:rPr>
                <w:rFonts w:hint="eastAsia" w:ascii="仿宋_GB2312" w:eastAsia="仿宋_GB2312"/>
                <w:color w:val="000000"/>
                <w:kern w:val="2"/>
                <w:sz w:val="21"/>
                <w:szCs w:val="21"/>
                <w:lang w:val="en-US" w:eastAsia="zh-CN"/>
              </w:rPr>
              <w:t>辽宁省疾病预防控制中心</w:t>
            </w:r>
          </w:p>
        </w:tc>
        <w:tc>
          <w:tcPr>
            <w:tcW w:w="1748" w:type="dxa"/>
            <w:noWrap w:val="0"/>
            <w:vAlign w:val="center"/>
          </w:tcPr>
          <w:p>
            <w:pPr>
              <w:spacing w:line="360" w:lineRule="auto"/>
              <w:jc w:val="center"/>
              <w:rPr>
                <w:rFonts w:hint="eastAsia" w:ascii="仿宋_GB2312" w:eastAsia="仿宋_GB2312"/>
                <w:color w:val="000000"/>
                <w:kern w:val="2"/>
                <w:sz w:val="21"/>
                <w:szCs w:val="21"/>
                <w:lang w:val="en-US" w:eastAsia="zh-CN"/>
              </w:rPr>
            </w:pPr>
            <w:r>
              <w:rPr>
                <w:rFonts w:hint="eastAsia" w:ascii="仿宋_GB2312" w:eastAsia="仿宋_GB2312"/>
                <w:color w:val="000000"/>
                <w:kern w:val="2"/>
                <w:sz w:val="21"/>
                <w:szCs w:val="21"/>
                <w:lang w:val="en-US" w:eastAsia="zh-CN"/>
              </w:rPr>
              <w:t>项目管理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1148" w:type="dxa"/>
            <w:noWrap w:val="0"/>
            <w:vAlign w:val="center"/>
          </w:tcPr>
          <w:p>
            <w:pPr>
              <w:spacing w:line="360" w:lineRule="auto"/>
              <w:jc w:val="center"/>
              <w:rPr>
                <w:rFonts w:hint="default" w:ascii="仿宋_GB2312" w:eastAsia="仿宋_GB2312"/>
                <w:color w:val="000000"/>
                <w:kern w:val="2"/>
                <w:sz w:val="21"/>
                <w:szCs w:val="21"/>
                <w:lang w:val="en-US" w:eastAsia="zh-CN"/>
              </w:rPr>
            </w:pPr>
            <w:r>
              <w:rPr>
                <w:rFonts w:hint="eastAsia" w:ascii="仿宋_GB2312" w:eastAsia="仿宋_GB2312"/>
                <w:color w:val="000000"/>
                <w:kern w:val="2"/>
                <w:sz w:val="21"/>
                <w:szCs w:val="21"/>
                <w:lang w:val="en-US" w:eastAsia="zh-CN"/>
              </w:rPr>
              <w:t>丛博</w:t>
            </w:r>
          </w:p>
        </w:tc>
        <w:tc>
          <w:tcPr>
            <w:tcW w:w="1134" w:type="dxa"/>
            <w:noWrap w:val="0"/>
            <w:vAlign w:val="center"/>
          </w:tcPr>
          <w:p>
            <w:pPr>
              <w:spacing w:line="360" w:lineRule="auto"/>
              <w:jc w:val="center"/>
              <w:rPr>
                <w:rFonts w:hint="default" w:ascii="仿宋_GB2312" w:eastAsia="仿宋_GB2312"/>
                <w:color w:val="000000"/>
                <w:kern w:val="2"/>
                <w:sz w:val="21"/>
                <w:szCs w:val="21"/>
                <w:lang w:val="en-US" w:eastAsia="zh-CN"/>
              </w:rPr>
            </w:pPr>
            <w:r>
              <w:rPr>
                <w:rFonts w:hint="eastAsia" w:ascii="仿宋_GB2312" w:eastAsia="仿宋_GB2312"/>
                <w:color w:val="000000"/>
                <w:kern w:val="2"/>
                <w:sz w:val="21"/>
                <w:szCs w:val="21"/>
                <w:lang w:val="en-US" w:eastAsia="zh-CN"/>
              </w:rPr>
              <w:t>女</w:t>
            </w:r>
          </w:p>
        </w:tc>
        <w:tc>
          <w:tcPr>
            <w:tcW w:w="890" w:type="dxa"/>
            <w:noWrap w:val="0"/>
            <w:vAlign w:val="center"/>
          </w:tcPr>
          <w:p>
            <w:pPr>
              <w:spacing w:line="360" w:lineRule="auto"/>
              <w:jc w:val="center"/>
              <w:rPr>
                <w:rFonts w:hint="default" w:ascii="仿宋_GB2312" w:eastAsia="仿宋_GB2312"/>
                <w:color w:val="000000"/>
                <w:kern w:val="2"/>
                <w:sz w:val="21"/>
                <w:szCs w:val="21"/>
                <w:lang w:val="en-US" w:eastAsia="zh-CN"/>
              </w:rPr>
            </w:pPr>
            <w:r>
              <w:rPr>
                <w:rFonts w:hint="eastAsia" w:ascii="仿宋_GB2312" w:eastAsia="仿宋_GB2312"/>
                <w:color w:val="000000"/>
                <w:kern w:val="2"/>
                <w:sz w:val="21"/>
                <w:szCs w:val="21"/>
                <w:lang w:val="en-US" w:eastAsia="zh-CN"/>
              </w:rPr>
              <w:t>34</w:t>
            </w:r>
          </w:p>
        </w:tc>
        <w:tc>
          <w:tcPr>
            <w:tcW w:w="2095" w:type="dxa"/>
            <w:noWrap w:val="0"/>
            <w:vAlign w:val="center"/>
          </w:tcPr>
          <w:p>
            <w:pPr>
              <w:spacing w:line="360" w:lineRule="auto"/>
              <w:jc w:val="center"/>
              <w:rPr>
                <w:rFonts w:hint="default" w:ascii="仿宋_GB2312" w:eastAsia="仿宋_GB2312"/>
                <w:color w:val="000000"/>
                <w:kern w:val="2"/>
                <w:sz w:val="21"/>
                <w:szCs w:val="21"/>
                <w:lang w:val="en-US" w:eastAsia="zh-CN"/>
              </w:rPr>
            </w:pPr>
            <w:r>
              <w:rPr>
                <w:rFonts w:hint="eastAsia" w:ascii="仿宋_GB2312" w:eastAsia="仿宋_GB2312"/>
                <w:color w:val="000000"/>
                <w:kern w:val="2"/>
                <w:sz w:val="21"/>
                <w:szCs w:val="21"/>
                <w:lang w:val="en-US" w:eastAsia="zh-CN"/>
              </w:rPr>
              <w:t>主管医师</w:t>
            </w:r>
          </w:p>
        </w:tc>
        <w:tc>
          <w:tcPr>
            <w:tcW w:w="2838" w:type="dxa"/>
            <w:noWrap w:val="0"/>
            <w:vAlign w:val="center"/>
          </w:tcPr>
          <w:p>
            <w:pPr>
              <w:spacing w:line="360" w:lineRule="auto"/>
              <w:jc w:val="center"/>
              <w:rPr>
                <w:rFonts w:hint="eastAsia" w:ascii="仿宋_GB2312" w:hAnsi="Times New Roman" w:eastAsia="仿宋_GB2312" w:cs="Times New Roman"/>
                <w:color w:val="000000"/>
                <w:kern w:val="2"/>
                <w:sz w:val="21"/>
                <w:szCs w:val="21"/>
                <w:lang w:val="en-US" w:eastAsia="zh-CN" w:bidi="ar-SA"/>
              </w:rPr>
            </w:pPr>
            <w:r>
              <w:rPr>
                <w:rFonts w:hint="eastAsia" w:ascii="仿宋_GB2312" w:eastAsia="仿宋_GB2312"/>
                <w:color w:val="000000"/>
                <w:kern w:val="2"/>
                <w:sz w:val="21"/>
                <w:szCs w:val="21"/>
                <w:lang w:val="en-US" w:eastAsia="zh-CN"/>
              </w:rPr>
              <w:t>辽宁省疾病预防控制中心</w:t>
            </w:r>
          </w:p>
        </w:tc>
        <w:tc>
          <w:tcPr>
            <w:tcW w:w="1748" w:type="dxa"/>
            <w:noWrap w:val="0"/>
            <w:vAlign w:val="center"/>
          </w:tcPr>
          <w:p>
            <w:pPr>
              <w:spacing w:line="360" w:lineRule="auto"/>
              <w:jc w:val="center"/>
              <w:rPr>
                <w:rFonts w:hint="eastAsia" w:ascii="仿宋_GB2312" w:hAnsi="Times New Roman" w:eastAsia="仿宋_GB2312" w:cs="Times New Roman"/>
                <w:color w:val="000000"/>
                <w:kern w:val="2"/>
                <w:sz w:val="21"/>
                <w:szCs w:val="21"/>
                <w:lang w:val="en-US" w:eastAsia="zh-CN" w:bidi="ar-SA"/>
              </w:rPr>
            </w:pPr>
            <w:r>
              <w:rPr>
                <w:rFonts w:hint="eastAsia" w:ascii="仿宋_GB2312" w:eastAsia="仿宋_GB2312"/>
                <w:color w:val="000000"/>
                <w:kern w:val="2"/>
                <w:sz w:val="21"/>
                <w:szCs w:val="21"/>
                <w:lang w:val="en-US" w:eastAsia="zh-CN"/>
              </w:rPr>
              <w:t>业务分析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1148" w:type="dxa"/>
            <w:noWrap w:val="0"/>
            <w:vAlign w:val="center"/>
          </w:tcPr>
          <w:p>
            <w:pPr>
              <w:spacing w:line="360" w:lineRule="auto"/>
              <w:jc w:val="center"/>
              <w:rPr>
                <w:rFonts w:hint="default" w:ascii="仿宋_GB2312" w:eastAsia="仿宋_GB2312"/>
                <w:color w:val="000000"/>
                <w:kern w:val="2"/>
                <w:sz w:val="21"/>
                <w:szCs w:val="21"/>
                <w:lang w:val="en-US" w:eastAsia="zh-CN"/>
              </w:rPr>
            </w:pPr>
            <w:r>
              <w:rPr>
                <w:rFonts w:hint="eastAsia" w:ascii="仿宋_GB2312" w:eastAsia="仿宋_GB2312"/>
                <w:color w:val="000000"/>
                <w:kern w:val="2"/>
                <w:sz w:val="21"/>
                <w:szCs w:val="21"/>
                <w:lang w:val="en-US" w:eastAsia="zh-CN"/>
              </w:rPr>
              <w:t>王燕</w:t>
            </w:r>
          </w:p>
        </w:tc>
        <w:tc>
          <w:tcPr>
            <w:tcW w:w="1134" w:type="dxa"/>
            <w:noWrap w:val="0"/>
            <w:vAlign w:val="center"/>
          </w:tcPr>
          <w:p>
            <w:pPr>
              <w:spacing w:line="360" w:lineRule="auto"/>
              <w:jc w:val="center"/>
              <w:rPr>
                <w:rFonts w:hint="default" w:ascii="仿宋_GB2312" w:eastAsia="仿宋_GB2312"/>
                <w:color w:val="000000"/>
                <w:kern w:val="2"/>
                <w:sz w:val="21"/>
                <w:szCs w:val="21"/>
                <w:lang w:val="en-US" w:eastAsia="zh-CN"/>
              </w:rPr>
            </w:pPr>
            <w:r>
              <w:rPr>
                <w:rFonts w:hint="eastAsia" w:ascii="仿宋_GB2312" w:eastAsia="仿宋_GB2312"/>
                <w:color w:val="000000"/>
                <w:kern w:val="2"/>
                <w:sz w:val="21"/>
                <w:szCs w:val="21"/>
                <w:lang w:val="en-US" w:eastAsia="zh-CN"/>
              </w:rPr>
              <w:t>女</w:t>
            </w:r>
          </w:p>
        </w:tc>
        <w:tc>
          <w:tcPr>
            <w:tcW w:w="890" w:type="dxa"/>
            <w:noWrap w:val="0"/>
            <w:vAlign w:val="center"/>
          </w:tcPr>
          <w:p>
            <w:pPr>
              <w:spacing w:line="360" w:lineRule="auto"/>
              <w:jc w:val="center"/>
              <w:rPr>
                <w:rFonts w:hint="default" w:ascii="仿宋_GB2312" w:eastAsia="仿宋_GB2312"/>
                <w:color w:val="000000"/>
                <w:kern w:val="2"/>
                <w:sz w:val="21"/>
                <w:szCs w:val="21"/>
                <w:lang w:val="en-US" w:eastAsia="zh-CN"/>
              </w:rPr>
            </w:pPr>
            <w:r>
              <w:rPr>
                <w:rFonts w:hint="eastAsia" w:ascii="仿宋_GB2312" w:eastAsia="仿宋_GB2312"/>
                <w:color w:val="000000"/>
                <w:kern w:val="2"/>
                <w:sz w:val="21"/>
                <w:szCs w:val="21"/>
                <w:lang w:val="en-US" w:eastAsia="zh-CN"/>
              </w:rPr>
              <w:t>43</w:t>
            </w:r>
          </w:p>
        </w:tc>
        <w:tc>
          <w:tcPr>
            <w:tcW w:w="2095" w:type="dxa"/>
            <w:noWrap w:val="0"/>
            <w:vAlign w:val="center"/>
          </w:tcPr>
          <w:p>
            <w:pPr>
              <w:spacing w:line="360" w:lineRule="auto"/>
              <w:jc w:val="center"/>
              <w:rPr>
                <w:rFonts w:hint="eastAsia" w:ascii="仿宋_GB2312" w:eastAsia="仿宋_GB2312"/>
                <w:color w:val="000000"/>
                <w:kern w:val="2"/>
                <w:sz w:val="21"/>
                <w:szCs w:val="21"/>
                <w:lang w:val="en-US" w:eastAsia="zh-CN"/>
              </w:rPr>
            </w:pPr>
            <w:r>
              <w:rPr>
                <w:rFonts w:hint="eastAsia" w:ascii="仿宋_GB2312" w:eastAsia="仿宋_GB2312"/>
                <w:color w:val="000000"/>
                <w:kern w:val="2"/>
                <w:sz w:val="21"/>
                <w:szCs w:val="21"/>
                <w:lang w:val="en-US" w:eastAsia="zh-CN"/>
              </w:rPr>
              <w:t>主任医师</w:t>
            </w:r>
          </w:p>
        </w:tc>
        <w:tc>
          <w:tcPr>
            <w:tcW w:w="2838" w:type="dxa"/>
            <w:noWrap w:val="0"/>
            <w:vAlign w:val="center"/>
          </w:tcPr>
          <w:p>
            <w:pPr>
              <w:spacing w:line="360" w:lineRule="auto"/>
              <w:jc w:val="center"/>
              <w:rPr>
                <w:rFonts w:hint="eastAsia" w:ascii="仿宋_GB2312" w:eastAsia="仿宋_GB2312"/>
                <w:color w:val="000000"/>
                <w:kern w:val="2"/>
                <w:sz w:val="21"/>
                <w:szCs w:val="21"/>
                <w:lang w:val="en-US" w:eastAsia="zh-CN"/>
              </w:rPr>
            </w:pPr>
            <w:r>
              <w:rPr>
                <w:rFonts w:hint="eastAsia" w:ascii="仿宋_GB2312" w:eastAsia="仿宋_GB2312"/>
                <w:color w:val="000000"/>
                <w:kern w:val="2"/>
                <w:sz w:val="21"/>
                <w:szCs w:val="21"/>
                <w:lang w:val="en-US" w:eastAsia="zh-CN"/>
              </w:rPr>
              <w:t>辽宁省疾病预防控制中心</w:t>
            </w:r>
          </w:p>
        </w:tc>
        <w:tc>
          <w:tcPr>
            <w:tcW w:w="1748" w:type="dxa"/>
            <w:noWrap w:val="0"/>
            <w:vAlign w:val="center"/>
          </w:tcPr>
          <w:p>
            <w:pPr>
              <w:spacing w:line="360" w:lineRule="auto"/>
              <w:jc w:val="center"/>
              <w:rPr>
                <w:rFonts w:hint="eastAsia" w:ascii="仿宋_GB2312" w:eastAsia="仿宋_GB2312"/>
                <w:color w:val="000000"/>
                <w:kern w:val="2"/>
                <w:sz w:val="21"/>
                <w:szCs w:val="21"/>
                <w:lang w:val="en-US" w:eastAsia="zh-CN"/>
              </w:rPr>
            </w:pPr>
            <w:r>
              <w:rPr>
                <w:rFonts w:hint="eastAsia" w:ascii="仿宋_GB2312" w:eastAsia="仿宋_GB2312"/>
                <w:color w:val="000000"/>
                <w:kern w:val="2"/>
                <w:sz w:val="21"/>
                <w:szCs w:val="21"/>
                <w:lang w:val="en-US" w:eastAsia="zh-CN"/>
              </w:rPr>
              <w:t>业务分析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1148" w:type="dxa"/>
            <w:noWrap w:val="0"/>
            <w:vAlign w:val="center"/>
          </w:tcPr>
          <w:p>
            <w:pPr>
              <w:spacing w:line="360" w:lineRule="auto"/>
              <w:jc w:val="center"/>
              <w:rPr>
                <w:rFonts w:hint="eastAsia" w:ascii="仿宋_GB2312" w:hAnsi="Times New Roman" w:eastAsia="仿宋_GB2312" w:cs="Times New Roman"/>
                <w:color w:val="000000"/>
                <w:kern w:val="2"/>
                <w:sz w:val="21"/>
                <w:szCs w:val="21"/>
                <w:lang w:val="en-US" w:eastAsia="zh-CN" w:bidi="ar-SA"/>
              </w:rPr>
            </w:pPr>
            <w:r>
              <w:rPr>
                <w:rFonts w:hint="eastAsia" w:ascii="仿宋_GB2312" w:eastAsia="仿宋_GB2312"/>
                <w:color w:val="000000"/>
                <w:kern w:val="2"/>
                <w:sz w:val="21"/>
                <w:szCs w:val="21"/>
                <w:lang w:val="en-US" w:eastAsia="zh-CN"/>
              </w:rPr>
              <w:t>沈靖</w:t>
            </w:r>
          </w:p>
        </w:tc>
        <w:tc>
          <w:tcPr>
            <w:tcW w:w="1134" w:type="dxa"/>
            <w:noWrap w:val="0"/>
            <w:vAlign w:val="center"/>
          </w:tcPr>
          <w:p>
            <w:pPr>
              <w:spacing w:line="360" w:lineRule="auto"/>
              <w:jc w:val="center"/>
              <w:rPr>
                <w:rFonts w:hint="eastAsia" w:ascii="仿宋_GB2312" w:hAnsi="Times New Roman" w:eastAsia="仿宋_GB2312" w:cs="Times New Roman"/>
                <w:color w:val="000000"/>
                <w:kern w:val="2"/>
                <w:sz w:val="21"/>
                <w:szCs w:val="21"/>
                <w:lang w:val="en-US" w:eastAsia="zh-CN" w:bidi="ar-SA"/>
              </w:rPr>
            </w:pPr>
            <w:r>
              <w:rPr>
                <w:rFonts w:hint="eastAsia" w:ascii="仿宋_GB2312" w:eastAsia="仿宋_GB2312"/>
                <w:color w:val="000000"/>
                <w:kern w:val="2"/>
                <w:sz w:val="21"/>
                <w:szCs w:val="21"/>
                <w:lang w:val="en-US" w:eastAsia="zh-CN"/>
              </w:rPr>
              <w:t>男</w:t>
            </w:r>
          </w:p>
        </w:tc>
        <w:tc>
          <w:tcPr>
            <w:tcW w:w="890" w:type="dxa"/>
            <w:noWrap w:val="0"/>
            <w:vAlign w:val="center"/>
          </w:tcPr>
          <w:p>
            <w:pPr>
              <w:spacing w:line="360" w:lineRule="auto"/>
              <w:jc w:val="center"/>
              <w:rPr>
                <w:rFonts w:hint="eastAsia" w:ascii="仿宋_GB2312" w:hAnsi="Times New Roman" w:eastAsia="仿宋_GB2312" w:cs="Times New Roman"/>
                <w:color w:val="000000"/>
                <w:kern w:val="2"/>
                <w:sz w:val="21"/>
                <w:szCs w:val="21"/>
                <w:lang w:val="en-US" w:eastAsia="zh-CN" w:bidi="ar-SA"/>
              </w:rPr>
            </w:pPr>
            <w:r>
              <w:rPr>
                <w:rFonts w:hint="eastAsia" w:ascii="仿宋_GB2312" w:eastAsia="仿宋_GB2312"/>
                <w:color w:val="000000"/>
                <w:kern w:val="2"/>
                <w:sz w:val="21"/>
                <w:szCs w:val="21"/>
                <w:lang w:val="en-US" w:eastAsia="zh-CN"/>
              </w:rPr>
              <w:t>51</w:t>
            </w:r>
          </w:p>
        </w:tc>
        <w:tc>
          <w:tcPr>
            <w:tcW w:w="2095" w:type="dxa"/>
            <w:noWrap w:val="0"/>
            <w:vAlign w:val="center"/>
          </w:tcPr>
          <w:p>
            <w:pPr>
              <w:spacing w:line="360" w:lineRule="auto"/>
              <w:jc w:val="center"/>
              <w:rPr>
                <w:rFonts w:hint="eastAsia" w:ascii="仿宋_GB2312" w:hAnsi="Times New Roman" w:eastAsia="仿宋_GB2312" w:cs="Times New Roman"/>
                <w:color w:val="000000"/>
                <w:kern w:val="2"/>
                <w:sz w:val="21"/>
                <w:szCs w:val="21"/>
                <w:lang w:val="en-US" w:eastAsia="zh-CN" w:bidi="ar-SA"/>
              </w:rPr>
            </w:pPr>
            <w:r>
              <w:rPr>
                <w:rFonts w:hint="eastAsia" w:ascii="仿宋_GB2312" w:eastAsia="仿宋_GB2312"/>
                <w:color w:val="000000"/>
                <w:kern w:val="2"/>
                <w:sz w:val="21"/>
                <w:szCs w:val="21"/>
                <w:lang w:val="en-US" w:eastAsia="zh-CN"/>
              </w:rPr>
              <w:t>产品经理</w:t>
            </w:r>
          </w:p>
        </w:tc>
        <w:tc>
          <w:tcPr>
            <w:tcW w:w="2838" w:type="dxa"/>
            <w:noWrap w:val="0"/>
            <w:vAlign w:val="center"/>
          </w:tcPr>
          <w:p>
            <w:pPr>
              <w:spacing w:line="360" w:lineRule="auto"/>
              <w:jc w:val="center"/>
              <w:rPr>
                <w:rFonts w:hint="eastAsia" w:ascii="仿宋_GB2312" w:hAnsi="Times New Roman" w:eastAsia="仿宋_GB2312" w:cs="Times New Roman"/>
                <w:color w:val="000000"/>
                <w:kern w:val="2"/>
                <w:sz w:val="21"/>
                <w:szCs w:val="21"/>
                <w:lang w:val="en-US" w:eastAsia="zh-CN" w:bidi="ar-SA"/>
              </w:rPr>
            </w:pPr>
            <w:r>
              <w:rPr>
                <w:rFonts w:hint="eastAsia" w:ascii="仿宋_GB2312" w:eastAsia="仿宋_GB2312"/>
                <w:color w:val="000000"/>
                <w:kern w:val="2"/>
                <w:sz w:val="21"/>
                <w:szCs w:val="21"/>
                <w:lang w:val="en-US" w:eastAsia="zh-CN"/>
              </w:rPr>
              <w:t>沈苏科技（苏州）股份有限公司</w:t>
            </w:r>
          </w:p>
        </w:tc>
        <w:tc>
          <w:tcPr>
            <w:tcW w:w="1748" w:type="dxa"/>
            <w:noWrap w:val="0"/>
            <w:vAlign w:val="center"/>
          </w:tcPr>
          <w:p>
            <w:pPr>
              <w:spacing w:line="360" w:lineRule="auto"/>
              <w:jc w:val="center"/>
              <w:rPr>
                <w:rFonts w:hint="eastAsia" w:ascii="仿宋_GB2312" w:hAnsi="Times New Roman" w:eastAsia="仿宋_GB2312" w:cs="Times New Roman"/>
                <w:color w:val="000000"/>
                <w:kern w:val="2"/>
                <w:sz w:val="21"/>
                <w:szCs w:val="21"/>
                <w:lang w:val="en-US" w:eastAsia="zh-CN" w:bidi="ar-SA"/>
              </w:rPr>
            </w:pPr>
            <w:r>
              <w:rPr>
                <w:rFonts w:hint="eastAsia" w:ascii="仿宋_GB2312" w:eastAsia="仿宋_GB2312"/>
                <w:color w:val="000000"/>
                <w:kern w:val="2"/>
                <w:sz w:val="21"/>
                <w:szCs w:val="21"/>
                <w:lang w:val="en-US" w:eastAsia="zh-CN"/>
              </w:rPr>
              <w:t>技术编辑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1148" w:type="dxa"/>
            <w:noWrap w:val="0"/>
            <w:vAlign w:val="center"/>
          </w:tcPr>
          <w:p>
            <w:pPr>
              <w:spacing w:line="360" w:lineRule="auto"/>
              <w:jc w:val="center"/>
              <w:rPr>
                <w:rFonts w:hint="default" w:ascii="仿宋_GB2312" w:eastAsia="仿宋_GB2312"/>
                <w:color w:val="000000"/>
                <w:kern w:val="2"/>
                <w:sz w:val="21"/>
                <w:szCs w:val="21"/>
                <w:lang w:val="en-US" w:eastAsia="zh-CN"/>
              </w:rPr>
            </w:pPr>
            <w:r>
              <w:rPr>
                <w:rFonts w:hint="eastAsia" w:ascii="仿宋_GB2312" w:eastAsia="仿宋_GB2312"/>
                <w:color w:val="000000"/>
                <w:kern w:val="2"/>
                <w:sz w:val="21"/>
                <w:szCs w:val="21"/>
                <w:lang w:val="en-US" w:eastAsia="zh-CN"/>
              </w:rPr>
              <w:t>安淑一</w:t>
            </w:r>
          </w:p>
        </w:tc>
        <w:tc>
          <w:tcPr>
            <w:tcW w:w="1134" w:type="dxa"/>
            <w:noWrap w:val="0"/>
            <w:vAlign w:val="center"/>
          </w:tcPr>
          <w:p>
            <w:pPr>
              <w:spacing w:line="360" w:lineRule="auto"/>
              <w:jc w:val="center"/>
              <w:rPr>
                <w:rFonts w:hint="eastAsia" w:ascii="仿宋_GB2312" w:eastAsia="仿宋_GB2312"/>
                <w:color w:val="000000"/>
                <w:kern w:val="2"/>
                <w:sz w:val="21"/>
                <w:szCs w:val="21"/>
                <w:lang w:val="en-US" w:eastAsia="zh-CN"/>
              </w:rPr>
            </w:pPr>
            <w:r>
              <w:rPr>
                <w:rFonts w:hint="eastAsia" w:ascii="仿宋_GB2312" w:eastAsia="仿宋_GB2312"/>
                <w:color w:val="000000"/>
                <w:kern w:val="2"/>
                <w:sz w:val="21"/>
                <w:szCs w:val="21"/>
                <w:lang w:val="en-US" w:eastAsia="zh-CN"/>
              </w:rPr>
              <w:t>女</w:t>
            </w:r>
          </w:p>
        </w:tc>
        <w:tc>
          <w:tcPr>
            <w:tcW w:w="890" w:type="dxa"/>
            <w:noWrap w:val="0"/>
            <w:vAlign w:val="center"/>
          </w:tcPr>
          <w:p>
            <w:pPr>
              <w:spacing w:line="360" w:lineRule="auto"/>
              <w:jc w:val="center"/>
              <w:rPr>
                <w:rFonts w:hint="default" w:ascii="仿宋_GB2312" w:eastAsia="仿宋_GB2312"/>
                <w:color w:val="000000"/>
                <w:kern w:val="2"/>
                <w:sz w:val="21"/>
                <w:szCs w:val="21"/>
                <w:lang w:val="en-US" w:eastAsia="zh-CN"/>
              </w:rPr>
            </w:pPr>
            <w:r>
              <w:rPr>
                <w:rFonts w:hint="eastAsia" w:ascii="仿宋_GB2312" w:eastAsia="仿宋_GB2312"/>
                <w:color w:val="000000"/>
                <w:kern w:val="2"/>
                <w:sz w:val="21"/>
                <w:szCs w:val="21"/>
                <w:lang w:val="en-US" w:eastAsia="zh-CN"/>
              </w:rPr>
              <w:t>43</w:t>
            </w:r>
          </w:p>
        </w:tc>
        <w:tc>
          <w:tcPr>
            <w:tcW w:w="2095" w:type="dxa"/>
            <w:noWrap w:val="0"/>
            <w:vAlign w:val="center"/>
          </w:tcPr>
          <w:p>
            <w:pPr>
              <w:spacing w:line="360" w:lineRule="auto"/>
              <w:jc w:val="center"/>
              <w:rPr>
                <w:rFonts w:hint="eastAsia" w:ascii="仿宋_GB2312" w:eastAsia="仿宋_GB2312"/>
                <w:color w:val="000000"/>
                <w:kern w:val="2"/>
                <w:sz w:val="21"/>
                <w:szCs w:val="21"/>
                <w:lang w:val="en-US" w:eastAsia="zh-CN"/>
              </w:rPr>
            </w:pPr>
            <w:r>
              <w:rPr>
                <w:rFonts w:hint="eastAsia" w:ascii="仿宋_GB2312" w:eastAsia="仿宋_GB2312"/>
                <w:color w:val="000000"/>
                <w:kern w:val="2"/>
                <w:sz w:val="21"/>
                <w:szCs w:val="21"/>
                <w:lang w:val="en-US" w:eastAsia="zh-CN"/>
              </w:rPr>
              <w:t>主任医师</w:t>
            </w:r>
          </w:p>
        </w:tc>
        <w:tc>
          <w:tcPr>
            <w:tcW w:w="2838" w:type="dxa"/>
            <w:noWrap w:val="0"/>
            <w:vAlign w:val="center"/>
          </w:tcPr>
          <w:p>
            <w:pPr>
              <w:spacing w:line="360" w:lineRule="auto"/>
              <w:jc w:val="center"/>
              <w:rPr>
                <w:rFonts w:hint="eastAsia" w:ascii="仿宋_GB2312" w:eastAsia="仿宋_GB2312"/>
                <w:color w:val="000000"/>
                <w:kern w:val="2"/>
                <w:sz w:val="21"/>
                <w:szCs w:val="21"/>
                <w:lang w:val="en-US" w:eastAsia="zh-CN"/>
              </w:rPr>
            </w:pPr>
            <w:r>
              <w:rPr>
                <w:rFonts w:hint="eastAsia" w:ascii="仿宋_GB2312" w:eastAsia="仿宋_GB2312"/>
                <w:color w:val="000000"/>
                <w:kern w:val="2"/>
                <w:sz w:val="21"/>
                <w:szCs w:val="21"/>
                <w:lang w:val="en-US" w:eastAsia="zh-CN"/>
              </w:rPr>
              <w:t>辽宁省疾病预防控制中心</w:t>
            </w:r>
          </w:p>
        </w:tc>
        <w:tc>
          <w:tcPr>
            <w:tcW w:w="1748" w:type="dxa"/>
            <w:noWrap w:val="0"/>
            <w:vAlign w:val="center"/>
          </w:tcPr>
          <w:p>
            <w:pPr>
              <w:spacing w:line="360" w:lineRule="auto"/>
              <w:jc w:val="center"/>
              <w:rPr>
                <w:rFonts w:hint="eastAsia" w:ascii="仿宋_GB2312" w:eastAsia="仿宋_GB2312"/>
                <w:color w:val="000000"/>
                <w:kern w:val="2"/>
                <w:sz w:val="21"/>
                <w:szCs w:val="21"/>
                <w:lang w:val="en-US" w:eastAsia="zh-CN"/>
              </w:rPr>
            </w:pPr>
            <w:r>
              <w:rPr>
                <w:rFonts w:hint="eastAsia" w:ascii="仿宋_GB2312" w:eastAsia="仿宋_GB2312"/>
                <w:color w:val="000000"/>
                <w:kern w:val="2"/>
                <w:sz w:val="21"/>
                <w:szCs w:val="21"/>
                <w:lang w:val="en-US" w:eastAsia="zh-CN"/>
              </w:rPr>
              <w:t>业务编辑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1148" w:type="dxa"/>
            <w:noWrap w:val="0"/>
            <w:vAlign w:val="center"/>
          </w:tcPr>
          <w:p>
            <w:pPr>
              <w:spacing w:line="360" w:lineRule="auto"/>
              <w:jc w:val="center"/>
              <w:rPr>
                <w:rFonts w:hint="eastAsia" w:ascii="仿宋_GB2312" w:eastAsia="仿宋_GB2312"/>
                <w:color w:val="000000"/>
                <w:kern w:val="2"/>
                <w:sz w:val="21"/>
                <w:szCs w:val="21"/>
                <w:lang w:val="en-US" w:eastAsia="zh-CN"/>
              </w:rPr>
            </w:pPr>
            <w:r>
              <w:rPr>
                <w:rFonts w:hint="eastAsia" w:ascii="仿宋_GB2312" w:eastAsia="仿宋_GB2312"/>
                <w:color w:val="000000"/>
                <w:kern w:val="2"/>
                <w:sz w:val="21"/>
                <w:szCs w:val="21"/>
                <w:lang w:val="en-US" w:eastAsia="zh-CN"/>
              </w:rPr>
              <w:t>王治</w:t>
            </w:r>
          </w:p>
        </w:tc>
        <w:tc>
          <w:tcPr>
            <w:tcW w:w="1134" w:type="dxa"/>
            <w:noWrap w:val="0"/>
            <w:vAlign w:val="center"/>
          </w:tcPr>
          <w:p>
            <w:pPr>
              <w:spacing w:line="360" w:lineRule="auto"/>
              <w:jc w:val="center"/>
              <w:rPr>
                <w:rFonts w:hint="eastAsia" w:ascii="仿宋_GB2312" w:eastAsia="仿宋_GB2312"/>
                <w:color w:val="000000"/>
                <w:kern w:val="2"/>
                <w:sz w:val="21"/>
                <w:szCs w:val="21"/>
                <w:lang w:val="en-US" w:eastAsia="zh-CN"/>
              </w:rPr>
            </w:pPr>
            <w:r>
              <w:rPr>
                <w:rFonts w:hint="eastAsia" w:ascii="仿宋_GB2312" w:eastAsia="仿宋_GB2312"/>
                <w:color w:val="000000"/>
                <w:kern w:val="2"/>
                <w:sz w:val="21"/>
                <w:szCs w:val="21"/>
                <w:lang w:val="en-US" w:eastAsia="zh-CN"/>
              </w:rPr>
              <w:t>男</w:t>
            </w:r>
          </w:p>
        </w:tc>
        <w:tc>
          <w:tcPr>
            <w:tcW w:w="890" w:type="dxa"/>
            <w:noWrap w:val="0"/>
            <w:vAlign w:val="center"/>
          </w:tcPr>
          <w:p>
            <w:pPr>
              <w:spacing w:line="360" w:lineRule="auto"/>
              <w:jc w:val="center"/>
              <w:rPr>
                <w:rFonts w:hint="eastAsia" w:ascii="仿宋_GB2312" w:eastAsia="仿宋_GB2312"/>
                <w:color w:val="000000"/>
                <w:kern w:val="2"/>
                <w:sz w:val="21"/>
                <w:szCs w:val="21"/>
                <w:lang w:val="en-US" w:eastAsia="zh-CN"/>
              </w:rPr>
            </w:pPr>
            <w:r>
              <w:rPr>
                <w:rFonts w:hint="eastAsia" w:ascii="仿宋_GB2312" w:eastAsia="仿宋_GB2312"/>
                <w:color w:val="000000"/>
                <w:kern w:val="2"/>
                <w:sz w:val="21"/>
                <w:szCs w:val="21"/>
                <w:lang w:val="en-US" w:eastAsia="zh-CN"/>
              </w:rPr>
              <w:t>52</w:t>
            </w:r>
          </w:p>
        </w:tc>
        <w:tc>
          <w:tcPr>
            <w:tcW w:w="2095" w:type="dxa"/>
            <w:noWrap w:val="0"/>
            <w:vAlign w:val="center"/>
          </w:tcPr>
          <w:p>
            <w:pPr>
              <w:spacing w:line="360" w:lineRule="auto"/>
              <w:jc w:val="center"/>
              <w:rPr>
                <w:rFonts w:hint="eastAsia" w:ascii="仿宋_GB2312" w:eastAsia="仿宋_GB2312"/>
                <w:color w:val="000000"/>
                <w:kern w:val="2"/>
                <w:sz w:val="21"/>
                <w:szCs w:val="21"/>
                <w:lang w:val="en-US" w:eastAsia="zh-CN"/>
              </w:rPr>
            </w:pPr>
            <w:r>
              <w:rPr>
                <w:rFonts w:hint="eastAsia" w:ascii="仿宋_GB2312" w:eastAsia="仿宋_GB2312"/>
                <w:color w:val="000000"/>
                <w:kern w:val="2"/>
                <w:sz w:val="21"/>
                <w:szCs w:val="21"/>
                <w:lang w:val="en-US" w:eastAsia="zh-CN"/>
              </w:rPr>
              <w:t>分公司总经理</w:t>
            </w:r>
          </w:p>
        </w:tc>
        <w:tc>
          <w:tcPr>
            <w:tcW w:w="2838" w:type="dxa"/>
            <w:noWrap w:val="0"/>
            <w:vAlign w:val="center"/>
          </w:tcPr>
          <w:p>
            <w:pPr>
              <w:spacing w:line="360" w:lineRule="auto"/>
              <w:jc w:val="center"/>
              <w:rPr>
                <w:rFonts w:hint="eastAsia" w:ascii="仿宋_GB2312" w:eastAsia="仿宋_GB2312"/>
                <w:color w:val="000000"/>
                <w:kern w:val="2"/>
                <w:sz w:val="21"/>
                <w:szCs w:val="21"/>
                <w:lang w:val="en-US" w:eastAsia="zh-CN"/>
              </w:rPr>
            </w:pPr>
            <w:r>
              <w:rPr>
                <w:rFonts w:hint="eastAsia" w:ascii="仿宋_GB2312" w:eastAsia="仿宋_GB2312"/>
                <w:color w:val="000000"/>
                <w:kern w:val="2"/>
                <w:sz w:val="21"/>
                <w:szCs w:val="21"/>
                <w:lang w:val="en-US" w:eastAsia="zh-CN"/>
              </w:rPr>
              <w:t>沈苏科技（苏州）股份有限公司</w:t>
            </w:r>
          </w:p>
        </w:tc>
        <w:tc>
          <w:tcPr>
            <w:tcW w:w="1748" w:type="dxa"/>
            <w:noWrap w:val="0"/>
            <w:vAlign w:val="center"/>
          </w:tcPr>
          <w:p>
            <w:pPr>
              <w:spacing w:line="360" w:lineRule="auto"/>
              <w:jc w:val="center"/>
              <w:rPr>
                <w:rFonts w:hint="eastAsia" w:ascii="仿宋_GB2312" w:eastAsia="仿宋_GB2312"/>
                <w:color w:val="000000"/>
                <w:kern w:val="2"/>
                <w:sz w:val="21"/>
                <w:szCs w:val="21"/>
                <w:lang w:val="en-US" w:eastAsia="zh-CN"/>
              </w:rPr>
            </w:pPr>
            <w:r>
              <w:rPr>
                <w:rFonts w:hint="eastAsia" w:ascii="仿宋_GB2312" w:eastAsia="仿宋_GB2312"/>
                <w:color w:val="000000"/>
                <w:kern w:val="2"/>
                <w:sz w:val="21"/>
                <w:szCs w:val="21"/>
                <w:lang w:val="en-US" w:eastAsia="zh-CN"/>
              </w:rPr>
              <w:t>项目管理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1148" w:type="dxa"/>
            <w:noWrap w:val="0"/>
            <w:vAlign w:val="center"/>
          </w:tcPr>
          <w:p>
            <w:pPr>
              <w:spacing w:line="360" w:lineRule="auto"/>
              <w:jc w:val="center"/>
              <w:rPr>
                <w:rFonts w:hint="eastAsia" w:ascii="仿宋_GB2312" w:eastAsia="仿宋_GB2312"/>
                <w:color w:val="000000"/>
                <w:kern w:val="2"/>
                <w:sz w:val="21"/>
                <w:szCs w:val="21"/>
                <w:lang w:val="en-US" w:eastAsia="zh-CN"/>
              </w:rPr>
            </w:pPr>
            <w:r>
              <w:rPr>
                <w:rFonts w:hint="eastAsia" w:ascii="仿宋_GB2312" w:eastAsia="仿宋_GB2312"/>
                <w:color w:val="000000"/>
                <w:kern w:val="2"/>
                <w:sz w:val="21"/>
                <w:szCs w:val="21"/>
                <w:lang w:val="en-US" w:eastAsia="zh-CN"/>
              </w:rPr>
              <w:t>钟雁鹏</w:t>
            </w:r>
          </w:p>
        </w:tc>
        <w:tc>
          <w:tcPr>
            <w:tcW w:w="1134" w:type="dxa"/>
            <w:noWrap w:val="0"/>
            <w:vAlign w:val="center"/>
          </w:tcPr>
          <w:p>
            <w:pPr>
              <w:spacing w:line="360" w:lineRule="auto"/>
              <w:jc w:val="center"/>
              <w:rPr>
                <w:rFonts w:hint="eastAsia" w:ascii="仿宋_GB2312" w:eastAsia="仿宋_GB2312"/>
                <w:color w:val="000000"/>
                <w:kern w:val="2"/>
                <w:sz w:val="21"/>
                <w:szCs w:val="21"/>
                <w:lang w:val="en-US" w:eastAsia="zh-CN"/>
              </w:rPr>
            </w:pPr>
            <w:r>
              <w:rPr>
                <w:rFonts w:hint="eastAsia" w:ascii="仿宋_GB2312" w:eastAsia="仿宋_GB2312"/>
                <w:color w:val="000000"/>
                <w:kern w:val="2"/>
                <w:sz w:val="21"/>
                <w:szCs w:val="21"/>
                <w:lang w:val="en-US" w:eastAsia="zh-CN"/>
              </w:rPr>
              <w:t>男</w:t>
            </w:r>
          </w:p>
        </w:tc>
        <w:tc>
          <w:tcPr>
            <w:tcW w:w="890" w:type="dxa"/>
            <w:noWrap w:val="0"/>
            <w:vAlign w:val="center"/>
          </w:tcPr>
          <w:p>
            <w:pPr>
              <w:spacing w:line="360" w:lineRule="auto"/>
              <w:jc w:val="center"/>
              <w:rPr>
                <w:rFonts w:hint="eastAsia" w:ascii="仿宋_GB2312" w:eastAsia="仿宋_GB2312"/>
                <w:color w:val="000000"/>
                <w:kern w:val="2"/>
                <w:sz w:val="21"/>
                <w:szCs w:val="21"/>
                <w:lang w:val="en-US" w:eastAsia="zh-CN"/>
              </w:rPr>
            </w:pPr>
            <w:r>
              <w:rPr>
                <w:rFonts w:hint="eastAsia" w:ascii="仿宋_GB2312" w:eastAsia="仿宋_GB2312"/>
                <w:color w:val="000000"/>
                <w:kern w:val="2"/>
                <w:sz w:val="21"/>
                <w:szCs w:val="21"/>
                <w:lang w:val="en-US" w:eastAsia="zh-CN"/>
              </w:rPr>
              <w:t>46</w:t>
            </w:r>
          </w:p>
        </w:tc>
        <w:tc>
          <w:tcPr>
            <w:tcW w:w="2095" w:type="dxa"/>
            <w:noWrap w:val="0"/>
            <w:vAlign w:val="center"/>
          </w:tcPr>
          <w:p>
            <w:pPr>
              <w:spacing w:line="360" w:lineRule="auto"/>
              <w:jc w:val="center"/>
              <w:rPr>
                <w:rFonts w:hint="eastAsia" w:ascii="仿宋_GB2312" w:eastAsia="仿宋_GB2312"/>
                <w:color w:val="000000"/>
                <w:kern w:val="2"/>
                <w:sz w:val="21"/>
                <w:szCs w:val="21"/>
                <w:lang w:val="en-US" w:eastAsia="zh-CN"/>
              </w:rPr>
            </w:pPr>
            <w:r>
              <w:rPr>
                <w:rFonts w:hint="eastAsia" w:ascii="仿宋_GB2312" w:eastAsia="仿宋_GB2312"/>
                <w:color w:val="000000"/>
                <w:kern w:val="2"/>
                <w:sz w:val="21"/>
                <w:szCs w:val="21"/>
                <w:lang w:val="en-US" w:eastAsia="zh-CN"/>
              </w:rPr>
              <w:t>部门经理</w:t>
            </w:r>
          </w:p>
        </w:tc>
        <w:tc>
          <w:tcPr>
            <w:tcW w:w="2838" w:type="dxa"/>
            <w:noWrap w:val="0"/>
            <w:vAlign w:val="center"/>
          </w:tcPr>
          <w:p>
            <w:pPr>
              <w:spacing w:line="360" w:lineRule="auto"/>
              <w:jc w:val="center"/>
              <w:rPr>
                <w:rFonts w:hint="eastAsia" w:ascii="仿宋_GB2312" w:eastAsia="仿宋_GB2312"/>
                <w:color w:val="000000"/>
                <w:kern w:val="2"/>
                <w:sz w:val="21"/>
                <w:szCs w:val="21"/>
                <w:lang w:val="en-US" w:eastAsia="zh-CN"/>
              </w:rPr>
            </w:pPr>
            <w:r>
              <w:rPr>
                <w:rFonts w:hint="eastAsia" w:ascii="仿宋_GB2312" w:eastAsia="仿宋_GB2312"/>
                <w:color w:val="000000"/>
                <w:kern w:val="2"/>
                <w:sz w:val="21"/>
                <w:szCs w:val="21"/>
                <w:lang w:val="en-US" w:eastAsia="zh-CN"/>
              </w:rPr>
              <w:t>沈苏科技（苏州）股份有限公司</w:t>
            </w:r>
          </w:p>
        </w:tc>
        <w:tc>
          <w:tcPr>
            <w:tcW w:w="1748" w:type="dxa"/>
            <w:noWrap w:val="0"/>
            <w:vAlign w:val="center"/>
          </w:tcPr>
          <w:p>
            <w:pPr>
              <w:spacing w:line="360" w:lineRule="auto"/>
              <w:jc w:val="center"/>
              <w:rPr>
                <w:rFonts w:hint="eastAsia" w:ascii="仿宋_GB2312" w:eastAsia="仿宋_GB2312"/>
                <w:color w:val="000000"/>
                <w:kern w:val="2"/>
                <w:sz w:val="21"/>
                <w:szCs w:val="21"/>
                <w:lang w:val="en-US" w:eastAsia="zh-CN"/>
              </w:rPr>
            </w:pPr>
            <w:r>
              <w:rPr>
                <w:rFonts w:hint="eastAsia" w:ascii="仿宋_GB2312" w:eastAsia="仿宋_GB2312"/>
                <w:color w:val="000000"/>
                <w:kern w:val="2"/>
                <w:sz w:val="21"/>
                <w:szCs w:val="21"/>
                <w:lang w:val="en-US" w:eastAsia="zh-CN"/>
              </w:rPr>
              <w:t>业务分析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1148" w:type="dxa"/>
            <w:noWrap w:val="0"/>
            <w:vAlign w:val="center"/>
          </w:tcPr>
          <w:p>
            <w:pPr>
              <w:spacing w:line="360" w:lineRule="auto"/>
              <w:jc w:val="center"/>
              <w:rPr>
                <w:rFonts w:hint="default" w:ascii="仿宋_GB2312" w:eastAsia="仿宋_GB2312"/>
                <w:color w:val="000000"/>
                <w:kern w:val="2"/>
                <w:sz w:val="21"/>
                <w:szCs w:val="21"/>
                <w:lang w:val="en-US" w:eastAsia="zh-CN"/>
              </w:rPr>
            </w:pPr>
            <w:r>
              <w:rPr>
                <w:rFonts w:hint="eastAsia" w:ascii="仿宋_GB2312" w:eastAsia="仿宋_GB2312"/>
                <w:color w:val="000000"/>
                <w:kern w:val="2"/>
                <w:sz w:val="21"/>
                <w:szCs w:val="21"/>
                <w:lang w:val="en-US" w:eastAsia="zh-CN"/>
              </w:rPr>
              <w:t>顾松义</w:t>
            </w:r>
          </w:p>
        </w:tc>
        <w:tc>
          <w:tcPr>
            <w:tcW w:w="1134" w:type="dxa"/>
            <w:noWrap w:val="0"/>
            <w:vAlign w:val="center"/>
          </w:tcPr>
          <w:p>
            <w:pPr>
              <w:spacing w:line="360" w:lineRule="auto"/>
              <w:jc w:val="center"/>
              <w:rPr>
                <w:rFonts w:hint="default" w:ascii="仿宋_GB2312" w:eastAsia="仿宋_GB2312"/>
                <w:color w:val="000000"/>
                <w:kern w:val="2"/>
                <w:sz w:val="21"/>
                <w:szCs w:val="21"/>
                <w:lang w:val="en-US" w:eastAsia="zh-CN"/>
              </w:rPr>
            </w:pPr>
            <w:r>
              <w:rPr>
                <w:rFonts w:hint="eastAsia" w:ascii="仿宋_GB2312" w:eastAsia="仿宋_GB2312"/>
                <w:color w:val="000000"/>
                <w:kern w:val="2"/>
                <w:sz w:val="21"/>
                <w:szCs w:val="21"/>
                <w:lang w:val="en-US" w:eastAsia="zh-CN"/>
              </w:rPr>
              <w:t>男</w:t>
            </w:r>
          </w:p>
        </w:tc>
        <w:tc>
          <w:tcPr>
            <w:tcW w:w="890" w:type="dxa"/>
            <w:noWrap w:val="0"/>
            <w:vAlign w:val="center"/>
          </w:tcPr>
          <w:p>
            <w:pPr>
              <w:spacing w:line="360" w:lineRule="auto"/>
              <w:jc w:val="center"/>
              <w:rPr>
                <w:rFonts w:hint="default" w:ascii="仿宋_GB2312" w:eastAsia="仿宋_GB2312"/>
                <w:color w:val="000000"/>
                <w:kern w:val="2"/>
                <w:sz w:val="21"/>
                <w:szCs w:val="21"/>
                <w:lang w:val="en-US" w:eastAsia="zh-CN"/>
              </w:rPr>
            </w:pPr>
            <w:r>
              <w:rPr>
                <w:rFonts w:hint="eastAsia" w:ascii="仿宋_GB2312" w:eastAsia="仿宋_GB2312"/>
                <w:color w:val="000000"/>
                <w:kern w:val="2"/>
                <w:sz w:val="21"/>
                <w:szCs w:val="21"/>
                <w:lang w:val="en-US" w:eastAsia="zh-CN"/>
              </w:rPr>
              <w:t>58</w:t>
            </w:r>
          </w:p>
        </w:tc>
        <w:tc>
          <w:tcPr>
            <w:tcW w:w="2095" w:type="dxa"/>
            <w:noWrap w:val="0"/>
            <w:vAlign w:val="center"/>
          </w:tcPr>
          <w:p>
            <w:pPr>
              <w:spacing w:line="360" w:lineRule="auto"/>
              <w:jc w:val="center"/>
              <w:rPr>
                <w:rFonts w:hint="default" w:ascii="仿宋_GB2312" w:eastAsia="仿宋_GB2312"/>
                <w:color w:val="000000"/>
                <w:kern w:val="2"/>
                <w:sz w:val="21"/>
                <w:szCs w:val="21"/>
                <w:lang w:val="en-US" w:eastAsia="zh-CN"/>
              </w:rPr>
            </w:pPr>
            <w:r>
              <w:rPr>
                <w:rFonts w:hint="eastAsia" w:ascii="仿宋_GB2312" w:eastAsia="仿宋_GB2312"/>
                <w:color w:val="000000"/>
                <w:kern w:val="2"/>
                <w:sz w:val="21"/>
                <w:szCs w:val="21"/>
                <w:lang w:val="en-US" w:eastAsia="zh-CN"/>
              </w:rPr>
              <w:t>主任医师</w:t>
            </w:r>
          </w:p>
        </w:tc>
        <w:tc>
          <w:tcPr>
            <w:tcW w:w="2838" w:type="dxa"/>
            <w:noWrap w:val="0"/>
            <w:vAlign w:val="center"/>
          </w:tcPr>
          <w:p>
            <w:pPr>
              <w:spacing w:line="360" w:lineRule="auto"/>
              <w:jc w:val="center"/>
              <w:rPr>
                <w:rFonts w:hint="eastAsia" w:ascii="仿宋_GB2312" w:eastAsia="仿宋_GB2312"/>
                <w:color w:val="000000"/>
                <w:kern w:val="2"/>
                <w:sz w:val="21"/>
                <w:szCs w:val="21"/>
                <w:lang w:val="en-US" w:eastAsia="zh-CN"/>
              </w:rPr>
            </w:pPr>
            <w:r>
              <w:rPr>
                <w:rFonts w:hint="eastAsia" w:ascii="仿宋_GB2312" w:eastAsia="仿宋_GB2312"/>
                <w:color w:val="000000"/>
                <w:kern w:val="2"/>
                <w:sz w:val="21"/>
                <w:szCs w:val="21"/>
                <w:lang w:val="en-US" w:eastAsia="zh-CN"/>
              </w:rPr>
              <w:t>辽宁省疾病预防控制中心</w:t>
            </w:r>
          </w:p>
        </w:tc>
        <w:tc>
          <w:tcPr>
            <w:tcW w:w="1748" w:type="dxa"/>
            <w:noWrap w:val="0"/>
            <w:vAlign w:val="center"/>
          </w:tcPr>
          <w:p>
            <w:pPr>
              <w:spacing w:line="360" w:lineRule="auto"/>
              <w:jc w:val="center"/>
              <w:rPr>
                <w:rFonts w:hint="eastAsia" w:ascii="仿宋_GB2312" w:eastAsia="仿宋_GB2312"/>
                <w:color w:val="000000"/>
                <w:kern w:val="2"/>
                <w:sz w:val="21"/>
                <w:szCs w:val="21"/>
                <w:lang w:val="en-US" w:eastAsia="zh-CN"/>
              </w:rPr>
            </w:pPr>
            <w:r>
              <w:rPr>
                <w:rFonts w:hint="eastAsia" w:ascii="仿宋_GB2312" w:eastAsia="仿宋_GB2312"/>
                <w:color w:val="000000"/>
                <w:kern w:val="2"/>
                <w:sz w:val="21"/>
                <w:szCs w:val="21"/>
                <w:lang w:val="en-US" w:eastAsia="zh-CN"/>
              </w:rPr>
              <w:t>业务分析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1148" w:type="dxa"/>
            <w:noWrap w:val="0"/>
            <w:vAlign w:val="center"/>
          </w:tcPr>
          <w:p>
            <w:pPr>
              <w:spacing w:line="360" w:lineRule="auto"/>
              <w:jc w:val="center"/>
              <w:rPr>
                <w:rFonts w:hint="eastAsia" w:ascii="仿宋_GB2312" w:eastAsia="仿宋_GB2312"/>
                <w:color w:val="000000"/>
                <w:kern w:val="2"/>
                <w:sz w:val="21"/>
                <w:szCs w:val="21"/>
                <w:lang w:val="en-US" w:eastAsia="zh-CN"/>
              </w:rPr>
            </w:pPr>
            <w:r>
              <w:rPr>
                <w:rFonts w:hint="eastAsia" w:ascii="仿宋_GB2312" w:eastAsia="仿宋_GB2312"/>
                <w:color w:val="000000"/>
                <w:kern w:val="2"/>
                <w:sz w:val="21"/>
                <w:szCs w:val="21"/>
                <w:lang w:val="en-US" w:eastAsia="zh-CN"/>
              </w:rPr>
              <w:t>杨佐森</w:t>
            </w:r>
          </w:p>
        </w:tc>
        <w:tc>
          <w:tcPr>
            <w:tcW w:w="1134" w:type="dxa"/>
            <w:noWrap w:val="0"/>
            <w:vAlign w:val="center"/>
          </w:tcPr>
          <w:p>
            <w:pPr>
              <w:spacing w:line="360" w:lineRule="auto"/>
              <w:jc w:val="center"/>
              <w:rPr>
                <w:rFonts w:hint="default" w:ascii="仿宋_GB2312" w:eastAsia="仿宋_GB2312"/>
                <w:color w:val="000000"/>
                <w:kern w:val="2"/>
                <w:sz w:val="21"/>
                <w:szCs w:val="21"/>
                <w:lang w:val="en-US" w:eastAsia="zh-CN"/>
              </w:rPr>
            </w:pPr>
            <w:r>
              <w:rPr>
                <w:rFonts w:hint="eastAsia" w:ascii="仿宋_GB2312" w:eastAsia="仿宋_GB2312"/>
                <w:color w:val="000000"/>
                <w:kern w:val="2"/>
                <w:sz w:val="21"/>
                <w:szCs w:val="21"/>
                <w:lang w:val="en-US" w:eastAsia="zh-CN"/>
              </w:rPr>
              <w:t>男</w:t>
            </w:r>
          </w:p>
        </w:tc>
        <w:tc>
          <w:tcPr>
            <w:tcW w:w="890" w:type="dxa"/>
            <w:noWrap w:val="0"/>
            <w:vAlign w:val="center"/>
          </w:tcPr>
          <w:p>
            <w:pPr>
              <w:spacing w:line="360" w:lineRule="auto"/>
              <w:jc w:val="center"/>
              <w:rPr>
                <w:rFonts w:hint="default" w:ascii="仿宋_GB2312" w:eastAsia="仿宋_GB2312"/>
                <w:color w:val="000000"/>
                <w:kern w:val="2"/>
                <w:sz w:val="21"/>
                <w:szCs w:val="21"/>
                <w:lang w:val="en-US" w:eastAsia="zh-CN"/>
              </w:rPr>
            </w:pPr>
            <w:r>
              <w:rPr>
                <w:rFonts w:hint="eastAsia" w:ascii="仿宋_GB2312" w:eastAsia="仿宋_GB2312"/>
                <w:color w:val="000000"/>
                <w:kern w:val="2"/>
                <w:sz w:val="21"/>
                <w:szCs w:val="21"/>
                <w:lang w:val="en-US" w:eastAsia="zh-CN"/>
              </w:rPr>
              <w:t>60</w:t>
            </w:r>
          </w:p>
        </w:tc>
        <w:tc>
          <w:tcPr>
            <w:tcW w:w="2095" w:type="dxa"/>
            <w:noWrap w:val="0"/>
            <w:vAlign w:val="center"/>
          </w:tcPr>
          <w:p>
            <w:pPr>
              <w:spacing w:line="360" w:lineRule="auto"/>
              <w:jc w:val="center"/>
              <w:rPr>
                <w:rFonts w:hint="eastAsia" w:ascii="仿宋_GB2312" w:eastAsia="仿宋_GB2312"/>
                <w:color w:val="000000"/>
                <w:kern w:val="2"/>
                <w:sz w:val="21"/>
                <w:szCs w:val="21"/>
                <w:lang w:val="en-US" w:eastAsia="zh-CN"/>
              </w:rPr>
            </w:pPr>
            <w:r>
              <w:rPr>
                <w:rFonts w:hint="eastAsia" w:ascii="仿宋_GB2312" w:eastAsia="仿宋_GB2312"/>
                <w:color w:val="000000"/>
                <w:kern w:val="2"/>
                <w:sz w:val="21"/>
                <w:szCs w:val="21"/>
                <w:lang w:val="en-US" w:eastAsia="zh-CN"/>
              </w:rPr>
              <w:t>主任医师</w:t>
            </w:r>
          </w:p>
        </w:tc>
        <w:tc>
          <w:tcPr>
            <w:tcW w:w="2838" w:type="dxa"/>
            <w:noWrap w:val="0"/>
            <w:vAlign w:val="center"/>
          </w:tcPr>
          <w:p>
            <w:pPr>
              <w:spacing w:line="360" w:lineRule="auto"/>
              <w:jc w:val="center"/>
              <w:rPr>
                <w:rFonts w:hint="eastAsia" w:ascii="仿宋_GB2312" w:eastAsia="仿宋_GB2312"/>
                <w:color w:val="000000"/>
                <w:kern w:val="2"/>
                <w:sz w:val="21"/>
                <w:szCs w:val="21"/>
                <w:lang w:val="en-US" w:eastAsia="zh-CN"/>
              </w:rPr>
            </w:pPr>
            <w:r>
              <w:rPr>
                <w:rFonts w:hint="eastAsia" w:ascii="仿宋_GB2312" w:eastAsia="仿宋_GB2312"/>
                <w:color w:val="000000"/>
                <w:kern w:val="2"/>
                <w:sz w:val="21"/>
                <w:szCs w:val="21"/>
                <w:lang w:val="en-US" w:eastAsia="zh-CN"/>
              </w:rPr>
              <w:t>辽宁省疾病预防控制中心</w:t>
            </w:r>
          </w:p>
        </w:tc>
        <w:tc>
          <w:tcPr>
            <w:tcW w:w="1748" w:type="dxa"/>
            <w:noWrap w:val="0"/>
            <w:vAlign w:val="center"/>
          </w:tcPr>
          <w:p>
            <w:pPr>
              <w:spacing w:line="360" w:lineRule="auto"/>
              <w:jc w:val="center"/>
              <w:rPr>
                <w:rFonts w:hint="eastAsia" w:ascii="仿宋_GB2312" w:eastAsia="仿宋_GB2312"/>
                <w:color w:val="000000"/>
                <w:kern w:val="2"/>
                <w:sz w:val="21"/>
                <w:szCs w:val="21"/>
                <w:lang w:val="en-US" w:eastAsia="zh-CN"/>
              </w:rPr>
            </w:pPr>
            <w:r>
              <w:rPr>
                <w:rFonts w:hint="eastAsia" w:ascii="仿宋_GB2312" w:eastAsia="仿宋_GB2312"/>
                <w:color w:val="000000"/>
                <w:kern w:val="2"/>
                <w:sz w:val="21"/>
                <w:szCs w:val="21"/>
                <w:lang w:val="en-US" w:eastAsia="zh-CN"/>
              </w:rPr>
              <w:t>项目管理</w:t>
            </w:r>
          </w:p>
        </w:tc>
      </w:tr>
    </w:tbl>
    <w:p>
      <w:pPr>
        <w:pStyle w:val="3"/>
        <w:spacing w:line="360" w:lineRule="auto"/>
        <w:rPr>
          <w:rFonts w:hint="eastAsia" w:ascii="黑体" w:hAnsi="Times New Roman" w:eastAsia="黑体" w:cs="Times New Roman"/>
          <w:b/>
          <w:bCs/>
          <w:kern w:val="44"/>
          <w:sz w:val="21"/>
          <w:szCs w:val="21"/>
          <w:lang w:val="en-US" w:eastAsia="zh-CN" w:bidi="ar-SA"/>
        </w:rPr>
      </w:pPr>
      <w:r>
        <w:rPr>
          <w:rFonts w:hint="eastAsia" w:ascii="黑体" w:hAnsi="Times New Roman" w:eastAsia="黑体" w:cs="Times New Roman"/>
          <w:b/>
          <w:bCs/>
          <w:kern w:val="44"/>
          <w:sz w:val="21"/>
          <w:szCs w:val="21"/>
          <w:lang w:val="en-US" w:eastAsia="zh-CN" w:bidi="ar-SA"/>
        </w:rPr>
        <w:t>6.主要工作过程</w:t>
      </w:r>
      <w:bookmarkEnd w:id="8"/>
    </w:p>
    <w:p>
      <w:pPr>
        <w:spacing w:line="360" w:lineRule="auto"/>
        <w:rPr>
          <w:rFonts w:hint="eastAsia" w:ascii="黑体" w:hAnsi="Times New Roman" w:eastAsia="黑体" w:cs="Times New Roman"/>
          <w:b/>
          <w:bCs/>
          <w:kern w:val="44"/>
          <w:sz w:val="21"/>
          <w:szCs w:val="21"/>
          <w:lang w:val="en-US" w:eastAsia="zh-CN" w:bidi="ar-SA"/>
        </w:rPr>
      </w:pPr>
      <w:r>
        <w:rPr>
          <w:rFonts w:hint="eastAsia" w:ascii="黑体" w:hAnsi="Times New Roman" w:eastAsia="黑体" w:cs="Times New Roman"/>
          <w:b/>
          <w:bCs/>
          <w:kern w:val="44"/>
          <w:sz w:val="21"/>
          <w:szCs w:val="21"/>
          <w:lang w:val="en-US" w:eastAsia="zh-CN" w:bidi="ar-SA"/>
        </w:rPr>
        <w:t>6.1主要起草单位成立起草组  2022年9月</w:t>
      </w:r>
    </w:p>
    <w:p>
      <w:pPr>
        <w:spacing w:line="360" w:lineRule="auto"/>
        <w:ind w:firstLine="315" w:firstLineChars="150"/>
        <w:rPr>
          <w:rFonts w:hint="eastAsia" w:ascii="宋体" w:hAnsi="宋体" w:eastAsia="宋体" w:cs="宋体"/>
          <w:sz w:val="21"/>
          <w:szCs w:val="21"/>
        </w:rPr>
      </w:pPr>
      <w:r>
        <w:rPr>
          <w:rFonts w:hint="eastAsia" w:ascii="宋体" w:hAnsi="宋体" w:eastAsia="宋体" w:cs="宋体"/>
          <w:sz w:val="21"/>
          <w:szCs w:val="21"/>
        </w:rPr>
        <w:t>项目计划下达后，牵头单位辽宁省疾病预防控制中心按照辽宁省市场监管局有关文件制定编制计划，开展前期准备工作，联合协作单位成立标准起草小组着手标准草案的编制工作。</w:t>
      </w:r>
    </w:p>
    <w:p>
      <w:pPr>
        <w:spacing w:line="360" w:lineRule="auto"/>
        <w:rPr>
          <w:rFonts w:hint="eastAsia" w:ascii="黑体" w:hAnsi="Times New Roman" w:eastAsia="黑体" w:cs="Times New Roman"/>
          <w:b/>
          <w:bCs/>
          <w:kern w:val="44"/>
          <w:sz w:val="21"/>
          <w:szCs w:val="21"/>
          <w:lang w:val="en-US" w:eastAsia="zh-CN" w:bidi="ar-SA"/>
        </w:rPr>
      </w:pPr>
      <w:r>
        <w:rPr>
          <w:rFonts w:hint="eastAsia" w:ascii="黑体" w:hAnsi="Times New Roman" w:eastAsia="黑体" w:cs="Times New Roman"/>
          <w:b/>
          <w:bCs/>
          <w:kern w:val="44"/>
          <w:sz w:val="21"/>
          <w:szCs w:val="21"/>
          <w:lang w:val="en-US" w:eastAsia="zh-CN" w:bidi="ar-SA"/>
        </w:rPr>
        <w:t>6.2收集分析整理资料  2023年9月～12月</w:t>
      </w:r>
    </w:p>
    <w:p>
      <w:pPr>
        <w:spacing w:line="360" w:lineRule="auto"/>
        <w:ind w:firstLine="315" w:firstLineChars="150"/>
        <w:rPr>
          <w:rFonts w:hint="eastAsia" w:ascii="宋体" w:hAnsi="宋体" w:eastAsia="宋体" w:cs="宋体"/>
          <w:sz w:val="21"/>
          <w:szCs w:val="21"/>
        </w:rPr>
      </w:pPr>
      <w:r>
        <w:rPr>
          <w:rFonts w:hint="eastAsia" w:ascii="宋体" w:hAnsi="宋体" w:eastAsia="宋体" w:cs="宋体"/>
          <w:sz w:val="21"/>
          <w:szCs w:val="21"/>
        </w:rPr>
        <w:t>标准起草小组进行了系统的资料收集和调查研究工作。首先收集相关法律法规、相关标准及期刊论文等，为标准研制和编写提供参考资料。二是起草组工作人员对省内主要城市如沈阳、大连、鞍山等地开展实地考察和调研，熟悉了门诊疫苗自动储存与分发系统（简称储发系统）的应用现状、场地环境</w:t>
      </w:r>
      <w:r>
        <w:rPr>
          <w:rFonts w:hint="eastAsia" w:ascii="宋体" w:hAnsi="宋体" w:eastAsia="宋体" w:cs="宋体"/>
          <w:sz w:val="21"/>
          <w:szCs w:val="21"/>
          <w:lang w:eastAsia="zh-CN"/>
        </w:rPr>
        <w:t>、</w:t>
      </w:r>
      <w:r>
        <w:rPr>
          <w:rFonts w:hint="eastAsia" w:ascii="宋体" w:hAnsi="宋体" w:eastAsia="宋体" w:cs="宋体"/>
          <w:sz w:val="21"/>
          <w:szCs w:val="21"/>
        </w:rPr>
        <w:t>设施设备、应用流程等关键环节，为标准编制做好准备。三是就门诊疫苗储发系统的术语定义、功能、技术要点以及安全要求，与行业有代表性的企业沈苏科技（苏州）股份有限公司专业人员和管理人员进行了重点研讨。四是在认真总结国家及我省在门诊疫苗储发系统领域现状和实践经验基础上对调研情况和收集到的资料进行反复分析研究后，确立了编制本标准的基本架构。</w:t>
      </w:r>
    </w:p>
    <w:p>
      <w:pPr>
        <w:spacing w:line="360" w:lineRule="auto"/>
        <w:rPr>
          <w:rFonts w:hint="eastAsia" w:ascii="黑体" w:hAnsi="Times New Roman" w:eastAsia="黑体" w:cs="Times New Roman"/>
          <w:b/>
          <w:bCs/>
          <w:kern w:val="44"/>
          <w:sz w:val="21"/>
          <w:szCs w:val="21"/>
          <w:lang w:val="en-US" w:eastAsia="zh-CN" w:bidi="ar-SA"/>
        </w:rPr>
      </w:pPr>
      <w:r>
        <w:rPr>
          <w:rFonts w:hint="eastAsia" w:ascii="黑体" w:hAnsi="Times New Roman" w:eastAsia="黑体" w:cs="Times New Roman"/>
          <w:b/>
          <w:bCs/>
          <w:kern w:val="44"/>
          <w:sz w:val="21"/>
          <w:szCs w:val="21"/>
          <w:lang w:val="en-US" w:eastAsia="zh-CN" w:bidi="ar-SA"/>
        </w:rPr>
        <w:t>6.3形成标准草案  2024年1月～2月</w:t>
      </w:r>
    </w:p>
    <w:p>
      <w:pPr>
        <w:spacing w:line="360" w:lineRule="auto"/>
        <w:ind w:firstLine="315" w:firstLineChars="150"/>
        <w:rPr>
          <w:rFonts w:hint="eastAsia" w:ascii="宋体" w:hAnsi="宋体" w:eastAsia="宋体" w:cs="宋体"/>
          <w:sz w:val="21"/>
          <w:szCs w:val="21"/>
        </w:rPr>
      </w:pPr>
      <w:r>
        <w:rPr>
          <w:rFonts w:hint="eastAsia" w:ascii="宋体" w:hAnsi="宋体" w:eastAsia="宋体" w:cs="宋体"/>
          <w:sz w:val="21"/>
          <w:szCs w:val="21"/>
        </w:rPr>
        <w:t>《预防接种门诊疫苗自动储存与分发系统的基本功能规范》标准起草小组按照《辽宁省地方标准管理办法》《辽宁省地方标准制修订工作细则（试行）》的有关要求，以认真负责、科学规范、客观公正、实事求是的态度，从制定标准的科学性、先进性和可操作性的原则出发，以《中华人民共和国疫苗管理法》《预防接种工作规范（2023年版）》两个法规文件为依据，参考了GB 40050—2021《网络关键设备安全通用要求》；GB 50052—2009《供配电系统设计规范》；GB 50054—2011《低压配电设计规范》；GB 50311—2007《综合布线系统工程设计规范》；GB 50396—2007《出入口控制系统工程设计规范》；JGJ/T 16—2008《民用建筑电气设计规范》； T/LYYH 001—2023《辽宁省智慧化预防接种门诊功能标准》相关指导性国家标准、行业标准及团体标准后，结合我省的具体情况,并积极吸纳了重点门诊系统应用实践和成熟的工作经验，经过进一步分析整理，形成了标准草案稿。</w:t>
      </w:r>
    </w:p>
    <w:p>
      <w:pPr>
        <w:spacing w:line="360" w:lineRule="auto"/>
        <w:rPr>
          <w:rFonts w:hint="eastAsia" w:ascii="黑体" w:hAnsi="Times New Roman" w:eastAsia="黑体" w:cs="Times New Roman"/>
          <w:b/>
          <w:bCs/>
          <w:kern w:val="44"/>
          <w:sz w:val="21"/>
          <w:szCs w:val="21"/>
          <w:lang w:val="en-US" w:eastAsia="zh-CN" w:bidi="ar-SA"/>
        </w:rPr>
      </w:pPr>
      <w:r>
        <w:rPr>
          <w:rFonts w:hint="eastAsia" w:ascii="黑体" w:hAnsi="Times New Roman" w:eastAsia="黑体" w:cs="Times New Roman"/>
          <w:b/>
          <w:bCs/>
          <w:kern w:val="44"/>
          <w:sz w:val="21"/>
          <w:szCs w:val="21"/>
          <w:lang w:val="en-US" w:eastAsia="zh-CN" w:bidi="ar-SA"/>
        </w:rPr>
        <w:t>6.4形成标准征求意见稿  202</w:t>
      </w:r>
      <w:r>
        <w:rPr>
          <w:rFonts w:hint="eastAsia" w:ascii="黑体" w:eastAsia="黑体" w:cs="Times New Roman"/>
          <w:b/>
          <w:bCs/>
          <w:kern w:val="44"/>
          <w:sz w:val="21"/>
          <w:szCs w:val="21"/>
          <w:lang w:val="en-US" w:eastAsia="zh-CN" w:bidi="ar-SA"/>
        </w:rPr>
        <w:t>4</w:t>
      </w:r>
      <w:r>
        <w:rPr>
          <w:rFonts w:hint="eastAsia" w:ascii="黑体" w:hAnsi="Times New Roman" w:eastAsia="黑体" w:cs="Times New Roman"/>
          <w:b/>
          <w:bCs/>
          <w:kern w:val="44"/>
          <w:sz w:val="21"/>
          <w:szCs w:val="21"/>
          <w:lang w:val="en-US" w:eastAsia="zh-CN" w:bidi="ar-SA"/>
        </w:rPr>
        <w:t>年3月～4月</w:t>
      </w:r>
    </w:p>
    <w:p>
      <w:pPr>
        <w:spacing w:line="360" w:lineRule="auto"/>
        <w:ind w:firstLine="315" w:firstLineChars="150"/>
        <w:rPr>
          <w:rFonts w:hint="eastAsia" w:ascii="宋体" w:hAnsi="宋体" w:eastAsia="宋体" w:cs="宋体"/>
          <w:sz w:val="21"/>
          <w:szCs w:val="21"/>
        </w:rPr>
      </w:pPr>
      <w:r>
        <w:rPr>
          <w:rFonts w:hint="eastAsia" w:ascii="宋体" w:hAnsi="宋体" w:eastAsia="宋体" w:cs="宋体"/>
          <w:sz w:val="21"/>
          <w:szCs w:val="21"/>
        </w:rPr>
        <w:t>2024年3月起，起草组先后赴沈阳</w:t>
      </w:r>
      <w:r>
        <w:rPr>
          <w:rFonts w:hint="eastAsia" w:ascii="宋体" w:hAnsi="宋体" w:eastAsia="宋体" w:cs="宋体"/>
          <w:sz w:val="21"/>
          <w:szCs w:val="21"/>
          <w:lang w:val="en-US" w:eastAsia="zh-CN"/>
        </w:rPr>
        <w:t>市和平区</w:t>
      </w:r>
      <w:r>
        <w:rPr>
          <w:rFonts w:hint="eastAsia" w:ascii="宋体" w:hAnsi="宋体" w:eastAsia="宋体" w:cs="宋体"/>
          <w:sz w:val="21"/>
          <w:szCs w:val="21"/>
        </w:rPr>
        <w:t>长白社区卫生服务中心、沈阳市大东区万泉社区卫生服务中心，沈阳市大东区二台子社区卫生服务中心，沈阳市大东区文官社区卫生服务中心，沈阳市大东区蓝盾接种门诊等系统应用单位调研，并开展组内讨论。经过研讨，进一步明确了标准的主体结构，确定了主要内容，并对标准的编制提出了进一步修改意见形成了征求意见稿。</w:t>
      </w:r>
    </w:p>
    <w:p>
      <w:pPr>
        <w:spacing w:line="360" w:lineRule="auto"/>
        <w:ind w:firstLine="315" w:firstLineChars="150"/>
        <w:rPr>
          <w:rFonts w:hint="eastAsia" w:ascii="宋体" w:hAnsi="宋体" w:eastAsia="宋体" w:cs="宋体"/>
          <w:sz w:val="21"/>
          <w:szCs w:val="21"/>
        </w:rPr>
      </w:pPr>
      <w:r>
        <w:rPr>
          <w:rFonts w:hint="eastAsia" w:ascii="宋体" w:hAnsi="宋体" w:eastAsia="宋体" w:cs="宋体"/>
          <w:sz w:val="21"/>
          <w:szCs w:val="21"/>
        </w:rPr>
        <w:t>2024年4月，起草组依据《辽宁省地方标准管理办法》，分别向省行业主管部门和省标准化主管部门申请官网公示30天，收集社会反馈意见和建议。</w:t>
      </w:r>
    </w:p>
    <w:p>
      <w:pPr>
        <w:pStyle w:val="2"/>
        <w:spacing w:line="360" w:lineRule="auto"/>
        <w:rPr>
          <w:rFonts w:hint="eastAsia" w:ascii="黑体" w:hAnsi="Times New Roman" w:eastAsia="黑体" w:cs="Times New Roman"/>
          <w:b/>
          <w:bCs/>
          <w:sz w:val="21"/>
          <w:szCs w:val="21"/>
        </w:rPr>
      </w:pPr>
      <w:bookmarkStart w:id="9" w:name="_Toc164235126"/>
      <w:r>
        <w:rPr>
          <w:rFonts w:hint="eastAsia" w:ascii="黑体" w:hAnsi="Times New Roman" w:eastAsia="黑体" w:cs="Times New Roman"/>
          <w:b/>
          <w:bCs/>
          <w:sz w:val="21"/>
          <w:szCs w:val="21"/>
        </w:rPr>
        <w:t>二、标准编制原则和确定地方标准主要内容的论据</w:t>
      </w:r>
      <w:bookmarkEnd w:id="9"/>
    </w:p>
    <w:p>
      <w:pPr>
        <w:pStyle w:val="3"/>
        <w:spacing w:line="360" w:lineRule="auto"/>
        <w:rPr>
          <w:rFonts w:hint="eastAsia" w:ascii="黑体" w:hAnsi="Times New Roman" w:eastAsia="黑体" w:cs="Times New Roman"/>
          <w:b/>
          <w:bCs/>
          <w:kern w:val="44"/>
          <w:sz w:val="21"/>
          <w:szCs w:val="21"/>
          <w:lang w:val="en-US" w:eastAsia="zh-CN" w:bidi="ar-SA"/>
        </w:rPr>
      </w:pPr>
      <w:bookmarkStart w:id="10" w:name="_Toc164235127"/>
      <w:r>
        <w:rPr>
          <w:rFonts w:hint="eastAsia" w:ascii="黑体" w:hAnsi="Times New Roman" w:eastAsia="黑体" w:cs="Times New Roman"/>
          <w:b/>
          <w:bCs/>
          <w:kern w:val="44"/>
          <w:sz w:val="21"/>
          <w:szCs w:val="21"/>
          <w:lang w:val="en-US" w:eastAsia="zh-CN" w:bidi="ar-SA"/>
        </w:rPr>
        <w:t>1.编制原则</w:t>
      </w:r>
      <w:bookmarkEnd w:id="10"/>
    </w:p>
    <w:p>
      <w:pPr>
        <w:spacing w:line="360" w:lineRule="auto"/>
        <w:rPr>
          <w:rFonts w:hint="eastAsia" w:ascii="黑体" w:hAnsi="Times New Roman" w:eastAsia="黑体" w:cs="Times New Roman"/>
          <w:b/>
          <w:bCs/>
          <w:kern w:val="44"/>
          <w:sz w:val="21"/>
          <w:szCs w:val="21"/>
          <w:lang w:val="en-US" w:eastAsia="zh-CN" w:bidi="ar-SA"/>
        </w:rPr>
      </w:pPr>
      <w:r>
        <w:rPr>
          <w:rFonts w:hint="eastAsia" w:ascii="黑体" w:hAnsi="Times New Roman" w:eastAsia="黑体" w:cs="Times New Roman"/>
          <w:b/>
          <w:bCs/>
          <w:kern w:val="44"/>
          <w:sz w:val="21"/>
          <w:szCs w:val="21"/>
          <w:lang w:val="en-US" w:eastAsia="zh-CN" w:bidi="ar-SA"/>
        </w:rPr>
        <w:t>1.1科学性原则</w:t>
      </w:r>
    </w:p>
    <w:p>
      <w:pPr>
        <w:spacing w:line="360" w:lineRule="auto"/>
        <w:ind w:firstLine="315" w:firstLineChars="150"/>
        <w:rPr>
          <w:rFonts w:hint="eastAsia" w:ascii="宋体" w:hAnsi="宋体" w:eastAsia="宋体" w:cs="宋体"/>
          <w:sz w:val="21"/>
          <w:szCs w:val="21"/>
        </w:rPr>
      </w:pPr>
      <w:r>
        <w:rPr>
          <w:rFonts w:hint="eastAsia" w:ascii="宋体" w:hAnsi="宋体" w:eastAsia="宋体" w:cs="宋体"/>
          <w:sz w:val="21"/>
          <w:szCs w:val="21"/>
        </w:rPr>
        <w:t>本规范各项技术遵循国际标准、国家标准、行业</w:t>
      </w:r>
      <w:r>
        <w:rPr>
          <w:rFonts w:hint="eastAsia" w:ascii="宋体" w:hAnsi="宋体" w:eastAsia="宋体" w:cs="宋体"/>
          <w:sz w:val="21"/>
          <w:szCs w:val="21"/>
          <w:lang w:val="en-US" w:eastAsia="zh-CN"/>
        </w:rPr>
        <w:t>标准</w:t>
      </w:r>
      <w:r>
        <w:rPr>
          <w:rFonts w:hint="eastAsia" w:ascii="宋体" w:hAnsi="宋体" w:eastAsia="宋体" w:cs="宋体"/>
          <w:sz w:val="21"/>
          <w:szCs w:val="21"/>
        </w:rPr>
        <w:t>和相关规范</w:t>
      </w:r>
      <w:r>
        <w:rPr>
          <w:rFonts w:hint="eastAsia" w:ascii="宋体" w:hAnsi="宋体" w:eastAsia="宋体" w:cs="宋体"/>
          <w:sz w:val="21"/>
          <w:szCs w:val="21"/>
          <w:lang w:eastAsia="zh-CN"/>
        </w:rPr>
        <w:t>，</w:t>
      </w:r>
      <w:r>
        <w:rPr>
          <w:rFonts w:hint="eastAsia" w:ascii="宋体" w:hAnsi="宋体" w:eastAsia="宋体" w:cs="宋体"/>
          <w:sz w:val="21"/>
          <w:szCs w:val="21"/>
        </w:rPr>
        <w:t>所采用的硬件平台、软件平台、网络协议等</w:t>
      </w:r>
      <w:r>
        <w:rPr>
          <w:rFonts w:hint="eastAsia" w:ascii="宋体" w:hAnsi="宋体" w:eastAsia="宋体" w:cs="宋体"/>
          <w:sz w:val="21"/>
          <w:szCs w:val="21"/>
          <w:lang w:val="en-US" w:eastAsia="zh-CN"/>
        </w:rPr>
        <w:t>为</w:t>
      </w:r>
      <w:r>
        <w:rPr>
          <w:rFonts w:hint="eastAsia" w:ascii="宋体" w:hAnsi="宋体" w:eastAsia="宋体" w:cs="宋体"/>
          <w:sz w:val="21"/>
          <w:szCs w:val="21"/>
        </w:rPr>
        <w:t>国内外厂商支持的国际标准协议</w:t>
      </w:r>
      <w:r>
        <w:rPr>
          <w:rFonts w:hint="eastAsia" w:ascii="宋体" w:hAnsi="宋体" w:eastAsia="宋体" w:cs="宋体"/>
          <w:sz w:val="21"/>
          <w:szCs w:val="21"/>
          <w:lang w:eastAsia="zh-CN"/>
        </w:rPr>
        <w:t>，</w:t>
      </w:r>
      <w:r>
        <w:rPr>
          <w:rFonts w:hint="eastAsia" w:ascii="宋体" w:hAnsi="宋体" w:eastAsia="宋体" w:cs="宋体"/>
          <w:sz w:val="21"/>
          <w:szCs w:val="21"/>
        </w:rPr>
        <w:t>使系统的硬件环境、软件环境、操作平台之间协调统一，发挥各自优势，为信息的互通和应用创造有利的条件。本标准与GA/T 74—2017《安全防范系统通用图形符号》；GB/T 41867《信息技术 人工智能 术语》；GB/T 42030—2022《智能制造 射频识别系统 超高频读写应用编程接口》；T/CPMA 016—2020《数字化预防接种门诊基本功能标准》相协调一致。</w:t>
      </w:r>
    </w:p>
    <w:p>
      <w:pPr>
        <w:spacing w:line="360" w:lineRule="auto"/>
        <w:rPr>
          <w:rFonts w:hint="eastAsia" w:ascii="黑体" w:hAnsi="Times New Roman" w:eastAsia="黑体" w:cs="Times New Roman"/>
          <w:b/>
          <w:bCs/>
          <w:kern w:val="44"/>
          <w:sz w:val="21"/>
          <w:szCs w:val="21"/>
          <w:lang w:val="en-US" w:eastAsia="zh-CN" w:bidi="ar-SA"/>
        </w:rPr>
      </w:pPr>
      <w:r>
        <w:rPr>
          <w:rFonts w:hint="eastAsia" w:ascii="黑体" w:hAnsi="Times New Roman" w:eastAsia="黑体" w:cs="Times New Roman"/>
          <w:b/>
          <w:bCs/>
          <w:kern w:val="44"/>
          <w:sz w:val="21"/>
          <w:szCs w:val="21"/>
          <w:lang w:val="en-US" w:eastAsia="zh-CN" w:bidi="ar-SA"/>
        </w:rPr>
        <w:t>1.2实用性原则</w:t>
      </w:r>
    </w:p>
    <w:p>
      <w:pPr>
        <w:spacing w:line="360" w:lineRule="auto"/>
        <w:ind w:firstLine="315" w:firstLineChars="150"/>
        <w:rPr>
          <w:rFonts w:hint="eastAsia" w:ascii="宋体" w:hAnsi="宋体" w:eastAsia="宋体" w:cs="宋体"/>
          <w:sz w:val="21"/>
          <w:szCs w:val="21"/>
        </w:rPr>
      </w:pPr>
      <w:r>
        <w:rPr>
          <w:rFonts w:hint="eastAsia" w:ascii="宋体" w:hAnsi="宋体" w:eastAsia="宋体" w:cs="宋体"/>
          <w:sz w:val="21"/>
          <w:szCs w:val="21"/>
        </w:rPr>
        <w:t>本规范将提供具有较强互动性的用户操作界面，具备直观易用的人机界面，使得系统操作方便、快速、简捷；满足业务人员日常工作习惯</w:t>
      </w:r>
      <w:r>
        <w:rPr>
          <w:rFonts w:hint="eastAsia" w:ascii="宋体" w:hAnsi="宋体" w:eastAsia="宋体" w:cs="宋体"/>
          <w:sz w:val="21"/>
          <w:szCs w:val="21"/>
          <w:lang w:eastAsia="zh-CN"/>
        </w:rPr>
        <w:t>，</w:t>
      </w:r>
      <w:r>
        <w:rPr>
          <w:rFonts w:hint="eastAsia" w:ascii="宋体" w:hAnsi="宋体" w:eastAsia="宋体" w:cs="宋体"/>
          <w:sz w:val="21"/>
          <w:szCs w:val="21"/>
        </w:rPr>
        <w:t>流程功能管理应追求实用性，切合预防接种领域的实际业务需求，技术上要有一定高度，手段强调实用，操作直观简便。</w:t>
      </w:r>
    </w:p>
    <w:p>
      <w:pPr>
        <w:spacing w:line="360" w:lineRule="auto"/>
        <w:rPr>
          <w:rFonts w:hint="eastAsia" w:ascii="黑体" w:hAnsi="Times New Roman" w:eastAsia="黑体" w:cs="Times New Roman"/>
          <w:b/>
          <w:bCs/>
          <w:kern w:val="44"/>
          <w:sz w:val="21"/>
          <w:szCs w:val="21"/>
          <w:lang w:val="en-US" w:eastAsia="zh-CN" w:bidi="ar-SA"/>
        </w:rPr>
      </w:pPr>
      <w:r>
        <w:rPr>
          <w:rFonts w:hint="eastAsia" w:ascii="黑体" w:hAnsi="Times New Roman" w:eastAsia="黑体" w:cs="Times New Roman"/>
          <w:b/>
          <w:bCs/>
          <w:kern w:val="44"/>
          <w:sz w:val="21"/>
          <w:szCs w:val="21"/>
          <w:lang w:val="en-US" w:eastAsia="zh-CN" w:bidi="ar-SA"/>
        </w:rPr>
        <w:t>1.3适用性原则</w:t>
      </w:r>
    </w:p>
    <w:p>
      <w:pPr>
        <w:spacing w:line="360" w:lineRule="auto"/>
        <w:ind w:firstLine="315" w:firstLineChars="150"/>
        <w:rPr>
          <w:rFonts w:hint="eastAsia" w:ascii="宋体" w:hAnsi="宋体" w:eastAsia="宋体" w:cs="宋体"/>
          <w:sz w:val="21"/>
          <w:szCs w:val="21"/>
        </w:rPr>
      </w:pPr>
      <w:r>
        <w:rPr>
          <w:rFonts w:hint="eastAsia" w:ascii="宋体" w:hAnsi="宋体" w:eastAsia="宋体" w:cs="宋体"/>
          <w:sz w:val="21"/>
          <w:szCs w:val="21"/>
        </w:rPr>
        <w:t>本规范的设计应充分考虑到现有的技术投资以及未来的功能要求，利用多种集成技术，使整个系统既能保护现有投资，又能够适应未来的功能和技术要求。</w:t>
      </w:r>
    </w:p>
    <w:p>
      <w:pPr>
        <w:spacing w:line="360" w:lineRule="auto"/>
        <w:rPr>
          <w:rFonts w:hint="eastAsia" w:ascii="黑体" w:hAnsi="Times New Roman" w:eastAsia="黑体" w:cs="Times New Roman"/>
          <w:b/>
          <w:bCs/>
          <w:kern w:val="44"/>
          <w:sz w:val="21"/>
          <w:szCs w:val="21"/>
          <w:lang w:val="en-US" w:eastAsia="zh-CN" w:bidi="ar-SA"/>
        </w:rPr>
      </w:pPr>
      <w:r>
        <w:rPr>
          <w:rFonts w:hint="eastAsia" w:ascii="黑体" w:hAnsi="Times New Roman" w:eastAsia="黑体" w:cs="Times New Roman"/>
          <w:b/>
          <w:bCs/>
          <w:kern w:val="44"/>
          <w:sz w:val="21"/>
          <w:szCs w:val="21"/>
          <w:lang w:val="en-US" w:eastAsia="zh-CN" w:bidi="ar-SA"/>
        </w:rPr>
        <w:t>1.4可操作性原则</w:t>
      </w:r>
    </w:p>
    <w:p>
      <w:pPr>
        <w:spacing w:line="360" w:lineRule="auto"/>
        <w:ind w:firstLine="315" w:firstLineChars="150"/>
        <w:rPr>
          <w:rFonts w:hint="eastAsia" w:ascii="宋体" w:hAnsi="宋体" w:eastAsia="宋体" w:cs="宋体"/>
          <w:sz w:val="21"/>
          <w:szCs w:val="21"/>
        </w:rPr>
      </w:pPr>
      <w:r>
        <w:rPr>
          <w:rFonts w:hint="eastAsia" w:ascii="宋体" w:hAnsi="宋体" w:eastAsia="宋体" w:cs="宋体"/>
          <w:sz w:val="21"/>
          <w:szCs w:val="21"/>
        </w:rPr>
        <w:t>系统设计采用可操作、可维修性和优化设计等技术，建立可操作性模型，强化项目管理和质量保证，满足客户对系统质量和安全的要求。</w:t>
      </w:r>
    </w:p>
    <w:p>
      <w:pPr>
        <w:spacing w:line="360" w:lineRule="auto"/>
        <w:rPr>
          <w:rFonts w:hint="eastAsia" w:ascii="黑体" w:hAnsi="Times New Roman" w:eastAsia="黑体" w:cs="Times New Roman"/>
          <w:b/>
          <w:bCs/>
          <w:kern w:val="44"/>
          <w:sz w:val="21"/>
          <w:szCs w:val="21"/>
          <w:lang w:val="en-US" w:eastAsia="zh-CN" w:bidi="ar-SA"/>
        </w:rPr>
      </w:pPr>
      <w:r>
        <w:rPr>
          <w:rFonts w:hint="eastAsia" w:ascii="黑体" w:hAnsi="Times New Roman" w:eastAsia="黑体" w:cs="Times New Roman"/>
          <w:b/>
          <w:bCs/>
          <w:kern w:val="44"/>
          <w:sz w:val="21"/>
          <w:szCs w:val="21"/>
          <w:lang w:val="en-US" w:eastAsia="zh-CN" w:bidi="ar-SA"/>
        </w:rPr>
        <w:t>1.5经济性原则</w:t>
      </w:r>
    </w:p>
    <w:p>
      <w:pPr>
        <w:spacing w:line="360" w:lineRule="auto"/>
        <w:ind w:firstLine="315" w:firstLineChars="150"/>
        <w:rPr>
          <w:rFonts w:hint="eastAsia" w:ascii="宋体" w:hAnsi="宋体" w:eastAsia="宋体" w:cs="宋体"/>
          <w:sz w:val="21"/>
          <w:szCs w:val="21"/>
        </w:rPr>
      </w:pPr>
      <w:r>
        <w:rPr>
          <w:rFonts w:hint="eastAsia" w:ascii="宋体" w:hAnsi="宋体" w:eastAsia="宋体" w:cs="宋体"/>
          <w:sz w:val="21"/>
          <w:szCs w:val="21"/>
        </w:rPr>
        <w:t>规范的编制注重实践的社会效益、管理效益和经济效益。主要包括两方面的内容：对现有应用环境的保护，即选择的结构应该最大限度的利用系统现有的设备，配套人力、网络资源，尽力再追加技术投资；对系统延续性的保护，即系统业务的选择应该是可发展的，可以在一段时期内，稳定满足业务发展以及技术发展的需要。</w:t>
      </w:r>
    </w:p>
    <w:p>
      <w:pPr>
        <w:pStyle w:val="3"/>
        <w:spacing w:line="360" w:lineRule="auto"/>
        <w:rPr>
          <w:rFonts w:hint="eastAsia" w:ascii="黑体" w:hAnsi="Times New Roman" w:eastAsia="黑体" w:cs="Times New Roman"/>
          <w:b/>
          <w:bCs/>
          <w:kern w:val="44"/>
          <w:sz w:val="21"/>
          <w:szCs w:val="21"/>
          <w:lang w:val="en-US" w:eastAsia="zh-CN" w:bidi="ar-SA"/>
        </w:rPr>
      </w:pPr>
      <w:bookmarkStart w:id="11" w:name="_Toc164235128"/>
      <w:r>
        <w:rPr>
          <w:rFonts w:hint="eastAsia" w:ascii="黑体" w:hAnsi="Times New Roman" w:eastAsia="黑体" w:cs="Times New Roman"/>
          <w:b/>
          <w:bCs/>
          <w:kern w:val="44"/>
          <w:sz w:val="21"/>
          <w:szCs w:val="21"/>
          <w:lang w:val="en-US" w:eastAsia="zh-CN" w:bidi="ar-SA"/>
        </w:rPr>
        <w:t>2.确定地方标准主要内容的论据</w:t>
      </w:r>
      <w:bookmarkEnd w:id="11"/>
    </w:p>
    <w:p>
      <w:pPr>
        <w:spacing w:line="360" w:lineRule="auto"/>
        <w:ind w:firstLine="315" w:firstLineChars="150"/>
        <w:rPr>
          <w:rFonts w:hint="eastAsia" w:ascii="宋体" w:hAnsi="宋体" w:eastAsia="宋体" w:cs="宋体"/>
          <w:sz w:val="21"/>
          <w:szCs w:val="21"/>
        </w:rPr>
      </w:pPr>
      <w:r>
        <w:rPr>
          <w:rFonts w:hint="eastAsia" w:ascii="宋体" w:hAnsi="宋体" w:eastAsia="宋体" w:cs="宋体"/>
          <w:sz w:val="21"/>
          <w:szCs w:val="21"/>
        </w:rPr>
        <w:t>1、2章分别给出了范围和规范性引用文件。</w:t>
      </w:r>
    </w:p>
    <w:p>
      <w:pPr>
        <w:spacing w:line="360" w:lineRule="auto"/>
        <w:ind w:firstLine="315" w:firstLineChars="150"/>
        <w:rPr>
          <w:rFonts w:hint="eastAsia" w:ascii="宋体" w:hAnsi="宋体" w:eastAsia="宋体" w:cs="宋体"/>
          <w:sz w:val="21"/>
          <w:szCs w:val="21"/>
        </w:rPr>
      </w:pPr>
      <w:r>
        <w:rPr>
          <w:rFonts w:hint="eastAsia" w:ascii="宋体" w:hAnsi="宋体" w:eastAsia="宋体" w:cs="宋体"/>
          <w:sz w:val="21"/>
          <w:szCs w:val="21"/>
        </w:rPr>
        <w:t>3章术语和定义给出了6个本标准使用的接种门诊疫苗储发系统方面的定义：其中“1.人工智能”总结自GB/T 41867—2022《信息技术 人工智能 术语》3.1.2 ；“2.物联网”引自GB/T 33745—2017《物联网 术语》2.1.1；“3.接口”引自GB/T 5271.9—2001《信息技术 词汇 第9部分：数据通信》09.01.06；“4.预防接种门诊疫苗自动储存与分发系统”“5.预防接种软件”为归纳总结后提出，并经小组讨论后给出； “6.数字化预防接种门诊”引自T/CPMA 016-2020《数字化预防接种门诊基本功能标准》3.2。</w:t>
      </w:r>
    </w:p>
    <w:p>
      <w:pPr>
        <w:spacing w:line="360" w:lineRule="auto"/>
        <w:ind w:firstLine="315" w:firstLineChars="150"/>
        <w:rPr>
          <w:rFonts w:hint="eastAsia" w:ascii="宋体" w:hAnsi="宋体" w:eastAsia="宋体" w:cs="宋体"/>
          <w:sz w:val="21"/>
          <w:szCs w:val="21"/>
        </w:rPr>
      </w:pPr>
      <w:r>
        <w:rPr>
          <w:rFonts w:hint="eastAsia" w:ascii="宋体" w:hAnsi="宋体" w:eastAsia="宋体" w:cs="宋体"/>
          <w:sz w:val="21"/>
          <w:szCs w:val="21"/>
        </w:rPr>
        <w:t>4</w:t>
      </w:r>
      <w:r>
        <w:rPr>
          <w:rFonts w:hint="eastAsia" w:ascii="宋体" w:hAnsi="宋体" w:eastAsia="宋体" w:cs="宋体"/>
          <w:sz w:val="21"/>
          <w:szCs w:val="21"/>
          <w:lang w:val="en-US" w:eastAsia="zh-CN"/>
        </w:rPr>
        <w:t>章</w:t>
      </w:r>
      <w:r>
        <w:rPr>
          <w:rFonts w:hint="eastAsia" w:ascii="宋体" w:hAnsi="宋体" w:eastAsia="宋体" w:cs="宋体"/>
          <w:sz w:val="21"/>
          <w:szCs w:val="21"/>
        </w:rPr>
        <w:t>缩略语。给出了本文件多次使用的DVC的缩略语，即“数字化预防接种门诊（Digital Vaccination Clinic）”。</w:t>
      </w:r>
    </w:p>
    <w:p>
      <w:pPr>
        <w:spacing w:line="360" w:lineRule="auto"/>
        <w:ind w:firstLine="315" w:firstLineChars="150"/>
        <w:rPr>
          <w:rFonts w:hint="eastAsia" w:ascii="宋体" w:hAnsi="宋体" w:eastAsia="宋体" w:cs="宋体"/>
          <w:sz w:val="21"/>
          <w:szCs w:val="21"/>
        </w:rPr>
      </w:pPr>
      <w:r>
        <w:rPr>
          <w:rFonts w:hint="eastAsia" w:ascii="宋体" w:hAnsi="宋体" w:eastAsia="宋体" w:cs="宋体"/>
          <w:sz w:val="21"/>
          <w:szCs w:val="21"/>
        </w:rPr>
        <w:t>5</w:t>
      </w:r>
      <w:r>
        <w:rPr>
          <w:rFonts w:hint="eastAsia" w:ascii="宋体" w:hAnsi="宋体" w:eastAsia="宋体" w:cs="宋体"/>
          <w:sz w:val="21"/>
          <w:szCs w:val="21"/>
          <w:lang w:val="en-US" w:eastAsia="zh-CN"/>
        </w:rPr>
        <w:t>章</w:t>
      </w:r>
      <w:r>
        <w:rPr>
          <w:rFonts w:hint="eastAsia" w:ascii="宋体" w:hAnsi="宋体" w:eastAsia="宋体" w:cs="宋体"/>
          <w:sz w:val="21"/>
          <w:szCs w:val="21"/>
        </w:rPr>
        <w:t>功能要求。给出了储发系统的基本原则、基本结构，明确了储发系统的功能要求，管理软件的配备以及与DVC协同应用的要求。</w:t>
      </w:r>
    </w:p>
    <w:p>
      <w:pPr>
        <w:spacing w:line="360" w:lineRule="auto"/>
        <w:ind w:firstLine="315" w:firstLineChars="150"/>
        <w:rPr>
          <w:rFonts w:hint="eastAsia" w:ascii="宋体" w:hAnsi="宋体" w:eastAsia="宋体" w:cs="宋体"/>
          <w:sz w:val="21"/>
          <w:szCs w:val="21"/>
        </w:rPr>
      </w:pPr>
      <w:r>
        <w:rPr>
          <w:rFonts w:hint="eastAsia" w:ascii="宋体" w:hAnsi="宋体" w:eastAsia="宋体" w:cs="宋体"/>
          <w:sz w:val="21"/>
          <w:szCs w:val="21"/>
        </w:rPr>
        <w:t>6</w:t>
      </w:r>
      <w:r>
        <w:rPr>
          <w:rFonts w:hint="eastAsia" w:ascii="宋体" w:hAnsi="宋体" w:eastAsia="宋体" w:cs="宋体"/>
          <w:sz w:val="21"/>
          <w:szCs w:val="21"/>
          <w:lang w:val="en-US" w:eastAsia="zh-CN"/>
        </w:rPr>
        <w:t>章</w:t>
      </w:r>
      <w:r>
        <w:rPr>
          <w:rFonts w:hint="eastAsia" w:ascii="宋体" w:hAnsi="宋体" w:eastAsia="宋体" w:cs="宋体"/>
          <w:sz w:val="21"/>
          <w:szCs w:val="21"/>
        </w:rPr>
        <w:t>业务管理要求。本章给出了储发系统与DVC对接的要求，按照手动和自动两种方式给出疫苗上架管理要求，疫苗自动入库、库存统计、接种分发、多人份分发、智能化储发、盘点、存储容量管理、以及发苗支持能力的要求。</w:t>
      </w:r>
    </w:p>
    <w:p>
      <w:pPr>
        <w:spacing w:line="360" w:lineRule="auto"/>
        <w:ind w:firstLine="315" w:firstLineChars="150"/>
        <w:rPr>
          <w:rFonts w:hint="eastAsia" w:ascii="宋体" w:hAnsi="宋体" w:eastAsia="宋体" w:cs="宋体"/>
          <w:sz w:val="21"/>
          <w:szCs w:val="21"/>
        </w:rPr>
      </w:pPr>
      <w:r>
        <w:rPr>
          <w:rFonts w:hint="eastAsia" w:ascii="宋体" w:hAnsi="宋体" w:eastAsia="宋体" w:cs="宋体"/>
          <w:sz w:val="21"/>
          <w:szCs w:val="21"/>
        </w:rPr>
        <w:t>7</w:t>
      </w:r>
      <w:r>
        <w:rPr>
          <w:rFonts w:hint="eastAsia" w:ascii="宋体" w:hAnsi="宋体" w:eastAsia="宋体" w:cs="宋体"/>
          <w:sz w:val="21"/>
          <w:szCs w:val="21"/>
          <w:lang w:val="en-US" w:eastAsia="zh-CN"/>
        </w:rPr>
        <w:t>章</w:t>
      </w:r>
      <w:r>
        <w:rPr>
          <w:rFonts w:hint="eastAsia" w:ascii="宋体" w:hAnsi="宋体" w:eastAsia="宋体" w:cs="宋体"/>
          <w:sz w:val="21"/>
          <w:szCs w:val="21"/>
        </w:rPr>
        <w:t>技术要求。本章给出了储发系统的硬件设备（包括储苗模块、发苗模块），智能传输和分配系统要求，系统应配置的软件要求，以上要求与《预防接种工作规范（2023年版）》的相关规定一致。</w:t>
      </w:r>
    </w:p>
    <w:p>
      <w:pPr>
        <w:spacing w:line="360" w:lineRule="auto"/>
        <w:ind w:firstLine="315" w:firstLineChars="150"/>
        <w:rPr>
          <w:rFonts w:hint="eastAsia" w:ascii="宋体" w:hAnsi="宋体" w:eastAsia="宋体" w:cs="宋体"/>
          <w:sz w:val="21"/>
          <w:szCs w:val="21"/>
        </w:rPr>
      </w:pPr>
      <w:r>
        <w:rPr>
          <w:rFonts w:hint="eastAsia" w:ascii="宋体" w:hAnsi="宋体" w:eastAsia="宋体" w:cs="宋体"/>
          <w:sz w:val="21"/>
          <w:szCs w:val="21"/>
        </w:rPr>
        <w:t>8</w:t>
      </w:r>
      <w:r>
        <w:rPr>
          <w:rFonts w:hint="eastAsia" w:ascii="宋体" w:hAnsi="宋体" w:eastAsia="宋体" w:cs="宋体"/>
          <w:sz w:val="21"/>
          <w:szCs w:val="21"/>
          <w:lang w:val="en-US" w:eastAsia="zh-CN"/>
        </w:rPr>
        <w:t>章</w:t>
      </w:r>
      <w:r>
        <w:rPr>
          <w:rFonts w:hint="eastAsia" w:ascii="宋体" w:hAnsi="宋体" w:eastAsia="宋体" w:cs="宋体"/>
          <w:sz w:val="21"/>
          <w:szCs w:val="21"/>
        </w:rPr>
        <w:t>安全要求。本章以安全的角度，从通用要求、机械安全、电气安全、和信息安全四个方面，给出了储发系统应具备的安全要求，为系统的正常运行提供了较为全面的安全保障。</w:t>
      </w:r>
    </w:p>
    <w:p>
      <w:pPr>
        <w:pStyle w:val="2"/>
        <w:spacing w:line="360" w:lineRule="auto"/>
        <w:rPr>
          <w:rFonts w:hint="eastAsia" w:ascii="黑体" w:hAnsi="Times New Roman" w:eastAsia="黑体" w:cs="Times New Roman"/>
          <w:b/>
          <w:bCs/>
          <w:sz w:val="21"/>
          <w:szCs w:val="21"/>
        </w:rPr>
      </w:pPr>
      <w:bookmarkStart w:id="12" w:name="_Toc164235129"/>
      <w:r>
        <w:rPr>
          <w:rFonts w:hint="eastAsia" w:ascii="黑体" w:hAnsi="Times New Roman" w:eastAsia="黑体" w:cs="Times New Roman"/>
          <w:b/>
          <w:bCs/>
          <w:sz w:val="21"/>
          <w:szCs w:val="21"/>
        </w:rPr>
        <w:t>三、主要试验（或验证）的分析、综述报告，技术经济论证，预期经济社会生态效益分析</w:t>
      </w:r>
      <w:bookmarkEnd w:id="12"/>
    </w:p>
    <w:p>
      <w:pPr>
        <w:pStyle w:val="3"/>
        <w:spacing w:line="360" w:lineRule="auto"/>
        <w:rPr>
          <w:rFonts w:hint="eastAsia" w:ascii="黑体" w:hAnsi="Times New Roman" w:eastAsia="黑体" w:cs="Times New Roman"/>
          <w:b/>
          <w:bCs/>
          <w:kern w:val="44"/>
          <w:sz w:val="21"/>
          <w:szCs w:val="21"/>
          <w:lang w:val="en-US" w:eastAsia="zh-CN" w:bidi="ar-SA"/>
        </w:rPr>
      </w:pPr>
      <w:bookmarkStart w:id="13" w:name="_Toc164235130"/>
      <w:r>
        <w:rPr>
          <w:rFonts w:hint="eastAsia" w:ascii="黑体" w:hAnsi="Times New Roman" w:eastAsia="黑体" w:cs="Times New Roman"/>
          <w:b/>
          <w:bCs/>
          <w:kern w:val="44"/>
          <w:sz w:val="21"/>
          <w:szCs w:val="21"/>
          <w:lang w:val="en-US" w:eastAsia="zh-CN" w:bidi="ar-SA"/>
        </w:rPr>
        <w:t>1.行业概述</w:t>
      </w:r>
      <w:bookmarkEnd w:id="13"/>
    </w:p>
    <w:p>
      <w:pPr>
        <w:spacing w:line="360" w:lineRule="auto"/>
        <w:ind w:firstLine="315" w:firstLineChars="150"/>
        <w:rPr>
          <w:rFonts w:hint="eastAsia" w:ascii="宋体" w:hAnsi="宋体" w:eastAsia="宋体" w:cs="宋体"/>
          <w:sz w:val="21"/>
          <w:szCs w:val="21"/>
        </w:rPr>
      </w:pPr>
      <w:r>
        <w:rPr>
          <w:rFonts w:hint="eastAsia" w:ascii="宋体" w:hAnsi="宋体" w:eastAsia="宋体" w:cs="宋体"/>
          <w:sz w:val="21"/>
          <w:szCs w:val="21"/>
        </w:rPr>
        <w:t>2018年9月习近平总书记主持召开中央全面深化改革委员会第四次会议，审议通过《关于改革和完善疫苗管理体制的意见》（中办发[2018]70号，以下简称《意见》），并对贯彻落实《意见》精神作出部署。《意见》充分体现了党中央以人民为中心的发展思想和对人民群众身体健康的高度重视，文中指出，疫苗关系人民群众生命健康，关系公共卫生安全和国家安全。改革和完善疫苗管理体制，必须标本兼治、重在治本，采取强有力举措，严格市场准入，强化市场监管，优化流通配送，规范接种管理，坚决堵塞监管漏洞，严厉打击违法违规，确保疫苗生产和供应安全，并提出了“规范疫苗流通秩序”和“强化疫苗监督建设”的具体工作要求。2019年6月29日国家正式出台了《中华人民共和国疫苗管理法》,并于2019年12月1日起正式施行，结合《疫苗储存和运输管理规范（2017年版）》，确保疾病预防控制机构、接种单位、疫苗生产企业、疫苗配送企业、疫苗仓储企业建立疫苗储存、运输管理制度，做好疫苗的储存、运输工作。</w:t>
      </w:r>
    </w:p>
    <w:p>
      <w:pPr>
        <w:spacing w:line="360" w:lineRule="auto"/>
        <w:ind w:firstLine="315" w:firstLineChars="150"/>
        <w:rPr>
          <w:rFonts w:hint="eastAsia" w:ascii="宋体" w:hAnsi="宋体" w:eastAsia="宋体" w:cs="宋体"/>
          <w:sz w:val="21"/>
          <w:szCs w:val="21"/>
        </w:rPr>
      </w:pPr>
      <w:r>
        <w:rPr>
          <w:rFonts w:hint="eastAsia" w:ascii="宋体" w:hAnsi="宋体" w:eastAsia="宋体" w:cs="宋体"/>
          <w:sz w:val="21"/>
          <w:szCs w:val="21"/>
        </w:rPr>
        <w:t>为贯彻落实国家、省、市要求，在现有免疫规划平台基础上建设疫苗冷链监测综合信息管理系统，实现第三方疫苗配送冷链温度监测补全缺失的管理信息，实现疫苗的全程管理。</w:t>
      </w:r>
    </w:p>
    <w:p>
      <w:pPr>
        <w:spacing w:line="360" w:lineRule="auto"/>
        <w:ind w:firstLine="315" w:firstLineChars="150"/>
        <w:rPr>
          <w:rFonts w:hint="eastAsia" w:ascii="宋体" w:hAnsi="宋体" w:eastAsia="宋体" w:cs="宋体"/>
          <w:sz w:val="21"/>
          <w:szCs w:val="21"/>
        </w:rPr>
      </w:pPr>
      <w:r>
        <w:rPr>
          <w:rFonts w:hint="eastAsia" w:ascii="宋体" w:hAnsi="宋体" w:eastAsia="宋体" w:cs="宋体"/>
          <w:sz w:val="21"/>
          <w:szCs w:val="21"/>
        </w:rPr>
        <w:t>同时，根据国家要求，各地均按照《中华人民共和国疫苗管理法》有关规定，依法依规组织实施新冠病毒疫苗大规模接种，确保在疫苗常规接种不受影响的基础上，做好新冠病毒疫苗的接种工作。</w:t>
      </w:r>
    </w:p>
    <w:p>
      <w:pPr>
        <w:pStyle w:val="3"/>
        <w:spacing w:line="360" w:lineRule="auto"/>
        <w:rPr>
          <w:rFonts w:hint="eastAsia" w:ascii="黑体" w:hAnsi="Times New Roman" w:eastAsia="黑体" w:cs="Times New Roman"/>
          <w:b/>
          <w:bCs/>
          <w:kern w:val="44"/>
          <w:sz w:val="21"/>
          <w:szCs w:val="21"/>
          <w:lang w:val="en-US" w:eastAsia="zh-CN" w:bidi="ar-SA"/>
        </w:rPr>
      </w:pPr>
      <w:bookmarkStart w:id="14" w:name="_Toc164235131"/>
      <w:r>
        <w:rPr>
          <w:rFonts w:hint="eastAsia" w:ascii="黑体" w:hAnsi="Times New Roman" w:eastAsia="黑体" w:cs="Times New Roman"/>
          <w:b/>
          <w:bCs/>
          <w:kern w:val="44"/>
          <w:sz w:val="21"/>
          <w:szCs w:val="21"/>
          <w:lang w:val="en-US" w:eastAsia="zh-CN" w:bidi="ar-SA"/>
        </w:rPr>
        <w:t>2.本标准参考的文献</w:t>
      </w:r>
      <w:bookmarkEnd w:id="14"/>
    </w:p>
    <w:p>
      <w:pPr>
        <w:spacing w:line="360" w:lineRule="auto"/>
        <w:ind w:firstLine="315" w:firstLineChars="150"/>
        <w:rPr>
          <w:rFonts w:hint="eastAsia" w:ascii="宋体" w:hAnsi="宋体" w:eastAsia="宋体" w:cs="宋体"/>
          <w:sz w:val="21"/>
          <w:szCs w:val="21"/>
        </w:rPr>
      </w:pPr>
      <w:r>
        <w:rPr>
          <w:rFonts w:hint="eastAsia" w:ascii="宋体" w:hAnsi="宋体" w:eastAsia="宋体" w:cs="宋体"/>
          <w:sz w:val="21"/>
          <w:szCs w:val="21"/>
          <w:lang w:val="en-US" w:eastAsia="zh-CN"/>
        </w:rPr>
        <w:t>2.1</w:t>
      </w:r>
      <w:r>
        <w:rPr>
          <w:rFonts w:hint="eastAsia" w:ascii="宋体" w:hAnsi="宋体" w:eastAsia="宋体" w:cs="宋体"/>
          <w:sz w:val="21"/>
          <w:szCs w:val="21"/>
        </w:rPr>
        <w:t>.中共中央办公厅 国务院办公厅《关于改革和完善疫苗管理体制的意见》的通知（中办发〔2018〕70号）</w:t>
      </w:r>
    </w:p>
    <w:p>
      <w:pPr>
        <w:spacing w:line="360" w:lineRule="auto"/>
        <w:ind w:firstLine="315" w:firstLineChars="150"/>
        <w:rPr>
          <w:rFonts w:hint="eastAsia" w:ascii="宋体" w:hAnsi="宋体" w:eastAsia="宋体" w:cs="宋体"/>
          <w:sz w:val="21"/>
          <w:szCs w:val="21"/>
        </w:rPr>
      </w:pPr>
      <w:r>
        <w:rPr>
          <w:rFonts w:hint="eastAsia" w:ascii="宋体" w:hAnsi="宋体" w:eastAsia="宋体" w:cs="宋体"/>
          <w:sz w:val="21"/>
          <w:szCs w:val="21"/>
          <w:lang w:val="en-US" w:eastAsia="zh-CN"/>
        </w:rPr>
        <w:t>2.</w:t>
      </w:r>
      <w:r>
        <w:rPr>
          <w:rFonts w:hint="eastAsia" w:ascii="宋体" w:hAnsi="宋体" w:eastAsia="宋体" w:cs="宋体"/>
          <w:sz w:val="21"/>
          <w:szCs w:val="21"/>
        </w:rPr>
        <w:t>2《关于药品信息化追溯体系建设的指导意见》（国药监药管〔2018〕35号）</w:t>
      </w:r>
    </w:p>
    <w:p>
      <w:pPr>
        <w:spacing w:line="360" w:lineRule="auto"/>
        <w:ind w:firstLine="315" w:firstLineChars="150"/>
        <w:rPr>
          <w:rFonts w:hint="eastAsia" w:ascii="宋体" w:hAnsi="宋体" w:eastAsia="宋体" w:cs="宋体"/>
          <w:sz w:val="21"/>
          <w:szCs w:val="21"/>
        </w:rPr>
      </w:pPr>
      <w:r>
        <w:rPr>
          <w:rFonts w:hint="eastAsia" w:ascii="宋体" w:hAnsi="宋体" w:eastAsia="宋体" w:cs="宋体"/>
          <w:sz w:val="21"/>
          <w:szCs w:val="21"/>
          <w:lang w:val="en-US" w:eastAsia="zh-CN"/>
        </w:rPr>
        <w:t>2.</w:t>
      </w:r>
      <w:r>
        <w:rPr>
          <w:rFonts w:hint="eastAsia" w:ascii="宋体" w:hAnsi="宋体" w:eastAsia="宋体" w:cs="宋体"/>
          <w:sz w:val="21"/>
          <w:szCs w:val="21"/>
        </w:rPr>
        <w:t>3《关于印发加快推进预防接种规范化管理工作方案的通知》（国卫办疾控函〔2019〕503号）</w:t>
      </w:r>
    </w:p>
    <w:p>
      <w:pPr>
        <w:spacing w:line="360" w:lineRule="auto"/>
        <w:ind w:firstLine="315" w:firstLineChars="150"/>
        <w:rPr>
          <w:rFonts w:hint="eastAsia" w:ascii="宋体" w:hAnsi="宋体" w:eastAsia="宋体" w:cs="宋体"/>
          <w:sz w:val="21"/>
          <w:szCs w:val="21"/>
        </w:rPr>
      </w:pPr>
      <w:r>
        <w:rPr>
          <w:rFonts w:hint="eastAsia" w:ascii="宋体" w:hAnsi="宋体" w:eastAsia="宋体" w:cs="宋体"/>
          <w:sz w:val="21"/>
          <w:szCs w:val="21"/>
          <w:lang w:val="en-US" w:eastAsia="zh-CN"/>
        </w:rPr>
        <w:t>2.</w:t>
      </w:r>
      <w:r>
        <w:rPr>
          <w:rFonts w:hint="eastAsia" w:ascii="宋体" w:hAnsi="宋体" w:eastAsia="宋体" w:cs="宋体"/>
          <w:sz w:val="21"/>
          <w:szCs w:val="21"/>
        </w:rPr>
        <w:t>4国家卫生健康委办公厅《关于加快推进免疫规划信息系统建设工作的通知》（国卫办疾控函〔2019〕841号）</w:t>
      </w:r>
    </w:p>
    <w:p>
      <w:pPr>
        <w:spacing w:line="360" w:lineRule="auto"/>
        <w:ind w:firstLine="315" w:firstLineChars="150"/>
        <w:rPr>
          <w:rFonts w:hint="eastAsia" w:ascii="宋体" w:hAnsi="宋体" w:eastAsia="宋体" w:cs="宋体"/>
          <w:sz w:val="21"/>
          <w:szCs w:val="21"/>
        </w:rPr>
      </w:pPr>
      <w:r>
        <w:rPr>
          <w:rFonts w:hint="eastAsia" w:ascii="宋体" w:hAnsi="宋体" w:eastAsia="宋体" w:cs="宋体"/>
          <w:sz w:val="21"/>
          <w:szCs w:val="21"/>
          <w:lang w:val="en-US" w:eastAsia="zh-CN"/>
        </w:rPr>
        <w:t>2.</w:t>
      </w:r>
      <w:r>
        <w:rPr>
          <w:rFonts w:hint="eastAsia" w:ascii="宋体" w:hAnsi="宋体" w:eastAsia="宋体" w:cs="宋体"/>
          <w:sz w:val="21"/>
          <w:szCs w:val="21"/>
        </w:rPr>
        <w:t>5《中国疾病预防控制中心关于省级和接种单位免疫规划信息系统基本功能要求的通知》（中疾控免疫便函〔2019〕1309号）</w:t>
      </w:r>
    </w:p>
    <w:p>
      <w:pPr>
        <w:spacing w:line="360" w:lineRule="auto"/>
        <w:ind w:firstLine="315" w:firstLineChars="150"/>
        <w:rPr>
          <w:rFonts w:hint="eastAsia" w:ascii="宋体" w:hAnsi="宋体" w:eastAsia="宋体" w:cs="宋体"/>
          <w:sz w:val="21"/>
          <w:szCs w:val="21"/>
        </w:rPr>
      </w:pPr>
      <w:r>
        <w:rPr>
          <w:rFonts w:hint="eastAsia" w:ascii="宋体" w:hAnsi="宋体" w:eastAsia="宋体" w:cs="宋体"/>
          <w:sz w:val="21"/>
          <w:szCs w:val="21"/>
          <w:lang w:val="en-US" w:eastAsia="zh-CN"/>
        </w:rPr>
        <w:t>2.</w:t>
      </w:r>
      <w:r>
        <w:rPr>
          <w:rFonts w:hint="eastAsia" w:ascii="宋体" w:hAnsi="宋体" w:eastAsia="宋体" w:cs="宋体"/>
          <w:sz w:val="21"/>
          <w:szCs w:val="21"/>
        </w:rPr>
        <w:t>6《全国疑似预防接种异常反应监测方案（</w:t>
      </w:r>
      <w:r>
        <w:rPr>
          <w:rFonts w:hint="eastAsia" w:ascii="宋体" w:hAnsi="宋体" w:eastAsia="宋体" w:cs="宋体"/>
          <w:sz w:val="21"/>
          <w:szCs w:val="21"/>
          <w:lang w:val="en-US" w:eastAsia="zh-CN"/>
        </w:rPr>
        <w:t>2022版</w:t>
      </w:r>
      <w:r>
        <w:rPr>
          <w:rFonts w:hint="eastAsia" w:ascii="宋体" w:hAnsi="宋体" w:eastAsia="宋体" w:cs="宋体"/>
          <w:sz w:val="21"/>
          <w:szCs w:val="21"/>
        </w:rPr>
        <w:t>）》</w:t>
      </w:r>
    </w:p>
    <w:p>
      <w:pPr>
        <w:spacing w:line="360" w:lineRule="auto"/>
        <w:ind w:firstLine="315" w:firstLineChars="150"/>
        <w:rPr>
          <w:rFonts w:hint="eastAsia" w:ascii="宋体" w:hAnsi="宋体" w:eastAsia="宋体" w:cs="宋体"/>
          <w:sz w:val="21"/>
          <w:szCs w:val="21"/>
        </w:rPr>
      </w:pPr>
      <w:r>
        <w:rPr>
          <w:rFonts w:hint="eastAsia" w:ascii="宋体" w:hAnsi="宋体" w:eastAsia="宋体" w:cs="宋体"/>
          <w:sz w:val="21"/>
          <w:szCs w:val="21"/>
          <w:lang w:val="en-US" w:eastAsia="zh-CN"/>
        </w:rPr>
        <w:t>2.</w:t>
      </w:r>
      <w:r>
        <w:rPr>
          <w:rFonts w:hint="eastAsia" w:ascii="宋体" w:hAnsi="宋体" w:eastAsia="宋体" w:cs="宋体"/>
          <w:sz w:val="21"/>
          <w:szCs w:val="21"/>
        </w:rPr>
        <w:t>7《国家免疫规划儿童免疫程序及说明（2021年版）》</w:t>
      </w:r>
      <w:bookmarkStart w:id="21" w:name="_GoBack"/>
      <w:bookmarkEnd w:id="21"/>
    </w:p>
    <w:p>
      <w:pPr>
        <w:spacing w:line="360" w:lineRule="auto"/>
        <w:ind w:firstLine="315" w:firstLineChars="150"/>
        <w:rPr>
          <w:rFonts w:hint="eastAsia" w:ascii="宋体" w:hAnsi="宋体" w:eastAsia="宋体" w:cs="宋体"/>
          <w:sz w:val="21"/>
          <w:szCs w:val="21"/>
        </w:rPr>
      </w:pPr>
      <w:r>
        <w:rPr>
          <w:rFonts w:hint="eastAsia" w:ascii="宋体" w:hAnsi="宋体" w:eastAsia="宋体" w:cs="宋体"/>
          <w:sz w:val="21"/>
          <w:szCs w:val="21"/>
          <w:lang w:val="en-US" w:eastAsia="zh-CN"/>
        </w:rPr>
        <w:t>2.</w:t>
      </w:r>
      <w:r>
        <w:rPr>
          <w:rFonts w:hint="eastAsia" w:ascii="宋体" w:hAnsi="宋体" w:eastAsia="宋体" w:cs="宋体"/>
          <w:sz w:val="21"/>
          <w:szCs w:val="21"/>
        </w:rPr>
        <w:t>8《儿童入托、入学预防接种证查验办法的通知》（国卫办疾控发〔2021〕4号）</w:t>
      </w:r>
    </w:p>
    <w:p>
      <w:pPr>
        <w:spacing w:line="360" w:lineRule="auto"/>
        <w:ind w:firstLine="315" w:firstLineChars="150"/>
        <w:rPr>
          <w:rFonts w:hint="eastAsia" w:ascii="宋体" w:hAnsi="宋体" w:eastAsia="宋体" w:cs="宋体"/>
          <w:sz w:val="21"/>
          <w:szCs w:val="21"/>
        </w:rPr>
      </w:pPr>
      <w:r>
        <w:rPr>
          <w:rFonts w:hint="eastAsia" w:ascii="宋体" w:hAnsi="宋体" w:eastAsia="宋体" w:cs="宋体"/>
          <w:sz w:val="21"/>
          <w:szCs w:val="21"/>
          <w:lang w:val="en-US" w:eastAsia="zh-CN"/>
        </w:rPr>
        <w:t>2.</w:t>
      </w:r>
      <w:r>
        <w:rPr>
          <w:rFonts w:hint="eastAsia" w:ascii="宋体" w:hAnsi="宋体" w:eastAsia="宋体" w:cs="宋体"/>
          <w:sz w:val="21"/>
          <w:szCs w:val="21"/>
        </w:rPr>
        <w:t>9《中华人民共和国疫苗管理法》</w:t>
      </w:r>
    </w:p>
    <w:p>
      <w:pPr>
        <w:pStyle w:val="3"/>
        <w:spacing w:line="360" w:lineRule="auto"/>
        <w:rPr>
          <w:rFonts w:hint="eastAsia" w:ascii="黑体" w:hAnsi="Times New Roman" w:eastAsia="黑体" w:cs="Times New Roman"/>
          <w:b/>
          <w:bCs/>
          <w:kern w:val="44"/>
          <w:sz w:val="21"/>
          <w:szCs w:val="21"/>
          <w:lang w:val="en-US" w:eastAsia="zh-CN" w:bidi="ar-SA"/>
        </w:rPr>
      </w:pPr>
      <w:bookmarkStart w:id="15" w:name="_Toc164235132"/>
      <w:r>
        <w:rPr>
          <w:rFonts w:hint="eastAsia" w:ascii="黑体" w:hAnsi="Times New Roman" w:eastAsia="黑体" w:cs="Times New Roman"/>
          <w:b/>
          <w:bCs/>
          <w:kern w:val="44"/>
          <w:sz w:val="21"/>
          <w:szCs w:val="21"/>
          <w:lang w:val="en-US" w:eastAsia="zh-CN" w:bidi="ar-SA"/>
        </w:rPr>
        <w:t>3.社会效益</w:t>
      </w:r>
      <w:bookmarkEnd w:id="15"/>
    </w:p>
    <w:p>
      <w:pPr>
        <w:spacing w:line="360" w:lineRule="auto"/>
        <w:ind w:firstLine="315" w:firstLineChars="150"/>
        <w:rPr>
          <w:rFonts w:hint="eastAsia" w:ascii="宋体" w:hAnsi="宋体" w:eastAsia="宋体" w:cs="宋体"/>
          <w:sz w:val="21"/>
          <w:szCs w:val="21"/>
        </w:rPr>
      </w:pPr>
      <w:r>
        <w:rPr>
          <w:rFonts w:hint="eastAsia" w:ascii="宋体" w:hAnsi="宋体" w:eastAsia="宋体" w:cs="宋体"/>
          <w:sz w:val="21"/>
          <w:szCs w:val="21"/>
        </w:rPr>
        <w:t>通过建设预防接种门诊疫苗自动储存与分发系统，实现全方位、立体化、实时化疫苗安全管控，大大提高企业管理力度，通过预防接种门诊疫苗自动储存与分发系统满足接种单位的疫苗储存及使用需求，协助疾控系统相关部门发挥更为重要的作用，有限人力资源条件下合理分配，保障疫苗质量，并安全完成预防接种工作。</w:t>
      </w:r>
    </w:p>
    <w:p>
      <w:pPr>
        <w:spacing w:line="360" w:lineRule="auto"/>
        <w:ind w:firstLine="315" w:firstLineChars="150"/>
        <w:rPr>
          <w:rFonts w:hint="eastAsia" w:ascii="宋体" w:hAnsi="宋体" w:eastAsia="宋体" w:cs="宋体"/>
          <w:sz w:val="21"/>
          <w:szCs w:val="21"/>
        </w:rPr>
      </w:pPr>
      <w:r>
        <w:rPr>
          <w:rFonts w:hint="eastAsia" w:ascii="宋体" w:hAnsi="宋体" w:eastAsia="宋体" w:cs="宋体"/>
          <w:sz w:val="21"/>
          <w:szCs w:val="21"/>
        </w:rPr>
        <w:t>预防接种门诊疫苗自动储存与分发系统满足《中华人民共和国疫苗管理法》“保证全过程信息真实、准确、完整和可追溯”的法律要求，并与现有数字化预防接种系统无缝结合，将接种医生从繁琐的“盘苗、录苗、取苗、补苗”中解放出来，从之前的“纯手动”到现在的“智能化”，大幅度减轻接种单位人员工作强度，避免人为差错及接种事故，全面提升接种门诊的人工智能化水平，全场景守护人民群众，让受种者真正享受到大数据时代下的安全接种、放心接种、满意接种。</w:t>
      </w:r>
    </w:p>
    <w:p>
      <w:pPr>
        <w:spacing w:line="360" w:lineRule="auto"/>
        <w:ind w:firstLine="315" w:firstLineChars="150"/>
        <w:rPr>
          <w:rFonts w:hint="eastAsia" w:ascii="宋体" w:hAnsi="宋体" w:eastAsia="宋体" w:cs="宋体"/>
          <w:sz w:val="21"/>
          <w:szCs w:val="21"/>
        </w:rPr>
      </w:pPr>
      <w:r>
        <w:rPr>
          <w:rFonts w:hint="eastAsia" w:ascii="宋体" w:hAnsi="宋体" w:eastAsia="宋体" w:cs="宋体"/>
          <w:sz w:val="21"/>
          <w:szCs w:val="21"/>
        </w:rPr>
        <w:t>制定《预防接种门诊疫苗自动储存与分发设备基本功能规范》，可有效提升预防接种工作水平，保障预防接种服务安全，提高服务质量，对实现国家卫生健康委员会于2019年颁布的国卫办疾控函〔2019〕503号《国家卫生健康委办公厅关于印发加快推进预防接种规范化管理工作方案的通知》中提出的预防接种法制化，接种单位标准化，接种工作规范化，全程监控信息化的工作的目标，具有重要意义。</w:t>
      </w:r>
    </w:p>
    <w:p>
      <w:pPr>
        <w:pStyle w:val="2"/>
        <w:spacing w:line="360" w:lineRule="auto"/>
        <w:rPr>
          <w:rFonts w:hint="eastAsia" w:ascii="黑体" w:hAnsi="Times New Roman" w:eastAsia="黑体" w:cs="Times New Roman"/>
          <w:b/>
          <w:bCs/>
          <w:sz w:val="21"/>
          <w:szCs w:val="21"/>
        </w:rPr>
      </w:pPr>
      <w:bookmarkStart w:id="16" w:name="_Toc164235133"/>
      <w:r>
        <w:rPr>
          <w:rFonts w:hint="eastAsia" w:ascii="黑体" w:hAnsi="Times New Roman" w:eastAsia="黑体" w:cs="Times New Roman"/>
          <w:b/>
          <w:bCs/>
          <w:sz w:val="21"/>
          <w:szCs w:val="21"/>
        </w:rPr>
        <w:t>四、与有关的现行法律、法规和国家标准、行业标准、地方标准的关系</w:t>
      </w:r>
      <w:bookmarkEnd w:id="16"/>
    </w:p>
    <w:p>
      <w:pPr>
        <w:spacing w:line="360" w:lineRule="auto"/>
        <w:ind w:firstLine="315" w:firstLineChars="150"/>
        <w:rPr>
          <w:rFonts w:hint="eastAsia" w:ascii="宋体" w:hAnsi="宋体" w:eastAsia="宋体" w:cs="宋体"/>
          <w:sz w:val="21"/>
          <w:szCs w:val="21"/>
        </w:rPr>
      </w:pPr>
      <w:r>
        <w:rPr>
          <w:rFonts w:hint="eastAsia" w:ascii="宋体" w:hAnsi="宋体" w:eastAsia="宋体" w:cs="宋体"/>
          <w:sz w:val="21"/>
          <w:szCs w:val="21"/>
        </w:rPr>
        <w:t>本标准遵循“协调统一、规范适用”的编制原则，与国家现行法律、法规和有关产业政策保持一致，严格按照GB/T 1.1—2020《标准化工作导则  第1部分：标准化文件的结构和起草规则》规定组织编写，本标准为辽宁省首次制定，与本行业现有的其他标准协调配套，没有冲突，技术要求不低于国家标准的相关技术要求。</w:t>
      </w:r>
    </w:p>
    <w:p>
      <w:pPr>
        <w:pStyle w:val="2"/>
        <w:spacing w:line="360" w:lineRule="auto"/>
        <w:rPr>
          <w:rFonts w:hint="eastAsia" w:ascii="黑体" w:hAnsi="Times New Roman" w:eastAsia="黑体" w:cs="Times New Roman"/>
          <w:b/>
          <w:bCs/>
          <w:sz w:val="21"/>
          <w:szCs w:val="21"/>
        </w:rPr>
      </w:pPr>
      <w:bookmarkStart w:id="17" w:name="_Toc164235134"/>
      <w:r>
        <w:rPr>
          <w:rFonts w:hint="eastAsia" w:ascii="黑体" w:hAnsi="Times New Roman" w:eastAsia="黑体" w:cs="Times New Roman"/>
          <w:b/>
          <w:bCs/>
          <w:sz w:val="21"/>
          <w:szCs w:val="21"/>
        </w:rPr>
        <w:t>五、征求意见和分歧处理情况，应说明未采纳意见依据以及同意见提出人的沟通反馈情况</w:t>
      </w:r>
      <w:bookmarkEnd w:id="17"/>
    </w:p>
    <w:p>
      <w:pPr>
        <w:spacing w:line="360" w:lineRule="auto"/>
        <w:ind w:firstLine="315" w:firstLineChars="150"/>
        <w:rPr>
          <w:rFonts w:hint="eastAsia" w:ascii="宋体" w:hAnsi="宋体" w:eastAsia="宋体" w:cs="宋体"/>
          <w:sz w:val="21"/>
          <w:szCs w:val="21"/>
        </w:rPr>
      </w:pPr>
      <w:r>
        <w:rPr>
          <w:rFonts w:hint="eastAsia" w:ascii="宋体" w:hAnsi="宋体" w:eastAsia="宋体" w:cs="宋体"/>
          <w:sz w:val="21"/>
          <w:szCs w:val="21"/>
        </w:rPr>
        <w:t>待公开征求意见后说明。</w:t>
      </w:r>
    </w:p>
    <w:p>
      <w:pPr>
        <w:pStyle w:val="2"/>
        <w:spacing w:line="360" w:lineRule="auto"/>
        <w:rPr>
          <w:rFonts w:hint="eastAsia" w:ascii="黑体" w:hAnsi="Times New Roman" w:eastAsia="黑体" w:cs="Times New Roman"/>
          <w:b/>
          <w:bCs/>
          <w:sz w:val="21"/>
          <w:szCs w:val="21"/>
        </w:rPr>
      </w:pPr>
      <w:bookmarkStart w:id="18" w:name="_Toc164235135"/>
      <w:r>
        <w:rPr>
          <w:rFonts w:hint="eastAsia" w:ascii="黑体" w:hAnsi="Times New Roman" w:eastAsia="黑体" w:cs="Times New Roman"/>
          <w:b/>
          <w:bCs/>
          <w:sz w:val="21"/>
          <w:szCs w:val="21"/>
        </w:rPr>
        <w:t>六、推动标准实施的措施建议</w:t>
      </w:r>
      <w:bookmarkEnd w:id="18"/>
    </w:p>
    <w:p>
      <w:pPr>
        <w:spacing w:line="360" w:lineRule="auto"/>
        <w:ind w:firstLine="315" w:firstLineChars="150"/>
        <w:rPr>
          <w:rFonts w:hint="eastAsia" w:ascii="宋体" w:hAnsi="宋体" w:eastAsia="宋体" w:cs="宋体"/>
          <w:sz w:val="21"/>
          <w:szCs w:val="21"/>
        </w:rPr>
      </w:pPr>
      <w:r>
        <w:rPr>
          <w:rFonts w:hint="eastAsia" w:ascii="宋体" w:hAnsi="宋体" w:eastAsia="宋体" w:cs="宋体"/>
          <w:sz w:val="21"/>
          <w:szCs w:val="21"/>
        </w:rPr>
        <w:t>该标准的实施建议由卫生和健康行业主管部门进行业务指导，对各市、区、街道、社区卫生服务中心（站）开展广泛培训学习，可以对重点区域的社区卫生服务中心（站）现行开展标准的实施</w:t>
      </w:r>
      <w:r>
        <w:rPr>
          <w:rFonts w:hint="eastAsia" w:ascii="宋体" w:hAnsi="宋体" w:eastAsia="宋体" w:cs="宋体"/>
          <w:sz w:val="21"/>
          <w:szCs w:val="21"/>
          <w:lang w:val="en-US" w:eastAsia="zh-CN"/>
        </w:rPr>
        <w:t>进行</w:t>
      </w:r>
      <w:r>
        <w:rPr>
          <w:rFonts w:hint="eastAsia" w:ascii="宋体" w:hAnsi="宋体" w:eastAsia="宋体" w:cs="宋体"/>
          <w:sz w:val="21"/>
          <w:szCs w:val="21"/>
        </w:rPr>
        <w:t>监督管理，确保本标准的覆盖率和实施率，规范接种门诊相关技术设备基本功能内容，确保相关产品设备具备一定的质量水平并达到必要的业务规范性。</w:t>
      </w:r>
    </w:p>
    <w:p>
      <w:pPr>
        <w:pStyle w:val="2"/>
        <w:spacing w:line="360" w:lineRule="auto"/>
        <w:rPr>
          <w:rFonts w:hint="eastAsia" w:ascii="黑体" w:hAnsi="Times New Roman" w:eastAsia="黑体" w:cs="Times New Roman"/>
          <w:b/>
          <w:bCs/>
          <w:sz w:val="21"/>
          <w:szCs w:val="21"/>
        </w:rPr>
      </w:pPr>
      <w:bookmarkStart w:id="19" w:name="_Toc164235136"/>
      <w:r>
        <w:rPr>
          <w:rFonts w:hint="eastAsia" w:ascii="黑体" w:hAnsi="Times New Roman" w:eastAsia="黑体" w:cs="Times New Roman"/>
          <w:b/>
          <w:bCs/>
          <w:sz w:val="21"/>
          <w:szCs w:val="21"/>
        </w:rPr>
        <w:t>七、拟作为强制性地方标准的须写明明确的法律法规依据</w:t>
      </w:r>
      <w:bookmarkEnd w:id="19"/>
    </w:p>
    <w:p>
      <w:pPr>
        <w:spacing w:line="360" w:lineRule="auto"/>
        <w:ind w:firstLine="315" w:firstLineChars="150"/>
        <w:rPr>
          <w:rFonts w:hint="eastAsia" w:ascii="宋体" w:hAnsi="宋体" w:eastAsia="宋体" w:cs="宋体"/>
          <w:sz w:val="21"/>
          <w:szCs w:val="21"/>
        </w:rPr>
      </w:pPr>
      <w:r>
        <w:rPr>
          <w:rFonts w:hint="eastAsia" w:ascii="宋体" w:hAnsi="宋体" w:eastAsia="宋体" w:cs="宋体"/>
          <w:sz w:val="21"/>
          <w:szCs w:val="21"/>
        </w:rPr>
        <w:t>无。</w:t>
      </w:r>
    </w:p>
    <w:p>
      <w:pPr>
        <w:pStyle w:val="2"/>
        <w:spacing w:line="360" w:lineRule="auto"/>
        <w:rPr>
          <w:rFonts w:hint="eastAsia" w:ascii="黑体" w:hAnsi="Times New Roman" w:eastAsia="黑体" w:cs="Times New Roman"/>
          <w:b/>
          <w:bCs/>
          <w:sz w:val="21"/>
          <w:szCs w:val="21"/>
        </w:rPr>
      </w:pPr>
      <w:bookmarkStart w:id="20" w:name="_Toc164235137"/>
      <w:r>
        <w:rPr>
          <w:rFonts w:hint="eastAsia" w:ascii="黑体" w:hAnsi="Times New Roman" w:eastAsia="黑体" w:cs="Times New Roman"/>
          <w:b/>
          <w:bCs/>
          <w:sz w:val="21"/>
          <w:szCs w:val="21"/>
        </w:rPr>
        <w:t>八、其他应说明的事项</w:t>
      </w:r>
      <w:bookmarkEnd w:id="20"/>
    </w:p>
    <w:p>
      <w:pPr>
        <w:spacing w:line="360" w:lineRule="auto"/>
        <w:ind w:firstLine="315" w:firstLineChars="150"/>
        <w:rPr>
          <w:rFonts w:hint="eastAsia" w:ascii="宋体" w:hAnsi="宋体" w:eastAsia="宋体" w:cs="宋体"/>
          <w:sz w:val="21"/>
          <w:szCs w:val="21"/>
        </w:rPr>
      </w:pPr>
      <w:r>
        <w:rPr>
          <w:rFonts w:hint="eastAsia" w:ascii="宋体" w:hAnsi="宋体" w:eastAsia="宋体" w:cs="宋体"/>
          <w:sz w:val="21"/>
          <w:szCs w:val="21"/>
        </w:rPr>
        <w:t>无。</w:t>
      </w:r>
    </w:p>
    <w:sectPr>
      <w:footerReference r:id="rId4" w:type="default"/>
      <w:type w:val="continuous"/>
      <w:pgSz w:w="11906" w:h="16838"/>
      <w:pgMar w:top="1440" w:right="1474" w:bottom="1440" w:left="1474" w:header="851" w:footer="992" w:gutter="0"/>
      <w:pgNumType w:start="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pPr>
    <w:r>
      <w:fldChar w:fldCharType="begin"/>
    </w:r>
    <w:r>
      <w:instrText xml:space="preserve"> PAGE   \* MERGEFORMAT </w:instrText>
    </w:r>
    <w:r>
      <w:fldChar w:fldCharType="separate"/>
    </w:r>
    <w:r>
      <w:rPr>
        <w:lang w:val="zh-CN"/>
      </w:rPr>
      <w:t>2</w:t>
    </w:r>
    <w: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4C50F90"/>
    <w:multiLevelType w:val="multilevel"/>
    <w:tmpl w:val="44C50F90"/>
    <w:lvl w:ilvl="0" w:tentative="0">
      <w:start w:val="1"/>
      <w:numFmt w:val="lowerLetter"/>
      <w:pStyle w:val="21"/>
      <w:lvlText w:val="%1)"/>
      <w:lvlJc w:val="left"/>
      <w:pPr>
        <w:tabs>
          <w:tab w:val="left" w:pos="839"/>
        </w:tabs>
        <w:ind w:left="839" w:hanging="419"/>
      </w:pPr>
      <w:rPr>
        <w:rFonts w:hint="eastAsia" w:ascii="宋体" w:hAnsi="宋体" w:eastAsia="宋体"/>
        <w:b w:val="0"/>
        <w:i w:val="0"/>
        <w:sz w:val="20"/>
        <w:szCs w:val="21"/>
      </w:rPr>
    </w:lvl>
    <w:lvl w:ilvl="1" w:tentative="0">
      <w:start w:val="1"/>
      <w:numFmt w:val="decimal"/>
      <w:pStyle w:val="20"/>
      <w:lvlText w:val="%2)"/>
      <w:lvlJc w:val="left"/>
      <w:pPr>
        <w:tabs>
          <w:tab w:val="left" w:pos="1259"/>
        </w:tabs>
        <w:ind w:left="1259" w:hanging="420"/>
      </w:pPr>
      <w:rPr>
        <w:rFonts w:hint="eastAsia" w:ascii="宋体" w:hAnsi="宋体" w:eastAsia="宋体"/>
        <w:b w:val="0"/>
        <w:i w:val="0"/>
        <w:sz w:val="20"/>
      </w:rPr>
    </w:lvl>
    <w:lvl w:ilvl="2" w:tentative="0">
      <w:start w:val="1"/>
      <w:numFmt w:val="decimal"/>
      <w:pStyle w:val="22"/>
      <w:lvlText w:val="(%3)"/>
      <w:lvlJc w:val="left"/>
      <w:pPr>
        <w:tabs>
          <w:tab w:val="left" w:pos="0"/>
        </w:tabs>
        <w:ind w:left="1678" w:hanging="419"/>
      </w:pPr>
      <w:rPr>
        <w:rFonts w:hint="eastAsia" w:ascii="宋体" w:hAnsi="宋体" w:eastAsia="宋体"/>
        <w:b w:val="0"/>
        <w:i w:val="0"/>
        <w:sz w:val="20"/>
        <w:szCs w:val="21"/>
      </w:rPr>
    </w:lvl>
    <w:lvl w:ilvl="3" w:tentative="0">
      <w:start w:val="1"/>
      <w:numFmt w:val="decimal"/>
      <w:lvlText w:val="%4."/>
      <w:lvlJc w:val="left"/>
      <w:pPr>
        <w:tabs>
          <w:tab w:val="left" w:pos="2098"/>
        </w:tabs>
        <w:ind w:left="2098" w:hanging="420"/>
      </w:pPr>
      <w:rPr>
        <w:rFonts w:hint="eastAsia"/>
      </w:rPr>
    </w:lvl>
    <w:lvl w:ilvl="4" w:tentative="0">
      <w:start w:val="1"/>
      <w:numFmt w:val="lowerLetter"/>
      <w:lvlText w:val="%5)"/>
      <w:lvlJc w:val="left"/>
      <w:pPr>
        <w:tabs>
          <w:tab w:val="left" w:pos="2517"/>
        </w:tabs>
        <w:ind w:left="2517" w:hanging="419"/>
      </w:pPr>
      <w:rPr>
        <w:rFonts w:hint="eastAsia"/>
      </w:rPr>
    </w:lvl>
    <w:lvl w:ilvl="5" w:tentative="0">
      <w:start w:val="1"/>
      <w:numFmt w:val="lowerRoman"/>
      <w:lvlText w:val="%6."/>
      <w:lvlJc w:val="right"/>
      <w:pPr>
        <w:tabs>
          <w:tab w:val="left" w:pos="2942"/>
        </w:tabs>
        <w:ind w:left="2937" w:hanging="420"/>
      </w:pPr>
      <w:rPr>
        <w:rFonts w:hint="eastAsia"/>
      </w:rPr>
    </w:lvl>
    <w:lvl w:ilvl="6" w:tentative="0">
      <w:start w:val="1"/>
      <w:numFmt w:val="decimal"/>
      <w:lvlText w:val="%7."/>
      <w:lvlJc w:val="left"/>
      <w:pPr>
        <w:tabs>
          <w:tab w:val="left" w:pos="3362"/>
        </w:tabs>
        <w:ind w:left="3356" w:hanging="414"/>
      </w:pPr>
      <w:rPr>
        <w:rFonts w:hint="eastAsia"/>
      </w:rPr>
    </w:lvl>
    <w:lvl w:ilvl="7" w:tentative="0">
      <w:start w:val="1"/>
      <w:numFmt w:val="lowerLetter"/>
      <w:lvlText w:val="%8)"/>
      <w:lvlJc w:val="left"/>
      <w:pPr>
        <w:tabs>
          <w:tab w:val="left" w:pos="3781"/>
        </w:tabs>
        <w:ind w:left="3776" w:hanging="414"/>
      </w:pPr>
      <w:rPr>
        <w:rFonts w:hint="eastAsia"/>
      </w:rPr>
    </w:lvl>
    <w:lvl w:ilvl="8" w:tentative="0">
      <w:start w:val="1"/>
      <w:numFmt w:val="lowerRoman"/>
      <w:lvlText w:val="%9."/>
      <w:lvlJc w:val="right"/>
      <w:pPr>
        <w:tabs>
          <w:tab w:val="left" w:pos="4201"/>
        </w:tabs>
        <w:ind w:left="4201" w:hanging="42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4"/>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65AC"/>
    <w:rsid w:val="00006511"/>
    <w:rsid w:val="0000693B"/>
    <w:rsid w:val="00007E00"/>
    <w:rsid w:val="00016B18"/>
    <w:rsid w:val="0002114A"/>
    <w:rsid w:val="00024E65"/>
    <w:rsid w:val="00025B03"/>
    <w:rsid w:val="00026EE1"/>
    <w:rsid w:val="00030198"/>
    <w:rsid w:val="00030BDE"/>
    <w:rsid w:val="0003379B"/>
    <w:rsid w:val="000361C4"/>
    <w:rsid w:val="00041EE5"/>
    <w:rsid w:val="000437C8"/>
    <w:rsid w:val="000504CE"/>
    <w:rsid w:val="0006173C"/>
    <w:rsid w:val="00062DE3"/>
    <w:rsid w:val="00072070"/>
    <w:rsid w:val="0007292B"/>
    <w:rsid w:val="000770BA"/>
    <w:rsid w:val="0008044B"/>
    <w:rsid w:val="00082983"/>
    <w:rsid w:val="00082C77"/>
    <w:rsid w:val="00086D40"/>
    <w:rsid w:val="00094224"/>
    <w:rsid w:val="00095B00"/>
    <w:rsid w:val="000A4D54"/>
    <w:rsid w:val="000A5CB6"/>
    <w:rsid w:val="000B0176"/>
    <w:rsid w:val="000C1148"/>
    <w:rsid w:val="000D129E"/>
    <w:rsid w:val="000D2AA1"/>
    <w:rsid w:val="000D4BD6"/>
    <w:rsid w:val="000E23E2"/>
    <w:rsid w:val="000E3CE4"/>
    <w:rsid w:val="000E3F1F"/>
    <w:rsid w:val="000E4324"/>
    <w:rsid w:val="000E4E51"/>
    <w:rsid w:val="000E7524"/>
    <w:rsid w:val="000F4C65"/>
    <w:rsid w:val="000F4DE6"/>
    <w:rsid w:val="000F70A7"/>
    <w:rsid w:val="00103A73"/>
    <w:rsid w:val="001221DF"/>
    <w:rsid w:val="001234E5"/>
    <w:rsid w:val="001342B8"/>
    <w:rsid w:val="00136785"/>
    <w:rsid w:val="00137209"/>
    <w:rsid w:val="00147D09"/>
    <w:rsid w:val="00150FF2"/>
    <w:rsid w:val="0015356D"/>
    <w:rsid w:val="00155047"/>
    <w:rsid w:val="00160DBC"/>
    <w:rsid w:val="001733F2"/>
    <w:rsid w:val="00183BE1"/>
    <w:rsid w:val="00184B75"/>
    <w:rsid w:val="00191781"/>
    <w:rsid w:val="00195A33"/>
    <w:rsid w:val="0019747A"/>
    <w:rsid w:val="001A5464"/>
    <w:rsid w:val="001A6A72"/>
    <w:rsid w:val="001A7390"/>
    <w:rsid w:val="001B138B"/>
    <w:rsid w:val="001B77A7"/>
    <w:rsid w:val="001C3C17"/>
    <w:rsid w:val="001C4895"/>
    <w:rsid w:val="001C5093"/>
    <w:rsid w:val="001C52C0"/>
    <w:rsid w:val="001C5D5A"/>
    <w:rsid w:val="001C7485"/>
    <w:rsid w:val="001D1BAB"/>
    <w:rsid w:val="001D40C3"/>
    <w:rsid w:val="001F400A"/>
    <w:rsid w:val="001F4EB3"/>
    <w:rsid w:val="001F7902"/>
    <w:rsid w:val="002003C5"/>
    <w:rsid w:val="0020114E"/>
    <w:rsid w:val="00202E27"/>
    <w:rsid w:val="00204FCB"/>
    <w:rsid w:val="002142C9"/>
    <w:rsid w:val="00217885"/>
    <w:rsid w:val="00230DB7"/>
    <w:rsid w:val="00232BD1"/>
    <w:rsid w:val="00232D35"/>
    <w:rsid w:val="0023358A"/>
    <w:rsid w:val="00233DF4"/>
    <w:rsid w:val="00236043"/>
    <w:rsid w:val="00243A16"/>
    <w:rsid w:val="002522A7"/>
    <w:rsid w:val="00255CDA"/>
    <w:rsid w:val="00270160"/>
    <w:rsid w:val="0027389B"/>
    <w:rsid w:val="002771B9"/>
    <w:rsid w:val="00284EB5"/>
    <w:rsid w:val="00285934"/>
    <w:rsid w:val="00287D64"/>
    <w:rsid w:val="00291AD7"/>
    <w:rsid w:val="00296631"/>
    <w:rsid w:val="002A0FF5"/>
    <w:rsid w:val="002A24C5"/>
    <w:rsid w:val="002A5E6F"/>
    <w:rsid w:val="002B1898"/>
    <w:rsid w:val="002B2BAE"/>
    <w:rsid w:val="002B5BC3"/>
    <w:rsid w:val="002C36A3"/>
    <w:rsid w:val="002C7AD3"/>
    <w:rsid w:val="002D0608"/>
    <w:rsid w:val="002D11AA"/>
    <w:rsid w:val="002D596E"/>
    <w:rsid w:val="002E60CC"/>
    <w:rsid w:val="002E73E3"/>
    <w:rsid w:val="002F1476"/>
    <w:rsid w:val="002F5768"/>
    <w:rsid w:val="003061B8"/>
    <w:rsid w:val="003124B1"/>
    <w:rsid w:val="003124D3"/>
    <w:rsid w:val="00313029"/>
    <w:rsid w:val="00315180"/>
    <w:rsid w:val="00316C3A"/>
    <w:rsid w:val="00321A2B"/>
    <w:rsid w:val="00331A00"/>
    <w:rsid w:val="0033214A"/>
    <w:rsid w:val="00340207"/>
    <w:rsid w:val="003425B9"/>
    <w:rsid w:val="00343A0A"/>
    <w:rsid w:val="00344378"/>
    <w:rsid w:val="003505D4"/>
    <w:rsid w:val="00350E1C"/>
    <w:rsid w:val="00352753"/>
    <w:rsid w:val="00352F62"/>
    <w:rsid w:val="00353435"/>
    <w:rsid w:val="00354DBC"/>
    <w:rsid w:val="00364946"/>
    <w:rsid w:val="00367AB3"/>
    <w:rsid w:val="00367C3F"/>
    <w:rsid w:val="0037294A"/>
    <w:rsid w:val="00390A44"/>
    <w:rsid w:val="00391591"/>
    <w:rsid w:val="00392BC9"/>
    <w:rsid w:val="003970CC"/>
    <w:rsid w:val="003A2161"/>
    <w:rsid w:val="003A57EF"/>
    <w:rsid w:val="003B2043"/>
    <w:rsid w:val="003B3FF6"/>
    <w:rsid w:val="003B4DA3"/>
    <w:rsid w:val="003B728C"/>
    <w:rsid w:val="003B777A"/>
    <w:rsid w:val="003C2145"/>
    <w:rsid w:val="003C27A1"/>
    <w:rsid w:val="003C2C2A"/>
    <w:rsid w:val="003C62BA"/>
    <w:rsid w:val="003C6878"/>
    <w:rsid w:val="003C78A4"/>
    <w:rsid w:val="003D1840"/>
    <w:rsid w:val="003D496C"/>
    <w:rsid w:val="003D7AC8"/>
    <w:rsid w:val="003E26F4"/>
    <w:rsid w:val="003E6EFC"/>
    <w:rsid w:val="003F267F"/>
    <w:rsid w:val="00406E5F"/>
    <w:rsid w:val="0041034B"/>
    <w:rsid w:val="004103F5"/>
    <w:rsid w:val="0041279C"/>
    <w:rsid w:val="004150CD"/>
    <w:rsid w:val="00421F82"/>
    <w:rsid w:val="00441D7F"/>
    <w:rsid w:val="00446FAB"/>
    <w:rsid w:val="00455251"/>
    <w:rsid w:val="0045533D"/>
    <w:rsid w:val="00456C57"/>
    <w:rsid w:val="004578C7"/>
    <w:rsid w:val="004635D8"/>
    <w:rsid w:val="004662B6"/>
    <w:rsid w:val="00471FF4"/>
    <w:rsid w:val="00476676"/>
    <w:rsid w:val="004820CD"/>
    <w:rsid w:val="00487706"/>
    <w:rsid w:val="00496087"/>
    <w:rsid w:val="004A25AF"/>
    <w:rsid w:val="004A358F"/>
    <w:rsid w:val="004A537B"/>
    <w:rsid w:val="004A6E45"/>
    <w:rsid w:val="004A790C"/>
    <w:rsid w:val="004A7D85"/>
    <w:rsid w:val="004B5A45"/>
    <w:rsid w:val="004C5A26"/>
    <w:rsid w:val="004D1A50"/>
    <w:rsid w:val="004D227B"/>
    <w:rsid w:val="004D7A20"/>
    <w:rsid w:val="004E2ED0"/>
    <w:rsid w:val="004F0DC7"/>
    <w:rsid w:val="004F189F"/>
    <w:rsid w:val="004F1A42"/>
    <w:rsid w:val="005005F5"/>
    <w:rsid w:val="005026F0"/>
    <w:rsid w:val="00520875"/>
    <w:rsid w:val="00522058"/>
    <w:rsid w:val="00523316"/>
    <w:rsid w:val="00531B54"/>
    <w:rsid w:val="00532CCC"/>
    <w:rsid w:val="00541F17"/>
    <w:rsid w:val="00550441"/>
    <w:rsid w:val="00551528"/>
    <w:rsid w:val="00553AFD"/>
    <w:rsid w:val="00555E23"/>
    <w:rsid w:val="005565D8"/>
    <w:rsid w:val="0056456F"/>
    <w:rsid w:val="005751E7"/>
    <w:rsid w:val="00575509"/>
    <w:rsid w:val="00575558"/>
    <w:rsid w:val="005761AC"/>
    <w:rsid w:val="00576F4D"/>
    <w:rsid w:val="00581200"/>
    <w:rsid w:val="00584943"/>
    <w:rsid w:val="0059704A"/>
    <w:rsid w:val="005A0000"/>
    <w:rsid w:val="005A204B"/>
    <w:rsid w:val="005A2606"/>
    <w:rsid w:val="005A2A19"/>
    <w:rsid w:val="005B122B"/>
    <w:rsid w:val="005B30AB"/>
    <w:rsid w:val="005B3EEF"/>
    <w:rsid w:val="005B715C"/>
    <w:rsid w:val="005C0E90"/>
    <w:rsid w:val="005C2E33"/>
    <w:rsid w:val="005C3EAE"/>
    <w:rsid w:val="005C6E96"/>
    <w:rsid w:val="005C7A64"/>
    <w:rsid w:val="005D103D"/>
    <w:rsid w:val="005D3DE3"/>
    <w:rsid w:val="005E200B"/>
    <w:rsid w:val="005E4764"/>
    <w:rsid w:val="005E4D3B"/>
    <w:rsid w:val="005E5F94"/>
    <w:rsid w:val="005E7128"/>
    <w:rsid w:val="00603326"/>
    <w:rsid w:val="0060376F"/>
    <w:rsid w:val="006037AD"/>
    <w:rsid w:val="00604035"/>
    <w:rsid w:val="00606BF9"/>
    <w:rsid w:val="00612518"/>
    <w:rsid w:val="0061427B"/>
    <w:rsid w:val="006142DC"/>
    <w:rsid w:val="006334C6"/>
    <w:rsid w:val="00633810"/>
    <w:rsid w:val="00636EBA"/>
    <w:rsid w:val="006404F9"/>
    <w:rsid w:val="0064149E"/>
    <w:rsid w:val="0064263E"/>
    <w:rsid w:val="0064669E"/>
    <w:rsid w:val="006476B3"/>
    <w:rsid w:val="00651F4C"/>
    <w:rsid w:val="00653F29"/>
    <w:rsid w:val="00655286"/>
    <w:rsid w:val="00655DB6"/>
    <w:rsid w:val="00657387"/>
    <w:rsid w:val="006604A9"/>
    <w:rsid w:val="00665FB0"/>
    <w:rsid w:val="006662DA"/>
    <w:rsid w:val="0067183D"/>
    <w:rsid w:val="00674362"/>
    <w:rsid w:val="00674D8E"/>
    <w:rsid w:val="0067699F"/>
    <w:rsid w:val="00677CCD"/>
    <w:rsid w:val="00683C02"/>
    <w:rsid w:val="00687BCE"/>
    <w:rsid w:val="00696FFA"/>
    <w:rsid w:val="00697AEF"/>
    <w:rsid w:val="006A0459"/>
    <w:rsid w:val="006A3144"/>
    <w:rsid w:val="006A33CD"/>
    <w:rsid w:val="006A42DA"/>
    <w:rsid w:val="006A5177"/>
    <w:rsid w:val="006A5DF6"/>
    <w:rsid w:val="006C2E74"/>
    <w:rsid w:val="006C6209"/>
    <w:rsid w:val="006C7610"/>
    <w:rsid w:val="006C7C88"/>
    <w:rsid w:val="006D0383"/>
    <w:rsid w:val="006E2E67"/>
    <w:rsid w:val="006F0F68"/>
    <w:rsid w:val="006F2274"/>
    <w:rsid w:val="006F235C"/>
    <w:rsid w:val="006F23F3"/>
    <w:rsid w:val="007022F0"/>
    <w:rsid w:val="00707818"/>
    <w:rsid w:val="00713C30"/>
    <w:rsid w:val="00714871"/>
    <w:rsid w:val="00721953"/>
    <w:rsid w:val="0072222F"/>
    <w:rsid w:val="00722549"/>
    <w:rsid w:val="007269BE"/>
    <w:rsid w:val="00727F9D"/>
    <w:rsid w:val="00731720"/>
    <w:rsid w:val="00731981"/>
    <w:rsid w:val="007327D6"/>
    <w:rsid w:val="00734E35"/>
    <w:rsid w:val="007373BD"/>
    <w:rsid w:val="00743690"/>
    <w:rsid w:val="00752E62"/>
    <w:rsid w:val="00753766"/>
    <w:rsid w:val="007640AE"/>
    <w:rsid w:val="00767C74"/>
    <w:rsid w:val="00775AEC"/>
    <w:rsid w:val="007765AC"/>
    <w:rsid w:val="007766D9"/>
    <w:rsid w:val="00792D20"/>
    <w:rsid w:val="007A4544"/>
    <w:rsid w:val="007B12F6"/>
    <w:rsid w:val="007B2433"/>
    <w:rsid w:val="007B297B"/>
    <w:rsid w:val="007B2F20"/>
    <w:rsid w:val="007C0080"/>
    <w:rsid w:val="007C3B71"/>
    <w:rsid w:val="007C5004"/>
    <w:rsid w:val="007E6A5B"/>
    <w:rsid w:val="007F1D4D"/>
    <w:rsid w:val="007F5A28"/>
    <w:rsid w:val="007F699E"/>
    <w:rsid w:val="00801F82"/>
    <w:rsid w:val="00810139"/>
    <w:rsid w:val="008142F9"/>
    <w:rsid w:val="00814598"/>
    <w:rsid w:val="00817B0E"/>
    <w:rsid w:val="00832FFD"/>
    <w:rsid w:val="00835F89"/>
    <w:rsid w:val="00841476"/>
    <w:rsid w:val="00842687"/>
    <w:rsid w:val="00850F02"/>
    <w:rsid w:val="00854BD9"/>
    <w:rsid w:val="008552BC"/>
    <w:rsid w:val="0085740D"/>
    <w:rsid w:val="008642D8"/>
    <w:rsid w:val="00867713"/>
    <w:rsid w:val="00877BD5"/>
    <w:rsid w:val="00882A83"/>
    <w:rsid w:val="00884115"/>
    <w:rsid w:val="00886357"/>
    <w:rsid w:val="00886388"/>
    <w:rsid w:val="008977ED"/>
    <w:rsid w:val="008A2BA0"/>
    <w:rsid w:val="008A406D"/>
    <w:rsid w:val="008A7825"/>
    <w:rsid w:val="008B2F7A"/>
    <w:rsid w:val="008B559D"/>
    <w:rsid w:val="008B6670"/>
    <w:rsid w:val="008C02AA"/>
    <w:rsid w:val="008C61F4"/>
    <w:rsid w:val="008C764C"/>
    <w:rsid w:val="008D7698"/>
    <w:rsid w:val="008E6531"/>
    <w:rsid w:val="008F035B"/>
    <w:rsid w:val="008F4D4F"/>
    <w:rsid w:val="008F5C70"/>
    <w:rsid w:val="008F6EA9"/>
    <w:rsid w:val="00904EE4"/>
    <w:rsid w:val="00912E93"/>
    <w:rsid w:val="009250E2"/>
    <w:rsid w:val="0093191C"/>
    <w:rsid w:val="00931DFE"/>
    <w:rsid w:val="00937EAD"/>
    <w:rsid w:val="00940201"/>
    <w:rsid w:val="00943652"/>
    <w:rsid w:val="0094635B"/>
    <w:rsid w:val="0094689B"/>
    <w:rsid w:val="00953ADA"/>
    <w:rsid w:val="00960634"/>
    <w:rsid w:val="009610C3"/>
    <w:rsid w:val="00964B5B"/>
    <w:rsid w:val="00965A0F"/>
    <w:rsid w:val="00972D7C"/>
    <w:rsid w:val="00987482"/>
    <w:rsid w:val="00993B4C"/>
    <w:rsid w:val="009A75F8"/>
    <w:rsid w:val="009B3015"/>
    <w:rsid w:val="009B4C98"/>
    <w:rsid w:val="009B538F"/>
    <w:rsid w:val="009B5AAB"/>
    <w:rsid w:val="009B6075"/>
    <w:rsid w:val="009C29E7"/>
    <w:rsid w:val="009C3296"/>
    <w:rsid w:val="009C5633"/>
    <w:rsid w:val="009C7D5C"/>
    <w:rsid w:val="009D1068"/>
    <w:rsid w:val="009D428D"/>
    <w:rsid w:val="009D70DD"/>
    <w:rsid w:val="009D74BE"/>
    <w:rsid w:val="009E0D72"/>
    <w:rsid w:val="009E26AD"/>
    <w:rsid w:val="009E3FB2"/>
    <w:rsid w:val="009E6557"/>
    <w:rsid w:val="009F172C"/>
    <w:rsid w:val="009F18A9"/>
    <w:rsid w:val="009F1E4A"/>
    <w:rsid w:val="009F3CFA"/>
    <w:rsid w:val="009F4989"/>
    <w:rsid w:val="009F6D79"/>
    <w:rsid w:val="00A01244"/>
    <w:rsid w:val="00A02594"/>
    <w:rsid w:val="00A04046"/>
    <w:rsid w:val="00A06643"/>
    <w:rsid w:val="00A067B3"/>
    <w:rsid w:val="00A10919"/>
    <w:rsid w:val="00A157A1"/>
    <w:rsid w:val="00A15D59"/>
    <w:rsid w:val="00A17566"/>
    <w:rsid w:val="00A232EF"/>
    <w:rsid w:val="00A23C99"/>
    <w:rsid w:val="00A25AE8"/>
    <w:rsid w:val="00A301DA"/>
    <w:rsid w:val="00A330CA"/>
    <w:rsid w:val="00A455F5"/>
    <w:rsid w:val="00A50397"/>
    <w:rsid w:val="00A56524"/>
    <w:rsid w:val="00A56CEE"/>
    <w:rsid w:val="00A60935"/>
    <w:rsid w:val="00A60D34"/>
    <w:rsid w:val="00A60D36"/>
    <w:rsid w:val="00A63887"/>
    <w:rsid w:val="00A6497A"/>
    <w:rsid w:val="00A660E1"/>
    <w:rsid w:val="00A670EB"/>
    <w:rsid w:val="00A67968"/>
    <w:rsid w:val="00A72157"/>
    <w:rsid w:val="00A81E61"/>
    <w:rsid w:val="00A87340"/>
    <w:rsid w:val="00A93247"/>
    <w:rsid w:val="00A94FF5"/>
    <w:rsid w:val="00AA3A59"/>
    <w:rsid w:val="00AA3C71"/>
    <w:rsid w:val="00AA4069"/>
    <w:rsid w:val="00AA47E2"/>
    <w:rsid w:val="00AA4DA6"/>
    <w:rsid w:val="00AB0DA5"/>
    <w:rsid w:val="00AC2687"/>
    <w:rsid w:val="00AC2CAA"/>
    <w:rsid w:val="00AC36B8"/>
    <w:rsid w:val="00AC3B73"/>
    <w:rsid w:val="00AC4683"/>
    <w:rsid w:val="00AD0EB2"/>
    <w:rsid w:val="00AD2ABF"/>
    <w:rsid w:val="00AD3D97"/>
    <w:rsid w:val="00AD78BC"/>
    <w:rsid w:val="00AE0208"/>
    <w:rsid w:val="00AE22EA"/>
    <w:rsid w:val="00AE5CCC"/>
    <w:rsid w:val="00AF38D3"/>
    <w:rsid w:val="00AF3C1A"/>
    <w:rsid w:val="00AF535D"/>
    <w:rsid w:val="00B00C88"/>
    <w:rsid w:val="00B02BF1"/>
    <w:rsid w:val="00B0607C"/>
    <w:rsid w:val="00B06F26"/>
    <w:rsid w:val="00B07FF8"/>
    <w:rsid w:val="00B12244"/>
    <w:rsid w:val="00B24DD4"/>
    <w:rsid w:val="00B31EEE"/>
    <w:rsid w:val="00B31F42"/>
    <w:rsid w:val="00B33CE8"/>
    <w:rsid w:val="00B359A7"/>
    <w:rsid w:val="00B44DD3"/>
    <w:rsid w:val="00B45C82"/>
    <w:rsid w:val="00B46B8F"/>
    <w:rsid w:val="00B50DD3"/>
    <w:rsid w:val="00B5300A"/>
    <w:rsid w:val="00B53643"/>
    <w:rsid w:val="00B60B63"/>
    <w:rsid w:val="00B6242F"/>
    <w:rsid w:val="00B734FF"/>
    <w:rsid w:val="00B8008A"/>
    <w:rsid w:val="00B84F2D"/>
    <w:rsid w:val="00B87900"/>
    <w:rsid w:val="00B94860"/>
    <w:rsid w:val="00B95DED"/>
    <w:rsid w:val="00BA1D56"/>
    <w:rsid w:val="00BA679D"/>
    <w:rsid w:val="00BA71F9"/>
    <w:rsid w:val="00BA7D1E"/>
    <w:rsid w:val="00BB199E"/>
    <w:rsid w:val="00BB2341"/>
    <w:rsid w:val="00BB3D43"/>
    <w:rsid w:val="00BB6CA6"/>
    <w:rsid w:val="00BB6D39"/>
    <w:rsid w:val="00BB7008"/>
    <w:rsid w:val="00BB7F6F"/>
    <w:rsid w:val="00BC0724"/>
    <w:rsid w:val="00BC1CAC"/>
    <w:rsid w:val="00BD3A2F"/>
    <w:rsid w:val="00BD6EC4"/>
    <w:rsid w:val="00BE3BD8"/>
    <w:rsid w:val="00BE774B"/>
    <w:rsid w:val="00BE7D01"/>
    <w:rsid w:val="00BF0F93"/>
    <w:rsid w:val="00BF16E5"/>
    <w:rsid w:val="00BF6619"/>
    <w:rsid w:val="00C14665"/>
    <w:rsid w:val="00C272DD"/>
    <w:rsid w:val="00C36697"/>
    <w:rsid w:val="00C37A1B"/>
    <w:rsid w:val="00C429DB"/>
    <w:rsid w:val="00C44B44"/>
    <w:rsid w:val="00C5169E"/>
    <w:rsid w:val="00C60C67"/>
    <w:rsid w:val="00C66C17"/>
    <w:rsid w:val="00C705CA"/>
    <w:rsid w:val="00C71222"/>
    <w:rsid w:val="00C72020"/>
    <w:rsid w:val="00C82FFF"/>
    <w:rsid w:val="00C85A9A"/>
    <w:rsid w:val="00C936DD"/>
    <w:rsid w:val="00C942CD"/>
    <w:rsid w:val="00C94E3F"/>
    <w:rsid w:val="00C968B0"/>
    <w:rsid w:val="00C96C6F"/>
    <w:rsid w:val="00CA2B96"/>
    <w:rsid w:val="00CA3EC3"/>
    <w:rsid w:val="00CA47C6"/>
    <w:rsid w:val="00CA65CD"/>
    <w:rsid w:val="00CA7478"/>
    <w:rsid w:val="00CB2049"/>
    <w:rsid w:val="00CB45B9"/>
    <w:rsid w:val="00CB7007"/>
    <w:rsid w:val="00CB7B84"/>
    <w:rsid w:val="00CC50F6"/>
    <w:rsid w:val="00CC530C"/>
    <w:rsid w:val="00CC697D"/>
    <w:rsid w:val="00CD0943"/>
    <w:rsid w:val="00CD1B55"/>
    <w:rsid w:val="00CD5574"/>
    <w:rsid w:val="00CD6098"/>
    <w:rsid w:val="00CD620E"/>
    <w:rsid w:val="00CD7995"/>
    <w:rsid w:val="00CE534A"/>
    <w:rsid w:val="00CE5FEC"/>
    <w:rsid w:val="00CF5492"/>
    <w:rsid w:val="00CF7599"/>
    <w:rsid w:val="00D11066"/>
    <w:rsid w:val="00D214BD"/>
    <w:rsid w:val="00D22AC5"/>
    <w:rsid w:val="00D35D97"/>
    <w:rsid w:val="00D3678A"/>
    <w:rsid w:val="00D36BBC"/>
    <w:rsid w:val="00D43007"/>
    <w:rsid w:val="00D4470A"/>
    <w:rsid w:val="00D55071"/>
    <w:rsid w:val="00D6434B"/>
    <w:rsid w:val="00D664DF"/>
    <w:rsid w:val="00D71712"/>
    <w:rsid w:val="00D749CD"/>
    <w:rsid w:val="00D80239"/>
    <w:rsid w:val="00D839F3"/>
    <w:rsid w:val="00D9604B"/>
    <w:rsid w:val="00D97950"/>
    <w:rsid w:val="00DA636E"/>
    <w:rsid w:val="00DB0768"/>
    <w:rsid w:val="00DB1AD0"/>
    <w:rsid w:val="00DB280C"/>
    <w:rsid w:val="00DC004A"/>
    <w:rsid w:val="00DD282A"/>
    <w:rsid w:val="00DD618B"/>
    <w:rsid w:val="00DD6304"/>
    <w:rsid w:val="00DD7165"/>
    <w:rsid w:val="00DE418E"/>
    <w:rsid w:val="00DE4FD9"/>
    <w:rsid w:val="00DF1182"/>
    <w:rsid w:val="00DF2774"/>
    <w:rsid w:val="00DF2A78"/>
    <w:rsid w:val="00E07896"/>
    <w:rsid w:val="00E07B1E"/>
    <w:rsid w:val="00E145C5"/>
    <w:rsid w:val="00E14E05"/>
    <w:rsid w:val="00E15C3A"/>
    <w:rsid w:val="00E202E3"/>
    <w:rsid w:val="00E23373"/>
    <w:rsid w:val="00E341BB"/>
    <w:rsid w:val="00E52AD9"/>
    <w:rsid w:val="00E57B65"/>
    <w:rsid w:val="00E57C27"/>
    <w:rsid w:val="00E60CB8"/>
    <w:rsid w:val="00E60EE0"/>
    <w:rsid w:val="00E61600"/>
    <w:rsid w:val="00E64096"/>
    <w:rsid w:val="00E65D80"/>
    <w:rsid w:val="00E70DFA"/>
    <w:rsid w:val="00E72F67"/>
    <w:rsid w:val="00E72FF1"/>
    <w:rsid w:val="00E7649E"/>
    <w:rsid w:val="00E86307"/>
    <w:rsid w:val="00E90D27"/>
    <w:rsid w:val="00E90EE1"/>
    <w:rsid w:val="00E93B03"/>
    <w:rsid w:val="00EA1E8A"/>
    <w:rsid w:val="00EA2715"/>
    <w:rsid w:val="00EB2713"/>
    <w:rsid w:val="00EB5824"/>
    <w:rsid w:val="00EC16FB"/>
    <w:rsid w:val="00EF1B59"/>
    <w:rsid w:val="00EF3A43"/>
    <w:rsid w:val="00EF4165"/>
    <w:rsid w:val="00EF5B8C"/>
    <w:rsid w:val="00F025F8"/>
    <w:rsid w:val="00F070D4"/>
    <w:rsid w:val="00F11223"/>
    <w:rsid w:val="00F11612"/>
    <w:rsid w:val="00F1282E"/>
    <w:rsid w:val="00F14CBA"/>
    <w:rsid w:val="00F22323"/>
    <w:rsid w:val="00F25BBF"/>
    <w:rsid w:val="00F2664B"/>
    <w:rsid w:val="00F30632"/>
    <w:rsid w:val="00F34BF5"/>
    <w:rsid w:val="00F4126A"/>
    <w:rsid w:val="00F51EB5"/>
    <w:rsid w:val="00F542B1"/>
    <w:rsid w:val="00F5536F"/>
    <w:rsid w:val="00F578E5"/>
    <w:rsid w:val="00F60145"/>
    <w:rsid w:val="00F608D4"/>
    <w:rsid w:val="00F63009"/>
    <w:rsid w:val="00F630AC"/>
    <w:rsid w:val="00F76B16"/>
    <w:rsid w:val="00F81AB7"/>
    <w:rsid w:val="00F869ED"/>
    <w:rsid w:val="00F93081"/>
    <w:rsid w:val="00F93619"/>
    <w:rsid w:val="00F94FAD"/>
    <w:rsid w:val="00F953E8"/>
    <w:rsid w:val="00FB0BE7"/>
    <w:rsid w:val="00FB0C19"/>
    <w:rsid w:val="00FB0C7B"/>
    <w:rsid w:val="00FB2C53"/>
    <w:rsid w:val="00FB3472"/>
    <w:rsid w:val="00FC132B"/>
    <w:rsid w:val="00FC2895"/>
    <w:rsid w:val="00FC3365"/>
    <w:rsid w:val="00FC5808"/>
    <w:rsid w:val="00FC6C0D"/>
    <w:rsid w:val="00FC711C"/>
    <w:rsid w:val="00FD1B24"/>
    <w:rsid w:val="00FD44F4"/>
    <w:rsid w:val="00FD5F93"/>
    <w:rsid w:val="00FE124C"/>
    <w:rsid w:val="00FE2DC9"/>
    <w:rsid w:val="00FF2CC6"/>
    <w:rsid w:val="00FF5696"/>
    <w:rsid w:val="00FF6E7D"/>
    <w:rsid w:val="00FF7383"/>
    <w:rsid w:val="05C32C12"/>
    <w:rsid w:val="0CF61D1B"/>
    <w:rsid w:val="2156638A"/>
    <w:rsid w:val="21F53044"/>
    <w:rsid w:val="26616669"/>
    <w:rsid w:val="33085793"/>
    <w:rsid w:val="33811DDB"/>
    <w:rsid w:val="46DA6F69"/>
    <w:rsid w:val="652F0BA4"/>
    <w:rsid w:val="6A0511A2"/>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楷体_GB2312" w:hAnsi="Times New Roman" w:eastAsia="楷体_GB2312" w:cs="Times New Roman"/>
      <w:sz w:val="30"/>
      <w:lang w:val="en-US" w:eastAsia="zh-CN" w:bidi="ar-SA"/>
    </w:rPr>
  </w:style>
  <w:style w:type="paragraph" w:styleId="2">
    <w:name w:val="heading 1"/>
    <w:basedOn w:val="1"/>
    <w:next w:val="1"/>
    <w:link w:val="25"/>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27"/>
    <w:semiHidden/>
    <w:unhideWhenUsed/>
    <w:qFormat/>
    <w:uiPriority w:val="0"/>
    <w:pPr>
      <w:keepNext/>
      <w:keepLines/>
      <w:spacing w:before="260" w:after="260" w:line="416" w:lineRule="auto"/>
      <w:outlineLvl w:val="1"/>
    </w:pPr>
    <w:rPr>
      <w:rFonts w:ascii="Cambria" w:hAnsi="Cambria" w:eastAsia="宋体" w:cs="Times New Roman"/>
      <w:b/>
      <w:bCs/>
      <w:sz w:val="32"/>
      <w:szCs w:val="32"/>
    </w:rPr>
  </w:style>
  <w:style w:type="paragraph" w:styleId="4">
    <w:name w:val="heading 3"/>
    <w:basedOn w:val="1"/>
    <w:next w:val="1"/>
    <w:link w:val="23"/>
    <w:qFormat/>
    <w:uiPriority w:val="0"/>
    <w:pPr>
      <w:widowControl/>
      <w:spacing w:before="100" w:beforeAutospacing="1" w:after="100" w:afterAutospacing="1"/>
      <w:jc w:val="left"/>
      <w:outlineLvl w:val="2"/>
    </w:pPr>
    <w:rPr>
      <w:rFonts w:ascii="宋体" w:hAnsi="宋体" w:eastAsia="宋体" w:cs="宋体"/>
      <w:b/>
      <w:bCs/>
      <w:sz w:val="27"/>
      <w:szCs w:val="27"/>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5">
    <w:name w:val="Balloon Text"/>
    <w:basedOn w:val="1"/>
    <w:semiHidden/>
    <w:qFormat/>
    <w:uiPriority w:val="0"/>
    <w:rPr>
      <w:sz w:val="18"/>
      <w:szCs w:val="18"/>
    </w:rPr>
  </w:style>
  <w:style w:type="paragraph" w:styleId="6">
    <w:name w:val="footer"/>
    <w:basedOn w:val="1"/>
    <w:link w:val="24"/>
    <w:qFormat/>
    <w:uiPriority w:val="99"/>
    <w:pPr>
      <w:tabs>
        <w:tab w:val="center" w:pos="4153"/>
        <w:tab w:val="right" w:pos="8306"/>
      </w:tabs>
      <w:snapToGrid w:val="0"/>
      <w:jc w:val="left"/>
    </w:pPr>
    <w:rPr>
      <w:sz w:val="18"/>
      <w:szCs w:val="18"/>
    </w:rPr>
  </w:style>
  <w:style w:type="paragraph" w:styleId="7">
    <w:name w:val="header"/>
    <w:basedOn w:val="1"/>
    <w:link w:val="16"/>
    <w:qFormat/>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qFormat/>
    <w:uiPriority w:val="39"/>
  </w:style>
  <w:style w:type="paragraph" w:styleId="9">
    <w:name w:val="toc 2"/>
    <w:basedOn w:val="1"/>
    <w:next w:val="1"/>
    <w:qFormat/>
    <w:uiPriority w:val="39"/>
    <w:pPr>
      <w:ind w:left="420" w:leftChars="200"/>
    </w:p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qFormat/>
    <w:uiPriority w:val="0"/>
    <w:rPr>
      <w:b/>
      <w:bCs/>
    </w:rPr>
  </w:style>
  <w:style w:type="character" w:styleId="14">
    <w:name w:val="page number"/>
    <w:basedOn w:val="12"/>
    <w:qFormat/>
    <w:uiPriority w:val="0"/>
  </w:style>
  <w:style w:type="character" w:styleId="15">
    <w:name w:val="Hyperlink"/>
    <w:unhideWhenUsed/>
    <w:qFormat/>
    <w:uiPriority w:val="99"/>
    <w:rPr>
      <w:color w:val="0000FF"/>
      <w:u w:val="single"/>
    </w:rPr>
  </w:style>
  <w:style w:type="character" w:customStyle="1" w:styleId="16">
    <w:name w:val="页眉 Char"/>
    <w:link w:val="7"/>
    <w:qFormat/>
    <w:uiPriority w:val="0"/>
    <w:rPr>
      <w:rFonts w:ascii="楷体_GB2312" w:eastAsia="楷体_GB2312"/>
      <w:sz w:val="18"/>
      <w:szCs w:val="18"/>
      <w:lang w:bidi="ar-SA"/>
    </w:rPr>
  </w:style>
  <w:style w:type="character" w:customStyle="1" w:styleId="17">
    <w:name w:val="段 Char"/>
    <w:link w:val="18"/>
    <w:qFormat/>
    <w:uiPriority w:val="0"/>
    <w:rPr>
      <w:rFonts w:ascii="宋体"/>
      <w:sz w:val="21"/>
      <w:lang w:val="en-US" w:eastAsia="zh-CN" w:bidi="ar-SA"/>
    </w:rPr>
  </w:style>
  <w:style w:type="paragraph" w:customStyle="1" w:styleId="18">
    <w:name w:val="段"/>
    <w:link w:val="17"/>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paragraph" w:customStyle="1" w:styleId="19">
    <w:name w:val="目次、标准名称标题"/>
    <w:basedOn w:val="1"/>
    <w:next w:val="1"/>
    <w:qFormat/>
    <w:uiPriority w:val="0"/>
    <w:pPr>
      <w:keepNext/>
      <w:pageBreakBefore/>
      <w:widowControl/>
      <w:shd w:val="clear" w:color="FFFFFF" w:fill="FFFFFF"/>
      <w:spacing w:before="640" w:after="560" w:line="460" w:lineRule="exact"/>
      <w:jc w:val="center"/>
      <w:outlineLvl w:val="0"/>
    </w:pPr>
    <w:rPr>
      <w:rFonts w:ascii="黑体" w:eastAsia="黑体"/>
      <w:sz w:val="32"/>
    </w:rPr>
  </w:style>
  <w:style w:type="paragraph" w:customStyle="1" w:styleId="20">
    <w:name w:val="数字编号列项（二级）"/>
    <w:qFormat/>
    <w:uiPriority w:val="0"/>
    <w:pPr>
      <w:numPr>
        <w:ilvl w:val="1"/>
        <w:numId w:val="1"/>
      </w:numPr>
      <w:jc w:val="both"/>
    </w:pPr>
    <w:rPr>
      <w:rFonts w:ascii="宋体" w:hAnsi="Times New Roman" w:eastAsia="宋体" w:cs="Times New Roman"/>
      <w:sz w:val="21"/>
      <w:lang w:val="en-US" w:eastAsia="zh-CN" w:bidi="ar-SA"/>
    </w:rPr>
  </w:style>
  <w:style w:type="paragraph" w:customStyle="1" w:styleId="21">
    <w:name w:val="字母编号列项（一级）"/>
    <w:qFormat/>
    <w:uiPriority w:val="0"/>
    <w:pPr>
      <w:numPr>
        <w:ilvl w:val="0"/>
        <w:numId w:val="1"/>
      </w:numPr>
      <w:jc w:val="both"/>
    </w:pPr>
    <w:rPr>
      <w:rFonts w:ascii="宋体" w:hAnsi="Times New Roman" w:eastAsia="宋体" w:cs="Times New Roman"/>
      <w:sz w:val="21"/>
      <w:lang w:val="en-US" w:eastAsia="zh-CN" w:bidi="ar-SA"/>
    </w:rPr>
  </w:style>
  <w:style w:type="paragraph" w:customStyle="1" w:styleId="22">
    <w:name w:val="编号列项（三级）"/>
    <w:qFormat/>
    <w:uiPriority w:val="0"/>
    <w:pPr>
      <w:numPr>
        <w:ilvl w:val="2"/>
        <w:numId w:val="1"/>
      </w:numPr>
    </w:pPr>
    <w:rPr>
      <w:rFonts w:ascii="宋体" w:hAnsi="Times New Roman" w:eastAsia="宋体" w:cs="Times New Roman"/>
      <w:sz w:val="21"/>
      <w:lang w:val="en-US" w:eastAsia="zh-CN" w:bidi="ar-SA"/>
    </w:rPr>
  </w:style>
  <w:style w:type="character" w:customStyle="1" w:styleId="23">
    <w:name w:val="标题 3 Char"/>
    <w:link w:val="4"/>
    <w:qFormat/>
    <w:uiPriority w:val="0"/>
    <w:rPr>
      <w:rFonts w:ascii="宋体" w:hAnsi="宋体" w:cs="宋体"/>
      <w:b/>
      <w:bCs/>
      <w:sz w:val="27"/>
      <w:szCs w:val="27"/>
    </w:rPr>
  </w:style>
  <w:style w:type="character" w:customStyle="1" w:styleId="24">
    <w:name w:val="页脚 Char"/>
    <w:link w:val="6"/>
    <w:qFormat/>
    <w:uiPriority w:val="99"/>
    <w:rPr>
      <w:rFonts w:ascii="楷体_GB2312" w:eastAsia="楷体_GB2312"/>
      <w:sz w:val="18"/>
      <w:szCs w:val="18"/>
    </w:rPr>
  </w:style>
  <w:style w:type="character" w:customStyle="1" w:styleId="25">
    <w:name w:val="标题 1 Char"/>
    <w:link w:val="2"/>
    <w:qFormat/>
    <w:uiPriority w:val="0"/>
    <w:rPr>
      <w:rFonts w:ascii="楷体_GB2312" w:eastAsia="楷体_GB2312"/>
      <w:b/>
      <w:bCs/>
      <w:kern w:val="44"/>
      <w:sz w:val="44"/>
      <w:szCs w:val="44"/>
    </w:rPr>
  </w:style>
  <w:style w:type="paragraph" w:styleId="26">
    <w:name w:val="List Paragraph"/>
    <w:basedOn w:val="1"/>
    <w:qFormat/>
    <w:uiPriority w:val="34"/>
    <w:pPr>
      <w:ind w:firstLine="420" w:firstLineChars="200"/>
    </w:pPr>
    <w:rPr>
      <w:rFonts w:ascii="Calibri" w:hAnsi="Calibri" w:eastAsia="宋体"/>
      <w:kern w:val="2"/>
      <w:sz w:val="21"/>
      <w:szCs w:val="22"/>
    </w:rPr>
  </w:style>
  <w:style w:type="character" w:customStyle="1" w:styleId="27">
    <w:name w:val="标题 2 Char"/>
    <w:link w:val="3"/>
    <w:semiHidden/>
    <w:qFormat/>
    <w:uiPriority w:val="0"/>
    <w:rPr>
      <w:rFonts w:ascii="Cambria" w:hAnsi="Cambria" w:eastAsia="宋体" w:cs="Times New Roman"/>
      <w:b/>
      <w:bCs/>
      <w:sz w:val="32"/>
      <w:szCs w:val="32"/>
    </w:rPr>
  </w:style>
  <w:style w:type="paragraph" w:customStyle="1" w:styleId="28">
    <w:name w:val="_Style 27"/>
    <w:basedOn w:val="2"/>
    <w:next w:val="1"/>
    <w:semiHidden/>
    <w:unhideWhenUsed/>
    <w:qFormat/>
    <w:uiPriority w:val="39"/>
    <w:pPr>
      <w:widowControl/>
      <w:spacing w:before="480" w:after="0" w:line="276" w:lineRule="auto"/>
      <w:jc w:val="left"/>
      <w:outlineLvl w:val="9"/>
    </w:pPr>
    <w:rPr>
      <w:rFonts w:ascii="Cambria" w:hAnsi="Cambria" w:eastAsia="宋体" w:cs="Times New Roman"/>
      <w:color w:val="365F91"/>
      <w:kern w:val="0"/>
      <w:sz w:val="28"/>
      <w:szCs w:val="2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 China</Company>
  <Pages>14</Pages>
  <Words>1188</Words>
  <Characters>6778</Characters>
  <Lines>56</Lines>
  <Paragraphs>15</Paragraphs>
  <TotalTime>4</TotalTime>
  <ScaleCrop>false</ScaleCrop>
  <LinksUpToDate>false</LinksUpToDate>
  <CharactersWithSpaces>7951</CharactersWithSpaces>
  <Application>WPS Office_11.8.2.11542_F1E327BC-269C-435d-A152-05C5408002CA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2024-04-16T07:09:00Z</dcterms:created>
  <dc:creator>zjspc</dc:creator>
  <cp:lastModifiedBy>常琳</cp:lastModifiedBy>
  <cp:lastPrinted>2020-09-10T06:52:00Z</cp:lastPrinted>
  <dcterms:modified xsi:type="dcterms:W3CDTF">2024-04-24T05:58:18Z</dcterms:modified>
  <dc:title>《工业和民用燃料煤》地方标准编制说明</dc:title>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2052-11.8.2.11542</vt:lpwstr>
  </property>
  <property fmtid="{D5CDD505-2E9C-101B-9397-08002B2CF9AE}" pid="3" name="ICV">
    <vt:lpwstr>9317B6D8E77C4F0DB75EAB3EA7B8EB9E</vt:lpwstr>
  </property>
</Properties>
</file>