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73" w:rsidRDefault="0010722B">
      <w:pPr>
        <w:suppressLineNumbers/>
        <w:tabs>
          <w:tab w:val="left" w:pos="2016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8</w:t>
      </w:r>
    </w:p>
    <w:p w:rsidR="006C2F73" w:rsidRDefault="006C2F73">
      <w:pPr>
        <w:suppressLineNumbers/>
        <w:tabs>
          <w:tab w:val="left" w:pos="2016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21D75" w:rsidRDefault="0010722B">
      <w:pPr>
        <w:suppressLineNumbers/>
        <w:tabs>
          <w:tab w:val="left" w:pos="2016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021D75">
        <w:rPr>
          <w:rFonts w:ascii="方正小标宋简体" w:eastAsia="方正小标宋简体" w:hAnsi="方正小标宋简体" w:cs="方正小标宋简体" w:hint="eastAsia"/>
          <w:sz w:val="44"/>
          <w:szCs w:val="44"/>
        </w:rPr>
        <w:t>母婴保健、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计划生育</w:t>
      </w:r>
      <w:r w:rsidR="00021D75"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</w:t>
      </w:r>
      <w:bookmarkStart w:id="0" w:name="_GoBack"/>
      <w:bookmarkEnd w:id="0"/>
    </w:p>
    <w:p w:rsidR="006C2F73" w:rsidRDefault="00021D75">
      <w:pPr>
        <w:suppressLineNumbers/>
        <w:tabs>
          <w:tab w:val="left" w:pos="2016"/>
        </w:tabs>
        <w:spacing w:line="6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服务机构</w:t>
      </w:r>
      <w:r w:rsidR="0010722B"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国家随机监督抽查计划</w:t>
      </w:r>
    </w:p>
    <w:p w:rsidR="006C2F73" w:rsidRDefault="006C2F73">
      <w:pPr>
        <w:spacing w:line="600" w:lineRule="exact"/>
        <w:rPr>
          <w:rFonts w:ascii="仿宋_GB2312" w:eastAsia="仿宋_GB2312" w:hAnsi="仿宋_GB2312" w:cs="仿宋_GB2312"/>
          <w:color w:val="393939"/>
          <w:sz w:val="32"/>
          <w:szCs w:val="32"/>
        </w:rPr>
      </w:pPr>
    </w:p>
    <w:p w:rsidR="006C2F73" w:rsidRDefault="0010722B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一、抽查对象</w:t>
      </w:r>
    </w:p>
    <w:p w:rsidR="006C2F73" w:rsidRDefault="0010722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妇幼保健院、妇幼保健计划生育技术服务机构、其它医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保健机构。</w:t>
      </w:r>
    </w:p>
    <w:p w:rsidR="006C2F73" w:rsidRDefault="0010722B">
      <w:pPr>
        <w:suppressLineNumbers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二、双随机抽查内容</w:t>
      </w:r>
    </w:p>
    <w:p w:rsidR="006C2F73" w:rsidRDefault="0010722B">
      <w:pPr>
        <w:suppressLineNumbers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机构及人员资质情况。开展母婴保健技术服务的机构执业资质和人员执业资格情况；开展计划生育技术服务的机构执业资质和人员执业资格情况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开展人类辅助生殖技术等服务的机构执业资质情况；开展人类精子库的机构执业资质情况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C2F73" w:rsidRDefault="0010722B">
      <w:pPr>
        <w:suppressLineNumbers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法</w:t>
      </w:r>
      <w:r>
        <w:rPr>
          <w:rFonts w:ascii="仿宋_GB2312" w:eastAsia="仿宋_GB2312" w:hAnsi="仿宋_GB2312" w:cs="仿宋_GB2312" w:hint="eastAsia"/>
          <w:sz w:val="32"/>
          <w:szCs w:val="32"/>
        </w:rPr>
        <w:t>律法规执行情况。机构是否按照批准的业务范围和服务项目执业；人员是否按照批准的服务项目执业；机构是否符合开展技术服务设置标准；开展终止中期以上妊娠手术是否进行查验登记；开展人类辅助生殖技术是否查验身份证、结婚证；相关技术服务是否遵守知情同意的原则；出具医学证明文件和诊断报告是否符合相关规定；病历、记录、档案等医疗文书是否符合相关规定；是否设置禁止“两非”的警示标志；是否依法发布母婴保健与计划生育技术服务广告；开展产前诊断、人类辅助生殖技术等服务是否符合相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C2F73" w:rsidRDefault="0010722B">
      <w:pPr>
        <w:suppressLineNumbers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</w:t>
      </w:r>
      <w:r>
        <w:rPr>
          <w:rFonts w:ascii="仿宋_GB2312" w:eastAsia="仿宋_GB2312" w:hAnsi="仿宋_GB2312" w:cs="仿宋_GB2312" w:hint="eastAsia"/>
          <w:sz w:val="32"/>
          <w:szCs w:val="32"/>
        </w:rPr>
        <w:t>度建立情况。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是否建立禁止胎儿性别鉴定的管</w:t>
      </w:r>
      <w:r>
        <w:rPr>
          <w:rFonts w:ascii="仿宋_GB2312" w:eastAsia="仿宋_GB2312" w:hAnsi="仿宋_GB2312" w:cs="仿宋_GB2312" w:hint="eastAsia"/>
          <w:sz w:val="32"/>
          <w:szCs w:val="32"/>
        </w:rPr>
        <w:t>理制度情况；是否建立终止中期以上妊娠查验登记制度情况；建立健全技术档案管理、转诊、追踪观察制度情况；是否建立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产妇死亡、婴儿死亡以及新生儿出生缺陷报告制度情况；是否建立出生医学证明管理制度情况；是否具有保证技术服务安全和服务质量的其他管理制度情况。</w:t>
      </w:r>
    </w:p>
    <w:p w:rsidR="006C2F73" w:rsidRDefault="0010722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三、工作要求</w:t>
      </w:r>
    </w:p>
    <w:p w:rsidR="006C2F73" w:rsidRDefault="0010722B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州应当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在抽查任务完成后按照“谁检查、谁录入、谁公开”的原则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将抽查结果信息通过当地官方网站依法向社会公开。抽查结果信息包括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抽查未发现问题、发现问题已责令改正、行政处罚、无法联系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检查时单位已关闭等情形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类。未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发现问题发现问题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已责令改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正和无法联系的信息应当在抽查任务完成之日起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个工作日内向社会公开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行政处罚信息自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行政处罚决定之日起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个工作日内向社会公开。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6C2F73" w:rsidRDefault="0010722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393939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为进一步加强计划生育监督执法工作，结合国家随机抽查工作，按照属地管理的原则，请各单位继续做好计划生育专业被监督单位建档工作，彻底摸清监督单位底数。</w:t>
      </w:r>
    </w:p>
    <w:p w:rsidR="006C2F73" w:rsidRDefault="0010722B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各地州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母婴保健、计划生育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专业国家抽查信息报送工作，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汇总数据以信息报告系统填报数据为准。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将国家随机抽查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情况报自治区卫生健康综合监督执法局</w:t>
      </w:r>
      <w:r>
        <w:rPr>
          <w:rFonts w:ascii="仿宋_GB2312" w:eastAsia="仿宋_GB2312" w:hAnsi="仿宋_GB2312" w:cs="仿宋_GB2312" w:hint="eastAsia"/>
          <w:sz w:val="32"/>
          <w:szCs w:val="32"/>
        </w:rPr>
        <w:t>。情况报告中应包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国家双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随机监督抽查被行政处罚的单位整改落实情况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并写明查处案件数、罚设款金额数等行政处罚数据。</w:t>
      </w:r>
    </w:p>
    <w:p w:rsidR="006C2F73" w:rsidRDefault="006C2F73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6C2F73" w:rsidRDefault="0010722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</w:p>
    <w:p w:rsidR="006C2F73" w:rsidRDefault="0010722B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年母婴保健、计划生育技术服务机构国家随机</w:t>
      </w:r>
    </w:p>
    <w:p w:rsidR="006C2F73" w:rsidRDefault="0010722B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监督抽查计划表</w:t>
      </w:r>
    </w:p>
    <w:p w:rsidR="006C2F73" w:rsidRDefault="0010722B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年母婴保健、计划生育技术服务机构国家随机</w:t>
      </w:r>
    </w:p>
    <w:p w:rsidR="006C2F73" w:rsidRDefault="0010722B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监督抽查汇总表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6C2F73" w:rsidRDefault="006C2F73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  <w:sectPr w:rsidR="006C2F73"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6C2F73" w:rsidRDefault="0010722B">
      <w:pPr>
        <w:spacing w:line="360" w:lineRule="auto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附表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6C2F73" w:rsidRDefault="0010722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年母婴保健、计划生育技术服务机构国家随机监督抽查计划表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559"/>
        <w:gridCol w:w="7371"/>
        <w:gridCol w:w="1592"/>
      </w:tblGrid>
      <w:tr w:rsidR="006C2F73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监督检查对象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抽检比例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检查内容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6C2F73">
        <w:trPr>
          <w:trHeight w:val="162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妇幼保健院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6C2F7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6C2F73" w:rsidRDefault="0010722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50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73" w:rsidRDefault="0010722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机构及人员资质情况。开展母婴保健技术服务的机构执业资质和人员执业资格情况；开展计划生育技术服务的机构执业资质和人员执业资格情况；开展人类辅助生殖技术等服务的机构执业资质情况；开展人类精子库的机构执业资质情况；</w:t>
            </w:r>
          </w:p>
          <w:p w:rsidR="006C2F73" w:rsidRDefault="0010722B">
            <w:pPr>
              <w:suppressLineNumbers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法律</w:t>
            </w:r>
            <w:r>
              <w:rPr>
                <w:rFonts w:ascii="仿宋_GB2312" w:eastAsia="仿宋_GB2312" w:hint="eastAsia"/>
                <w:szCs w:val="21"/>
              </w:rPr>
              <w:t>法规执行情况。机构是否按照批准的业务范围和服务项目执业；人员是否按照批准的服务项目执业；机构是否符合开展技术服务设置标准；开展终止中期以上妊娠手术是否进行查验登记；开展人类辅助生殖技术是否查验身份证、结婚证；开展相关技术服务是否遵守知情同意的原则；出具医学证明文件和诊断报告是否符合相关规定；病历、记录、档案等医疗文书是否符合相关规定；是否设置禁止“两非”的警示标志；是否依法发布母婴保健与计划生育技术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务广告；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开展产前诊断、人类辅助生殖技术等服务是否符合相关要求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:rsidR="006C2F73" w:rsidRDefault="0010722B">
            <w:pPr>
              <w:suppressLineNumbers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制度建立</w:t>
            </w:r>
            <w:r>
              <w:rPr>
                <w:rFonts w:ascii="仿宋_GB2312" w:eastAsia="仿宋_GB2312" w:hint="eastAsia"/>
                <w:szCs w:val="21"/>
              </w:rPr>
              <w:t>情况。是否建立禁止胎儿性别鉴定</w:t>
            </w:r>
            <w:r>
              <w:rPr>
                <w:rFonts w:ascii="仿宋_GB2312" w:eastAsia="仿宋_GB2312" w:hint="eastAsia"/>
                <w:szCs w:val="21"/>
              </w:rPr>
              <w:t>的管理制度情况；是否建立终止中期以上妊娠查验登记制度情况；建立健全技术档案管理、转诊、追踪观察制度情况；是否建立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孕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产妇死亡、婴儿死亡以及新生儿出生缺陷报告制度情况；是否建立出生医学证明管理制度情况；是否具有保证技术服务安全和服务质量的其他管理制度情况。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根据各机构业务开展情况，检查内容可合理缺项</w:t>
            </w:r>
          </w:p>
        </w:tc>
      </w:tr>
      <w:tr w:rsidR="006C2F73">
        <w:trPr>
          <w:trHeight w:val="88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妇幼保健计划生育技术服务机构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50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F73" w:rsidRDefault="006C2F7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73" w:rsidRDefault="006C2F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F73">
        <w:trPr>
          <w:trHeight w:val="88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其他医疗、保健机构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10722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50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73" w:rsidRDefault="006C2F7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3" w:rsidRDefault="006C2F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C2F73" w:rsidRDefault="006C2F73">
      <w:pPr>
        <w:rPr>
          <w:color w:val="000000"/>
        </w:rPr>
      </w:pPr>
    </w:p>
    <w:p w:rsidR="006C2F73" w:rsidRDefault="006C2F73">
      <w:pPr>
        <w:spacing w:line="440" w:lineRule="exact"/>
        <w:rPr>
          <w:rFonts w:ascii="黑体" w:eastAsia="黑体" w:hAnsi="黑体"/>
          <w:sz w:val="32"/>
          <w:szCs w:val="32"/>
        </w:rPr>
      </w:pPr>
    </w:p>
    <w:p w:rsidR="006C2F73" w:rsidRDefault="006C2F73">
      <w:pPr>
        <w:spacing w:line="440" w:lineRule="exact"/>
        <w:rPr>
          <w:b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426" w:tblpY="950"/>
        <w:tblW w:w="16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338"/>
        <w:gridCol w:w="389"/>
        <w:gridCol w:w="421"/>
        <w:gridCol w:w="435"/>
        <w:gridCol w:w="660"/>
        <w:gridCol w:w="690"/>
        <w:gridCol w:w="720"/>
        <w:gridCol w:w="645"/>
        <w:gridCol w:w="645"/>
        <w:gridCol w:w="645"/>
        <w:gridCol w:w="675"/>
        <w:gridCol w:w="705"/>
        <w:gridCol w:w="690"/>
        <w:gridCol w:w="645"/>
        <w:gridCol w:w="690"/>
        <w:gridCol w:w="655"/>
        <w:gridCol w:w="675"/>
        <w:gridCol w:w="774"/>
        <w:gridCol w:w="712"/>
        <w:gridCol w:w="109"/>
        <w:gridCol w:w="458"/>
        <w:gridCol w:w="708"/>
        <w:gridCol w:w="426"/>
        <w:gridCol w:w="567"/>
        <w:gridCol w:w="425"/>
        <w:gridCol w:w="425"/>
      </w:tblGrid>
      <w:tr w:rsidR="006C2F73">
        <w:trPr>
          <w:trHeight w:val="425"/>
        </w:trPr>
        <w:tc>
          <w:tcPr>
            <w:tcW w:w="1366" w:type="dxa"/>
            <w:vMerge w:val="restart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lastRenderedPageBreak/>
              <w:t>单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位类别</w:t>
            </w:r>
          </w:p>
        </w:tc>
        <w:tc>
          <w:tcPr>
            <w:tcW w:w="338" w:type="dxa"/>
            <w:vMerge w:val="restart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辖区内单位总数</w:t>
            </w:r>
          </w:p>
        </w:tc>
        <w:tc>
          <w:tcPr>
            <w:tcW w:w="389" w:type="dxa"/>
            <w:vMerge w:val="restart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检查单位数</w:t>
            </w:r>
          </w:p>
        </w:tc>
        <w:tc>
          <w:tcPr>
            <w:tcW w:w="12357" w:type="dxa"/>
            <w:gridSpan w:val="20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不合格情况</w:t>
            </w:r>
          </w:p>
        </w:tc>
        <w:tc>
          <w:tcPr>
            <w:tcW w:w="1843" w:type="dxa"/>
            <w:gridSpan w:val="4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行政处罚情况</w:t>
            </w:r>
          </w:p>
        </w:tc>
      </w:tr>
      <w:tr w:rsidR="006C2F73">
        <w:trPr>
          <w:trHeight w:val="803"/>
        </w:trPr>
        <w:tc>
          <w:tcPr>
            <w:tcW w:w="1366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38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机构及人员资质情况</w:t>
            </w:r>
          </w:p>
        </w:tc>
        <w:tc>
          <w:tcPr>
            <w:tcW w:w="7410" w:type="dxa"/>
            <w:gridSpan w:val="11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法律法规执行情况</w:t>
            </w:r>
          </w:p>
        </w:tc>
        <w:tc>
          <w:tcPr>
            <w:tcW w:w="4091" w:type="dxa"/>
            <w:gridSpan w:val="7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制度建立情况</w:t>
            </w:r>
          </w:p>
        </w:tc>
        <w:tc>
          <w:tcPr>
            <w:tcW w:w="426" w:type="dxa"/>
            <w:vMerge w:val="restart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查处案件数</w:t>
            </w:r>
          </w:p>
        </w:tc>
        <w:tc>
          <w:tcPr>
            <w:tcW w:w="567" w:type="dxa"/>
            <w:vMerge w:val="restart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罚没款金额（万元）</w:t>
            </w:r>
          </w:p>
        </w:tc>
        <w:tc>
          <w:tcPr>
            <w:tcW w:w="425" w:type="dxa"/>
            <w:vMerge w:val="restart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吊销机构执业许可证单位数</w:t>
            </w:r>
          </w:p>
        </w:tc>
        <w:tc>
          <w:tcPr>
            <w:tcW w:w="425" w:type="dxa"/>
            <w:vMerge w:val="restart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吊销人员资格</w:t>
            </w:r>
            <w:proofErr w:type="gramStart"/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证单位</w:t>
            </w:r>
            <w:proofErr w:type="gramEnd"/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数</w:t>
            </w:r>
          </w:p>
        </w:tc>
      </w:tr>
      <w:tr w:rsidR="006C2F73">
        <w:trPr>
          <w:trHeight w:val="3860"/>
        </w:trPr>
        <w:tc>
          <w:tcPr>
            <w:tcW w:w="1366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38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89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1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机构执业资质管理不符合要求单位数</w:t>
            </w:r>
          </w:p>
        </w:tc>
        <w:tc>
          <w:tcPr>
            <w:tcW w:w="43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人员资格管理不符合要求单位数</w:t>
            </w:r>
          </w:p>
        </w:tc>
        <w:tc>
          <w:tcPr>
            <w:tcW w:w="660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机构未按照批准的业务范围和服务项目执业单位数</w:t>
            </w:r>
          </w:p>
        </w:tc>
        <w:tc>
          <w:tcPr>
            <w:tcW w:w="690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人员未按照批准的服务项目执业单位数</w:t>
            </w:r>
          </w:p>
        </w:tc>
        <w:tc>
          <w:tcPr>
            <w:tcW w:w="720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不符合开展技术服务的机构设置标准单位数</w:t>
            </w:r>
          </w:p>
        </w:tc>
        <w:tc>
          <w:tcPr>
            <w:tcW w:w="64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未按要求开展终止中期以上妊娠手术进行查验登记单位数</w:t>
            </w:r>
          </w:p>
        </w:tc>
        <w:tc>
          <w:tcPr>
            <w:tcW w:w="64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未按要求开展人类辅助生殖技术查验身份证、结婚证单位数</w:t>
            </w:r>
          </w:p>
        </w:tc>
        <w:tc>
          <w:tcPr>
            <w:tcW w:w="64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开展相关技术服务未按要求遵守知情同意原则单位数</w:t>
            </w:r>
          </w:p>
        </w:tc>
        <w:tc>
          <w:tcPr>
            <w:tcW w:w="67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出具医学证明文件和诊断报告不符合相关规定单位数</w:t>
            </w:r>
          </w:p>
        </w:tc>
        <w:tc>
          <w:tcPr>
            <w:tcW w:w="70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病历、记录、档案等文书不符合相关规定单位数</w:t>
            </w:r>
          </w:p>
        </w:tc>
        <w:tc>
          <w:tcPr>
            <w:tcW w:w="690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未按要求设置禁止“两非”警示标志单位数</w:t>
            </w:r>
          </w:p>
        </w:tc>
        <w:tc>
          <w:tcPr>
            <w:tcW w:w="64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违法发布母婴保健与计划生育技术服务广告单位数</w:t>
            </w:r>
          </w:p>
        </w:tc>
        <w:tc>
          <w:tcPr>
            <w:tcW w:w="690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开展产前诊断、人类辅助生殖技术是否符合相关要求</w:t>
            </w:r>
          </w:p>
        </w:tc>
        <w:tc>
          <w:tcPr>
            <w:tcW w:w="65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未建立禁止胎儿性别鉴定管理制度单位数</w:t>
            </w:r>
          </w:p>
        </w:tc>
        <w:tc>
          <w:tcPr>
            <w:tcW w:w="675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未建立终止中期以上妊娠查验登记制度单位数</w:t>
            </w:r>
          </w:p>
        </w:tc>
        <w:tc>
          <w:tcPr>
            <w:tcW w:w="774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未建立健全技术档案管理、转诊、追踪观察制度单位数</w:t>
            </w:r>
          </w:p>
        </w:tc>
        <w:tc>
          <w:tcPr>
            <w:tcW w:w="821" w:type="dxa"/>
            <w:gridSpan w:val="2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未建立</w:t>
            </w:r>
            <w:proofErr w:type="gramStart"/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孕</w:t>
            </w:r>
            <w:proofErr w:type="gramEnd"/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产妇死亡、婴儿死亡以及新生儿初生缺陷报告制度单位数</w:t>
            </w:r>
          </w:p>
        </w:tc>
        <w:tc>
          <w:tcPr>
            <w:tcW w:w="458" w:type="dxa"/>
            <w:vAlign w:val="center"/>
          </w:tcPr>
          <w:p w:rsidR="006C2F73" w:rsidRDefault="0010722B">
            <w:pPr>
              <w:spacing w:line="20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未建立出生医学证明管理制度单位数</w:t>
            </w:r>
          </w:p>
        </w:tc>
        <w:tc>
          <w:tcPr>
            <w:tcW w:w="708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不具有保证技术服务安全和服务质量的其他管理制度单位数</w:t>
            </w:r>
          </w:p>
        </w:tc>
        <w:tc>
          <w:tcPr>
            <w:tcW w:w="426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6C2F73">
        <w:trPr>
          <w:trHeight w:val="360"/>
        </w:trPr>
        <w:tc>
          <w:tcPr>
            <w:tcW w:w="1366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妇幼保健院</w:t>
            </w:r>
          </w:p>
        </w:tc>
        <w:tc>
          <w:tcPr>
            <w:tcW w:w="338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89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1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74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2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6C2F73">
        <w:trPr>
          <w:trHeight w:val="815"/>
        </w:trPr>
        <w:tc>
          <w:tcPr>
            <w:tcW w:w="1366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妇幼保健计划生育技术服务机构</w:t>
            </w:r>
          </w:p>
        </w:tc>
        <w:tc>
          <w:tcPr>
            <w:tcW w:w="338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89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1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74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2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6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6C2F73">
        <w:trPr>
          <w:trHeight w:val="406"/>
        </w:trPr>
        <w:tc>
          <w:tcPr>
            <w:tcW w:w="1366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其他医疗、保健机构</w:t>
            </w:r>
          </w:p>
        </w:tc>
        <w:tc>
          <w:tcPr>
            <w:tcW w:w="338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89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1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74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2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6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6C2F73" w:rsidRDefault="006C2F7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6C2F73">
        <w:trPr>
          <w:trHeight w:val="375"/>
        </w:trPr>
        <w:tc>
          <w:tcPr>
            <w:tcW w:w="1366" w:type="dxa"/>
            <w:vAlign w:val="center"/>
          </w:tcPr>
          <w:p w:rsidR="006C2F73" w:rsidRDefault="0010722B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合计</w:t>
            </w:r>
          </w:p>
        </w:tc>
        <w:tc>
          <w:tcPr>
            <w:tcW w:w="338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389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1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5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74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2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6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7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6C2F73" w:rsidRDefault="006C2F73">
            <w:pPr>
              <w:spacing w:before="100" w:beforeAutospacing="1" w:after="100" w:afterAutospacing="1" w:line="24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</w:tbl>
    <w:p w:rsidR="006C2F73" w:rsidRDefault="0010722B">
      <w:pPr>
        <w:spacing w:line="440" w:lineRule="exact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附表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</w:t>
      </w:r>
    </w:p>
    <w:p w:rsidR="006C2F73" w:rsidRDefault="0010722B">
      <w:pPr>
        <w:spacing w:line="440" w:lineRule="exact"/>
        <w:jc w:val="center"/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年母婴保健、计划生育技术服务机构国家随机监督抽查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汇总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表</w:t>
      </w:r>
    </w:p>
    <w:sectPr w:rsidR="006C2F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2B" w:rsidRDefault="0010722B">
      <w:r>
        <w:separator/>
      </w:r>
    </w:p>
  </w:endnote>
  <w:endnote w:type="continuationSeparator" w:id="0">
    <w:p w:rsidR="0010722B" w:rsidRDefault="0010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73" w:rsidRDefault="001072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1D75" w:rsidRPr="00021D75">
      <w:rPr>
        <w:noProof/>
        <w:lang w:val="zh-CN"/>
      </w:rPr>
      <w:t>1</w:t>
    </w:r>
    <w:r>
      <w:fldChar w:fldCharType="end"/>
    </w:r>
  </w:p>
  <w:p w:rsidR="006C2F73" w:rsidRDefault="006C2F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2B" w:rsidRDefault="0010722B">
      <w:r>
        <w:separator/>
      </w:r>
    </w:p>
  </w:footnote>
  <w:footnote w:type="continuationSeparator" w:id="0">
    <w:p w:rsidR="0010722B" w:rsidRDefault="0010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73" w:rsidRDefault="006C2F73">
    <w:pPr>
      <w:spacing w:line="440" w:lineRule="exact"/>
      <w:rPr>
        <w:rFonts w:ascii="宋体" w:hAnsi="宋体"/>
        <w:b/>
        <w:color w:val="000000"/>
        <w:sz w:val="44"/>
        <w:szCs w:val="44"/>
      </w:rPr>
    </w:pPr>
  </w:p>
  <w:p w:rsidR="006C2F73" w:rsidRDefault="006C2F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MWViYjE1NDM5ZDc5YjAwNDAwZDRkYmEyODEyZTIifQ=="/>
  </w:docVars>
  <w:rsids>
    <w:rsidRoot w:val="3E391D43"/>
    <w:rsid w:val="F5BA9048"/>
    <w:rsid w:val="00021D75"/>
    <w:rsid w:val="0010722B"/>
    <w:rsid w:val="006C2F73"/>
    <w:rsid w:val="0E5C7872"/>
    <w:rsid w:val="0F290624"/>
    <w:rsid w:val="0F6C1AB8"/>
    <w:rsid w:val="21E20624"/>
    <w:rsid w:val="3E391D43"/>
    <w:rsid w:val="46EF5D9F"/>
    <w:rsid w:val="4FA350A3"/>
    <w:rsid w:val="5DA53690"/>
    <w:rsid w:val="74C01A29"/>
    <w:rsid w:val="7D5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2022-06-21T17:05:00Z</dcterms:created>
  <dcterms:modified xsi:type="dcterms:W3CDTF">2022-07-05T10:51:00Z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5B2E8EE786B549A581019675C58011E4</vt:lpwstr>
  </property>
</Properties>
</file>